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A0" w:rsidRPr="004F06A0" w:rsidRDefault="004F06A0" w:rsidP="004F06A0">
      <w:pPr>
        <w:spacing w:line="276" w:lineRule="auto"/>
        <w:ind w:firstLine="567"/>
        <w:jc w:val="both"/>
        <w:rPr>
          <w:color w:val="000000"/>
          <w:sz w:val="28"/>
          <w:szCs w:val="28"/>
        </w:rPr>
      </w:pPr>
      <w:r w:rsidRPr="004F06A0">
        <w:rPr>
          <w:color w:val="000000"/>
          <w:sz w:val="28"/>
          <w:szCs w:val="28"/>
        </w:rPr>
        <w:t>Робота із зверненнями громадян у Міністерстві</w:t>
      </w:r>
      <w:r w:rsidRPr="004F06A0">
        <w:rPr>
          <w:color w:val="000000"/>
          <w:sz w:val="28"/>
          <w:szCs w:val="28"/>
          <w:lang w:val="ru-RU"/>
        </w:rPr>
        <w:t xml:space="preserve"> </w:t>
      </w:r>
      <w:r w:rsidRPr="004F06A0">
        <w:rPr>
          <w:color w:val="000000"/>
          <w:sz w:val="28"/>
          <w:szCs w:val="28"/>
        </w:rPr>
        <w:t xml:space="preserve">захисту довкілля та природних ресурсів України спрямована на забезпечення громадян їх конституційного права на звернення, створення належних умов для реалізації цього права відповідно до вимог Закону України „Про звернення громадян”,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p w:rsidR="004F06A0" w:rsidRDefault="004F06A0" w:rsidP="00D06FB1">
      <w:pPr>
        <w:pStyle w:val="a3"/>
        <w:spacing w:line="276" w:lineRule="auto"/>
        <w:ind w:firstLine="567"/>
        <w:jc w:val="both"/>
        <w:rPr>
          <w:sz w:val="28"/>
          <w:szCs w:val="28"/>
        </w:rPr>
      </w:pPr>
    </w:p>
    <w:p w:rsidR="00D06FB1" w:rsidRPr="004F06A0" w:rsidRDefault="00D06FB1" w:rsidP="00D06FB1">
      <w:pPr>
        <w:pStyle w:val="a3"/>
        <w:spacing w:line="276" w:lineRule="auto"/>
        <w:ind w:firstLine="567"/>
        <w:jc w:val="both"/>
        <w:rPr>
          <w:spacing w:val="-6"/>
          <w:sz w:val="28"/>
          <w:szCs w:val="28"/>
        </w:rPr>
      </w:pPr>
      <w:r w:rsidRPr="004F06A0">
        <w:rPr>
          <w:sz w:val="28"/>
          <w:szCs w:val="28"/>
        </w:rPr>
        <w:t>У</w:t>
      </w:r>
      <w:r w:rsidR="00A460E0" w:rsidRPr="004F06A0">
        <w:rPr>
          <w:sz w:val="28"/>
          <w:szCs w:val="28"/>
        </w:rPr>
        <w:t xml:space="preserve"> першому півріччі </w:t>
      </w:r>
      <w:r w:rsidRPr="004F06A0">
        <w:rPr>
          <w:sz w:val="28"/>
          <w:szCs w:val="28"/>
        </w:rPr>
        <w:t>202</w:t>
      </w:r>
      <w:r w:rsidR="00A460E0" w:rsidRPr="004F06A0">
        <w:rPr>
          <w:sz w:val="28"/>
          <w:szCs w:val="28"/>
        </w:rPr>
        <w:t>2</w:t>
      </w:r>
      <w:r w:rsidRPr="004F06A0">
        <w:rPr>
          <w:sz w:val="28"/>
          <w:szCs w:val="28"/>
        </w:rPr>
        <w:t xml:space="preserve"> ро</w:t>
      </w:r>
      <w:r w:rsidR="00A460E0" w:rsidRPr="004F06A0">
        <w:rPr>
          <w:sz w:val="28"/>
          <w:szCs w:val="28"/>
        </w:rPr>
        <w:t>ку</w:t>
      </w:r>
      <w:r w:rsidRPr="004F06A0">
        <w:rPr>
          <w:sz w:val="28"/>
          <w:szCs w:val="28"/>
        </w:rPr>
        <w:t xml:space="preserve"> надійшло </w:t>
      </w:r>
      <w:r w:rsidR="00A460E0" w:rsidRPr="004F06A0">
        <w:rPr>
          <w:sz w:val="28"/>
          <w:szCs w:val="28"/>
        </w:rPr>
        <w:t>1013</w:t>
      </w:r>
      <w:r w:rsidR="00A7277D" w:rsidRPr="004F06A0">
        <w:rPr>
          <w:sz w:val="28"/>
          <w:szCs w:val="28"/>
        </w:rPr>
        <w:t xml:space="preserve"> пропозицій, заяв </w:t>
      </w:r>
      <w:r w:rsidRPr="004F06A0">
        <w:rPr>
          <w:sz w:val="28"/>
          <w:szCs w:val="28"/>
        </w:rPr>
        <w:t>і скарг громадян</w:t>
      </w:r>
      <w:r w:rsidR="00A460E0" w:rsidRPr="004F06A0">
        <w:rPr>
          <w:sz w:val="28"/>
          <w:szCs w:val="28"/>
        </w:rPr>
        <w:t xml:space="preserve"> (проти 1402 за аналогічний період 2021 року)</w:t>
      </w:r>
      <w:r w:rsidRPr="004F06A0">
        <w:rPr>
          <w:sz w:val="28"/>
          <w:szCs w:val="28"/>
        </w:rPr>
        <w:t xml:space="preserve"> з них заяви – </w:t>
      </w:r>
      <w:r w:rsidR="00A460E0" w:rsidRPr="004F06A0">
        <w:rPr>
          <w:sz w:val="28"/>
          <w:szCs w:val="28"/>
        </w:rPr>
        <w:t>523</w:t>
      </w:r>
      <w:r w:rsidR="002D5B5E" w:rsidRPr="004F06A0">
        <w:rPr>
          <w:sz w:val="28"/>
          <w:szCs w:val="28"/>
        </w:rPr>
        <w:t xml:space="preserve"> (проти 1076)</w:t>
      </w:r>
      <w:r w:rsidRPr="004F06A0">
        <w:rPr>
          <w:sz w:val="28"/>
          <w:szCs w:val="28"/>
        </w:rPr>
        <w:t xml:space="preserve">, скарги – </w:t>
      </w:r>
      <w:r w:rsidR="00E83309" w:rsidRPr="004F06A0">
        <w:rPr>
          <w:sz w:val="28"/>
          <w:szCs w:val="28"/>
        </w:rPr>
        <w:t>23 (проти 127 за аналогічний період 2021)</w:t>
      </w:r>
      <w:r w:rsidRPr="004F06A0">
        <w:rPr>
          <w:sz w:val="28"/>
          <w:szCs w:val="28"/>
        </w:rPr>
        <w:t xml:space="preserve">, пропозиції – </w:t>
      </w:r>
      <w:r w:rsidR="00E83309" w:rsidRPr="004F06A0">
        <w:rPr>
          <w:sz w:val="28"/>
          <w:szCs w:val="28"/>
        </w:rPr>
        <w:t>467</w:t>
      </w:r>
      <w:r w:rsidR="002D5B5E" w:rsidRPr="004F06A0">
        <w:rPr>
          <w:sz w:val="28"/>
          <w:szCs w:val="28"/>
        </w:rPr>
        <w:t xml:space="preserve"> (проти 199)</w:t>
      </w:r>
      <w:r w:rsidRPr="004F06A0">
        <w:rPr>
          <w:sz w:val="28"/>
          <w:szCs w:val="28"/>
        </w:rPr>
        <w:t xml:space="preserve">. Розподіл за видами звернень громадян до </w:t>
      </w:r>
      <w:r w:rsidRPr="004F06A0">
        <w:rPr>
          <w:spacing w:val="-6"/>
          <w:sz w:val="28"/>
          <w:szCs w:val="28"/>
        </w:rPr>
        <w:t>Міністерства, що надійшли у</w:t>
      </w:r>
      <w:r w:rsidR="00046AA3" w:rsidRPr="004F06A0">
        <w:rPr>
          <w:spacing w:val="-6"/>
          <w:sz w:val="28"/>
          <w:szCs w:val="28"/>
        </w:rPr>
        <w:t xml:space="preserve"> першому півріччі</w:t>
      </w:r>
      <w:r w:rsidRPr="004F06A0">
        <w:rPr>
          <w:spacing w:val="-6"/>
          <w:sz w:val="28"/>
          <w:szCs w:val="28"/>
        </w:rPr>
        <w:t xml:space="preserve"> 202</w:t>
      </w:r>
      <w:r w:rsidR="00E83309" w:rsidRPr="004F06A0">
        <w:rPr>
          <w:spacing w:val="-6"/>
          <w:sz w:val="28"/>
          <w:szCs w:val="28"/>
        </w:rPr>
        <w:t>2</w:t>
      </w:r>
      <w:r w:rsidRPr="004F06A0">
        <w:rPr>
          <w:spacing w:val="-6"/>
          <w:sz w:val="28"/>
          <w:szCs w:val="28"/>
        </w:rPr>
        <w:t xml:space="preserve"> ро</w:t>
      </w:r>
      <w:r w:rsidR="00046AA3" w:rsidRPr="004F06A0">
        <w:rPr>
          <w:spacing w:val="-6"/>
          <w:sz w:val="28"/>
          <w:szCs w:val="28"/>
        </w:rPr>
        <w:t>ку</w:t>
      </w:r>
      <w:r w:rsidRPr="004F06A0">
        <w:rPr>
          <w:spacing w:val="-6"/>
          <w:sz w:val="28"/>
          <w:szCs w:val="28"/>
        </w:rPr>
        <w:t>, наведений у діаграмі 1.</w:t>
      </w:r>
    </w:p>
    <w:p w:rsidR="00D06FB1" w:rsidRPr="004F06A0" w:rsidRDefault="00D06FB1" w:rsidP="00D06FB1">
      <w:pPr>
        <w:pStyle w:val="a3"/>
        <w:ind w:firstLine="7371"/>
        <w:jc w:val="both"/>
        <w:rPr>
          <w:sz w:val="28"/>
          <w:szCs w:val="28"/>
        </w:rPr>
      </w:pPr>
      <w:r w:rsidRPr="004F06A0">
        <w:rPr>
          <w:sz w:val="28"/>
          <w:szCs w:val="28"/>
        </w:rPr>
        <w:t>Діаграма 1</w:t>
      </w:r>
    </w:p>
    <w:p w:rsidR="00D06FB1" w:rsidRPr="00F13DAE" w:rsidRDefault="00B67ADD" w:rsidP="00D06FB1">
      <w:pPr>
        <w:pStyle w:val="a3"/>
        <w:ind w:firstLine="567"/>
        <w:jc w:val="both"/>
        <w:rPr>
          <w:sz w:val="28"/>
          <w:szCs w:val="28"/>
        </w:rPr>
      </w:pPr>
      <w:r>
        <w:rPr>
          <w:noProof/>
          <w:sz w:val="28"/>
          <w:szCs w:val="28"/>
          <w:lang w:eastAsia="uk-UA"/>
        </w:rPr>
        <w:drawing>
          <wp:inline distT="0" distB="0" distL="0" distR="0" wp14:anchorId="1A9240AD" wp14:editId="77C7E50A">
            <wp:extent cx="5695950" cy="238125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E714D" w:rsidRDefault="006E714D" w:rsidP="00D06FB1">
      <w:pPr>
        <w:shd w:val="clear" w:color="auto" w:fill="FFFFFF"/>
        <w:spacing w:line="276" w:lineRule="auto"/>
        <w:ind w:firstLine="567"/>
        <w:jc w:val="both"/>
        <w:rPr>
          <w:color w:val="000000"/>
          <w:sz w:val="28"/>
          <w:szCs w:val="28"/>
        </w:rPr>
      </w:pPr>
    </w:p>
    <w:p w:rsidR="00D06FB1" w:rsidRDefault="00D06FB1" w:rsidP="00D06FB1">
      <w:pPr>
        <w:shd w:val="clear" w:color="auto" w:fill="FFFFFF"/>
        <w:spacing w:line="276" w:lineRule="auto"/>
        <w:ind w:firstLine="567"/>
        <w:jc w:val="both"/>
        <w:rPr>
          <w:color w:val="000000"/>
          <w:sz w:val="28"/>
          <w:szCs w:val="28"/>
        </w:rPr>
      </w:pPr>
      <w:r w:rsidRPr="002D5B5E">
        <w:rPr>
          <w:color w:val="000000"/>
          <w:sz w:val="28"/>
          <w:szCs w:val="28"/>
        </w:rPr>
        <w:t>Серед загальної кількості звернень переважають індивідуальні (</w:t>
      </w:r>
      <w:r w:rsidR="002D5B5E" w:rsidRPr="002D5B5E">
        <w:rPr>
          <w:color w:val="000000"/>
          <w:sz w:val="28"/>
          <w:szCs w:val="28"/>
        </w:rPr>
        <w:t>986</w:t>
      </w:r>
      <w:r w:rsidRPr="002D5B5E">
        <w:rPr>
          <w:color w:val="000000"/>
          <w:sz w:val="28"/>
          <w:szCs w:val="28"/>
        </w:rPr>
        <w:t xml:space="preserve"> або </w:t>
      </w:r>
      <w:r w:rsidR="002D5B5E" w:rsidRPr="002D5B5E">
        <w:rPr>
          <w:color w:val="000000"/>
          <w:sz w:val="28"/>
          <w:szCs w:val="28"/>
        </w:rPr>
        <w:t>97,3</w:t>
      </w:r>
      <w:r w:rsidRPr="002D5B5E">
        <w:rPr>
          <w:color w:val="000000"/>
          <w:sz w:val="28"/>
          <w:szCs w:val="28"/>
        </w:rPr>
        <w:t xml:space="preserve"> %). Колективних звернень надійшло – </w:t>
      </w:r>
      <w:r w:rsidR="002D5B5E" w:rsidRPr="002D5B5E">
        <w:rPr>
          <w:color w:val="000000"/>
          <w:sz w:val="28"/>
          <w:szCs w:val="28"/>
        </w:rPr>
        <w:t>23</w:t>
      </w:r>
      <w:r w:rsidRPr="002D5B5E">
        <w:rPr>
          <w:b/>
          <w:color w:val="000000"/>
          <w:sz w:val="28"/>
          <w:szCs w:val="28"/>
        </w:rPr>
        <w:t xml:space="preserve"> </w:t>
      </w:r>
      <w:r w:rsidRPr="002D5B5E">
        <w:rPr>
          <w:color w:val="000000"/>
          <w:sz w:val="28"/>
          <w:szCs w:val="28"/>
        </w:rPr>
        <w:t>(</w:t>
      </w:r>
      <w:r w:rsidR="002D5B5E" w:rsidRPr="002D5B5E">
        <w:rPr>
          <w:color w:val="000000"/>
          <w:sz w:val="28"/>
          <w:szCs w:val="28"/>
        </w:rPr>
        <w:t>2,27</w:t>
      </w:r>
      <w:r w:rsidRPr="002D5B5E">
        <w:rPr>
          <w:color w:val="000000"/>
          <w:sz w:val="28"/>
          <w:szCs w:val="28"/>
        </w:rPr>
        <w:t xml:space="preserve"> %), у них підписантів – </w:t>
      </w:r>
      <w:r w:rsidR="002D5B5E" w:rsidRPr="002D5B5E">
        <w:rPr>
          <w:color w:val="000000"/>
          <w:sz w:val="28"/>
          <w:szCs w:val="28"/>
        </w:rPr>
        <w:t>4264</w:t>
      </w:r>
      <w:r w:rsidR="007572F7">
        <w:rPr>
          <w:color w:val="000000"/>
          <w:sz w:val="28"/>
          <w:szCs w:val="28"/>
        </w:rPr>
        <w:t xml:space="preserve"> осіб. Анонімних</w:t>
      </w:r>
      <w:r w:rsidRPr="002D5B5E">
        <w:rPr>
          <w:color w:val="000000"/>
          <w:sz w:val="28"/>
          <w:szCs w:val="28"/>
        </w:rPr>
        <w:t xml:space="preserve"> – </w:t>
      </w:r>
      <w:r w:rsidR="002D5B5E" w:rsidRPr="002D5B5E">
        <w:rPr>
          <w:color w:val="000000"/>
          <w:sz w:val="28"/>
          <w:szCs w:val="28"/>
        </w:rPr>
        <w:t>4</w:t>
      </w:r>
      <w:r w:rsidRPr="002D5B5E">
        <w:rPr>
          <w:color w:val="000000"/>
          <w:sz w:val="28"/>
          <w:szCs w:val="28"/>
        </w:rPr>
        <w:t>.</w:t>
      </w:r>
    </w:p>
    <w:p w:rsidR="006E714D" w:rsidRPr="002D5B5E" w:rsidRDefault="006E714D" w:rsidP="00D06FB1">
      <w:pPr>
        <w:shd w:val="clear" w:color="auto" w:fill="FFFFFF"/>
        <w:spacing w:line="276" w:lineRule="auto"/>
        <w:ind w:firstLine="567"/>
        <w:jc w:val="both"/>
        <w:rPr>
          <w:color w:val="000000"/>
          <w:sz w:val="28"/>
          <w:szCs w:val="28"/>
        </w:rPr>
      </w:pPr>
    </w:p>
    <w:p w:rsidR="00D06FB1" w:rsidRPr="006E714D" w:rsidRDefault="00945145" w:rsidP="00D06FB1">
      <w:pPr>
        <w:spacing w:line="276" w:lineRule="auto"/>
        <w:ind w:firstLine="567"/>
        <w:jc w:val="both"/>
        <w:rPr>
          <w:sz w:val="28"/>
          <w:szCs w:val="28"/>
        </w:rPr>
      </w:pPr>
      <w:r w:rsidRPr="006E714D">
        <w:rPr>
          <w:spacing w:val="-6"/>
          <w:sz w:val="28"/>
          <w:szCs w:val="28"/>
        </w:rPr>
        <w:t>За озн</w:t>
      </w:r>
      <w:r w:rsidR="00945C54" w:rsidRPr="006E714D">
        <w:rPr>
          <w:spacing w:val="-6"/>
          <w:sz w:val="28"/>
          <w:szCs w:val="28"/>
        </w:rPr>
        <w:t xml:space="preserve">акою надходження: первинне – </w:t>
      </w:r>
      <w:r w:rsidR="006E714D" w:rsidRPr="006E714D">
        <w:rPr>
          <w:spacing w:val="-6"/>
          <w:sz w:val="28"/>
          <w:szCs w:val="28"/>
        </w:rPr>
        <w:t>291</w:t>
      </w:r>
      <w:r w:rsidR="00945C54" w:rsidRPr="006E714D">
        <w:rPr>
          <w:spacing w:val="-6"/>
          <w:sz w:val="28"/>
          <w:szCs w:val="28"/>
        </w:rPr>
        <w:t xml:space="preserve"> (</w:t>
      </w:r>
      <w:r w:rsidR="006E714D" w:rsidRPr="006E714D">
        <w:rPr>
          <w:spacing w:val="-6"/>
          <w:sz w:val="28"/>
          <w:szCs w:val="28"/>
        </w:rPr>
        <w:t>28,73</w:t>
      </w:r>
      <w:r w:rsidRPr="006E714D">
        <w:rPr>
          <w:spacing w:val="-6"/>
          <w:sz w:val="28"/>
          <w:szCs w:val="28"/>
        </w:rPr>
        <w:t xml:space="preserve"> %), дублетне – </w:t>
      </w:r>
      <w:r w:rsidR="002D5B5E" w:rsidRPr="006E714D">
        <w:rPr>
          <w:spacing w:val="-6"/>
          <w:sz w:val="28"/>
          <w:szCs w:val="28"/>
        </w:rPr>
        <w:t>175</w:t>
      </w:r>
      <w:r w:rsidR="00945C54" w:rsidRPr="006E714D">
        <w:rPr>
          <w:spacing w:val="-6"/>
          <w:sz w:val="28"/>
          <w:szCs w:val="28"/>
        </w:rPr>
        <w:t xml:space="preserve"> (</w:t>
      </w:r>
      <w:r w:rsidR="006E714D" w:rsidRPr="006E714D">
        <w:rPr>
          <w:spacing w:val="-6"/>
          <w:sz w:val="28"/>
          <w:szCs w:val="28"/>
        </w:rPr>
        <w:t>17,28</w:t>
      </w:r>
      <w:r w:rsidR="00945C54" w:rsidRPr="006E714D">
        <w:rPr>
          <w:spacing w:val="-6"/>
          <w:sz w:val="28"/>
          <w:szCs w:val="28"/>
        </w:rPr>
        <w:t xml:space="preserve"> %),</w:t>
      </w:r>
      <w:r w:rsidR="00945C54" w:rsidRPr="006E714D">
        <w:rPr>
          <w:sz w:val="28"/>
          <w:szCs w:val="28"/>
        </w:rPr>
        <w:t xml:space="preserve"> неодноразове – </w:t>
      </w:r>
      <w:r w:rsidR="002D5B5E" w:rsidRPr="006E714D">
        <w:rPr>
          <w:sz w:val="28"/>
          <w:szCs w:val="28"/>
        </w:rPr>
        <w:t xml:space="preserve">49 </w:t>
      </w:r>
      <w:r w:rsidR="00945C54" w:rsidRPr="006E714D">
        <w:rPr>
          <w:sz w:val="28"/>
          <w:szCs w:val="28"/>
        </w:rPr>
        <w:t>(</w:t>
      </w:r>
      <w:r w:rsidR="006E714D" w:rsidRPr="006E714D">
        <w:rPr>
          <w:sz w:val="28"/>
          <w:szCs w:val="28"/>
        </w:rPr>
        <w:t>4,84</w:t>
      </w:r>
      <w:r w:rsidRPr="006E714D">
        <w:rPr>
          <w:sz w:val="28"/>
          <w:szCs w:val="28"/>
        </w:rPr>
        <w:t xml:space="preserve"> %), масове – </w:t>
      </w:r>
      <w:r w:rsidR="002D5B5E" w:rsidRPr="006E714D">
        <w:rPr>
          <w:sz w:val="28"/>
          <w:szCs w:val="28"/>
        </w:rPr>
        <w:t>439</w:t>
      </w:r>
      <w:r w:rsidR="00945C54" w:rsidRPr="006E714D">
        <w:rPr>
          <w:sz w:val="28"/>
          <w:szCs w:val="28"/>
        </w:rPr>
        <w:t xml:space="preserve"> (</w:t>
      </w:r>
      <w:r w:rsidR="006E714D" w:rsidRPr="006E714D">
        <w:rPr>
          <w:sz w:val="28"/>
          <w:szCs w:val="28"/>
        </w:rPr>
        <w:t>43,34</w:t>
      </w:r>
      <w:r w:rsidRPr="006E714D">
        <w:rPr>
          <w:sz w:val="28"/>
          <w:szCs w:val="28"/>
        </w:rPr>
        <w:t xml:space="preserve"> %). </w:t>
      </w:r>
      <w:r w:rsidR="00D06FB1" w:rsidRPr="006E714D">
        <w:rPr>
          <w:sz w:val="28"/>
          <w:szCs w:val="28"/>
        </w:rPr>
        <w:t xml:space="preserve">Упродовж звітного періоду до </w:t>
      </w:r>
      <w:r w:rsidR="004327F5" w:rsidRPr="006E714D">
        <w:rPr>
          <w:sz w:val="28"/>
          <w:szCs w:val="28"/>
        </w:rPr>
        <w:t>м</w:t>
      </w:r>
      <w:r w:rsidR="00D06FB1" w:rsidRPr="006E714D">
        <w:rPr>
          <w:sz w:val="28"/>
          <w:szCs w:val="28"/>
        </w:rPr>
        <w:t xml:space="preserve">іністерства надійшло </w:t>
      </w:r>
      <w:r w:rsidR="002D5B5E" w:rsidRPr="006E714D">
        <w:rPr>
          <w:sz w:val="28"/>
          <w:szCs w:val="28"/>
        </w:rPr>
        <w:t>59</w:t>
      </w:r>
      <w:r w:rsidRPr="006E714D">
        <w:rPr>
          <w:sz w:val="28"/>
          <w:szCs w:val="28"/>
        </w:rPr>
        <w:t xml:space="preserve"> (</w:t>
      </w:r>
      <w:r w:rsidR="006E714D" w:rsidRPr="006E714D">
        <w:rPr>
          <w:sz w:val="28"/>
          <w:szCs w:val="28"/>
        </w:rPr>
        <w:t>5,82</w:t>
      </w:r>
      <w:r w:rsidRPr="006E714D">
        <w:rPr>
          <w:sz w:val="28"/>
          <w:szCs w:val="28"/>
        </w:rPr>
        <w:t xml:space="preserve"> %)</w:t>
      </w:r>
      <w:r w:rsidR="00D06FB1" w:rsidRPr="006E714D">
        <w:rPr>
          <w:sz w:val="28"/>
          <w:szCs w:val="28"/>
        </w:rPr>
        <w:t xml:space="preserve"> повторних звернень. </w:t>
      </w:r>
    </w:p>
    <w:p w:rsidR="00D06FB1" w:rsidRPr="006E714D" w:rsidRDefault="00D06FB1" w:rsidP="00D06FB1">
      <w:pPr>
        <w:spacing w:line="276" w:lineRule="auto"/>
        <w:ind w:firstLine="567"/>
        <w:jc w:val="both"/>
        <w:rPr>
          <w:sz w:val="28"/>
          <w:szCs w:val="28"/>
        </w:rPr>
      </w:pPr>
      <w:r w:rsidRPr="006E714D">
        <w:rPr>
          <w:sz w:val="28"/>
          <w:szCs w:val="28"/>
        </w:rPr>
        <w:t xml:space="preserve">Найчастіше причиною повторних звернень є бажання заявника отримати </w:t>
      </w:r>
      <w:r w:rsidR="006E714D" w:rsidRPr="006E714D">
        <w:rPr>
          <w:sz w:val="28"/>
          <w:szCs w:val="28"/>
        </w:rPr>
        <w:t>уточнену інформацію</w:t>
      </w:r>
      <w:r w:rsidRPr="006E714D">
        <w:rPr>
          <w:sz w:val="28"/>
          <w:szCs w:val="28"/>
        </w:rPr>
        <w:t xml:space="preserve">. З метою запобігання надходжень повторних звернень фахівцями </w:t>
      </w:r>
      <w:r w:rsidR="004327F5" w:rsidRPr="006E714D">
        <w:rPr>
          <w:sz w:val="28"/>
          <w:szCs w:val="28"/>
        </w:rPr>
        <w:t>міністерства</w:t>
      </w:r>
      <w:r w:rsidRPr="006E714D">
        <w:rPr>
          <w:sz w:val="28"/>
          <w:szCs w:val="28"/>
        </w:rPr>
        <w:t xml:space="preserve"> вживаються вичерпні заходи і надаються заявникам детальні, ґрунтовні відповіді та роз’яснення.</w:t>
      </w:r>
    </w:p>
    <w:p w:rsidR="006E714D" w:rsidRDefault="006E714D" w:rsidP="00D06FB1">
      <w:pPr>
        <w:spacing w:line="276" w:lineRule="auto"/>
        <w:ind w:firstLine="567"/>
        <w:jc w:val="both"/>
        <w:rPr>
          <w:sz w:val="28"/>
          <w:szCs w:val="28"/>
          <w:u w:val="single"/>
        </w:rPr>
      </w:pPr>
    </w:p>
    <w:p w:rsidR="00D06FB1" w:rsidRPr="006E714D" w:rsidRDefault="00D06FB1" w:rsidP="00D06FB1">
      <w:pPr>
        <w:spacing w:line="276" w:lineRule="auto"/>
        <w:ind w:firstLine="567"/>
        <w:jc w:val="both"/>
        <w:rPr>
          <w:sz w:val="28"/>
          <w:szCs w:val="28"/>
        </w:rPr>
      </w:pPr>
      <w:r w:rsidRPr="006E714D">
        <w:rPr>
          <w:sz w:val="28"/>
          <w:szCs w:val="28"/>
        </w:rPr>
        <w:lastRenderedPageBreak/>
        <w:t xml:space="preserve">Результати аналізу звернень громадян до </w:t>
      </w:r>
      <w:r w:rsidR="004327F5" w:rsidRPr="006E714D">
        <w:rPr>
          <w:sz w:val="28"/>
          <w:szCs w:val="28"/>
        </w:rPr>
        <w:t>м</w:t>
      </w:r>
      <w:r w:rsidRPr="006E714D">
        <w:rPr>
          <w:sz w:val="28"/>
          <w:szCs w:val="28"/>
        </w:rPr>
        <w:t xml:space="preserve">іністерства за формою </w:t>
      </w:r>
      <w:r w:rsidRPr="006E714D">
        <w:rPr>
          <w:sz w:val="28"/>
          <w:szCs w:val="28"/>
        </w:rPr>
        <w:br/>
        <w:t>їх надходження у</w:t>
      </w:r>
      <w:r w:rsidR="00BA7DE7" w:rsidRPr="006E714D">
        <w:rPr>
          <w:sz w:val="28"/>
          <w:szCs w:val="28"/>
        </w:rPr>
        <w:t xml:space="preserve"> </w:t>
      </w:r>
      <w:r w:rsidR="00A460E0" w:rsidRPr="006E714D">
        <w:rPr>
          <w:sz w:val="28"/>
          <w:szCs w:val="28"/>
        </w:rPr>
        <w:t xml:space="preserve">першому півріччі </w:t>
      </w:r>
      <w:r w:rsidRPr="006E714D">
        <w:rPr>
          <w:sz w:val="28"/>
          <w:szCs w:val="28"/>
        </w:rPr>
        <w:t>202</w:t>
      </w:r>
      <w:r w:rsidR="00A460E0" w:rsidRPr="006E714D">
        <w:rPr>
          <w:sz w:val="28"/>
          <w:szCs w:val="28"/>
        </w:rPr>
        <w:t>2</w:t>
      </w:r>
      <w:r w:rsidRPr="006E714D">
        <w:rPr>
          <w:sz w:val="28"/>
          <w:szCs w:val="28"/>
        </w:rPr>
        <w:t xml:space="preserve"> році наведені у таблиці 1.</w:t>
      </w:r>
    </w:p>
    <w:p w:rsidR="00D06FB1" w:rsidRPr="00F13DAE" w:rsidRDefault="00D06FB1" w:rsidP="00D06FB1">
      <w:pPr>
        <w:ind w:firstLine="7371"/>
        <w:jc w:val="both"/>
        <w:rPr>
          <w:sz w:val="28"/>
          <w:szCs w:val="28"/>
        </w:rPr>
      </w:pPr>
      <w:r w:rsidRPr="00F13DAE">
        <w:rPr>
          <w:sz w:val="28"/>
          <w:szCs w:val="28"/>
        </w:rPr>
        <w:t>Таблиця 1</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7316"/>
        <w:gridCol w:w="1701"/>
      </w:tblGrid>
      <w:tr w:rsidR="00D06FB1" w:rsidRPr="00F13DAE" w:rsidTr="000D7233">
        <w:trPr>
          <w:trHeight w:val="329"/>
        </w:trPr>
        <w:tc>
          <w:tcPr>
            <w:tcW w:w="695" w:type="dxa"/>
          </w:tcPr>
          <w:p w:rsidR="00D06FB1" w:rsidRPr="00F13DAE" w:rsidRDefault="00D06FB1" w:rsidP="00CE71B4">
            <w:pPr>
              <w:jc w:val="both"/>
              <w:rPr>
                <w:b/>
                <w:bCs/>
                <w:sz w:val="28"/>
                <w:szCs w:val="28"/>
              </w:rPr>
            </w:pPr>
            <w:r w:rsidRPr="00F13DAE">
              <w:rPr>
                <w:b/>
                <w:bCs/>
                <w:sz w:val="28"/>
                <w:szCs w:val="28"/>
              </w:rPr>
              <w:t xml:space="preserve">№ </w:t>
            </w:r>
            <w:r>
              <w:rPr>
                <w:b/>
                <w:bCs/>
                <w:sz w:val="28"/>
                <w:szCs w:val="28"/>
              </w:rPr>
              <w:t>з</w:t>
            </w:r>
            <w:r w:rsidRPr="00F13DAE">
              <w:rPr>
                <w:b/>
                <w:bCs/>
                <w:sz w:val="28"/>
                <w:szCs w:val="28"/>
              </w:rPr>
              <w:t xml:space="preserve">/п </w:t>
            </w:r>
          </w:p>
        </w:tc>
        <w:tc>
          <w:tcPr>
            <w:tcW w:w="7316" w:type="dxa"/>
          </w:tcPr>
          <w:p w:rsidR="00D06FB1" w:rsidRPr="00F13DAE" w:rsidRDefault="00D06FB1" w:rsidP="00CE71B4">
            <w:pPr>
              <w:jc w:val="both"/>
              <w:rPr>
                <w:b/>
                <w:bCs/>
                <w:sz w:val="28"/>
                <w:szCs w:val="28"/>
              </w:rPr>
            </w:pPr>
            <w:r w:rsidRPr="00F13DAE">
              <w:rPr>
                <w:b/>
                <w:bCs/>
                <w:sz w:val="28"/>
                <w:szCs w:val="28"/>
              </w:rPr>
              <w:t>Форма надходження звернень громадян</w:t>
            </w:r>
          </w:p>
        </w:tc>
        <w:tc>
          <w:tcPr>
            <w:tcW w:w="1701" w:type="dxa"/>
          </w:tcPr>
          <w:p w:rsidR="00D06FB1" w:rsidRPr="00F13DAE" w:rsidRDefault="00905A74" w:rsidP="00905A74">
            <w:pPr>
              <w:jc w:val="center"/>
              <w:rPr>
                <w:b/>
                <w:bCs/>
                <w:sz w:val="28"/>
                <w:szCs w:val="28"/>
              </w:rPr>
            </w:pPr>
            <w:r>
              <w:rPr>
                <w:b/>
                <w:bCs/>
                <w:sz w:val="28"/>
                <w:szCs w:val="28"/>
              </w:rPr>
              <w:t xml:space="preserve">Перше півріччя </w:t>
            </w:r>
            <w:r w:rsidR="00D06FB1" w:rsidRPr="00F13DAE">
              <w:rPr>
                <w:b/>
                <w:bCs/>
                <w:sz w:val="28"/>
                <w:szCs w:val="28"/>
                <w:lang w:val="en-US"/>
              </w:rPr>
              <w:t>20</w:t>
            </w:r>
            <w:r w:rsidR="00D06FB1" w:rsidRPr="00F13DAE">
              <w:rPr>
                <w:b/>
                <w:bCs/>
                <w:sz w:val="28"/>
                <w:szCs w:val="28"/>
              </w:rPr>
              <w:t>2</w:t>
            </w:r>
            <w:r w:rsidR="000D7233">
              <w:rPr>
                <w:b/>
                <w:bCs/>
                <w:sz w:val="28"/>
                <w:szCs w:val="28"/>
              </w:rPr>
              <w:t>2</w:t>
            </w:r>
            <w:r w:rsidR="00D06FB1" w:rsidRPr="00F13DAE">
              <w:rPr>
                <w:b/>
                <w:bCs/>
                <w:sz w:val="28"/>
                <w:szCs w:val="28"/>
                <w:lang w:val="en-US"/>
              </w:rPr>
              <w:t xml:space="preserve"> </w:t>
            </w:r>
            <w:r w:rsidR="00D06FB1" w:rsidRPr="00F13DAE">
              <w:rPr>
                <w:b/>
                <w:bCs/>
                <w:sz w:val="28"/>
                <w:szCs w:val="28"/>
              </w:rPr>
              <w:t>рік</w:t>
            </w:r>
          </w:p>
        </w:tc>
      </w:tr>
      <w:tr w:rsidR="00D06FB1" w:rsidRPr="00F13DAE" w:rsidTr="000D7233">
        <w:tc>
          <w:tcPr>
            <w:tcW w:w="695" w:type="dxa"/>
          </w:tcPr>
          <w:p w:rsidR="00D06FB1" w:rsidRPr="00F13DAE" w:rsidRDefault="00D06FB1" w:rsidP="00CE71B4">
            <w:pPr>
              <w:jc w:val="both"/>
              <w:rPr>
                <w:sz w:val="28"/>
                <w:szCs w:val="28"/>
              </w:rPr>
            </w:pPr>
            <w:r w:rsidRPr="00F13DAE">
              <w:rPr>
                <w:sz w:val="28"/>
                <w:szCs w:val="28"/>
              </w:rPr>
              <w:t>1.</w:t>
            </w:r>
          </w:p>
        </w:tc>
        <w:tc>
          <w:tcPr>
            <w:tcW w:w="7316" w:type="dxa"/>
          </w:tcPr>
          <w:p w:rsidR="00D06FB1" w:rsidRPr="00F13DAE" w:rsidRDefault="00D06FB1" w:rsidP="00CE71B4">
            <w:pPr>
              <w:ind w:firstLine="567"/>
              <w:jc w:val="both"/>
              <w:rPr>
                <w:b/>
                <w:bCs/>
                <w:sz w:val="28"/>
                <w:szCs w:val="28"/>
              </w:rPr>
            </w:pPr>
            <w:r w:rsidRPr="00F13DAE">
              <w:rPr>
                <w:b/>
                <w:bCs/>
                <w:sz w:val="28"/>
                <w:szCs w:val="28"/>
              </w:rPr>
              <w:t>Через органи влади</w:t>
            </w:r>
          </w:p>
        </w:tc>
        <w:tc>
          <w:tcPr>
            <w:tcW w:w="1701" w:type="dxa"/>
          </w:tcPr>
          <w:p w:rsidR="00D06FB1" w:rsidRPr="00A460E0" w:rsidRDefault="00A460E0" w:rsidP="00C50E64">
            <w:pPr>
              <w:jc w:val="center"/>
              <w:rPr>
                <w:bCs/>
                <w:sz w:val="28"/>
                <w:szCs w:val="28"/>
              </w:rPr>
            </w:pPr>
            <w:r w:rsidRPr="00A460E0">
              <w:rPr>
                <w:bCs/>
                <w:sz w:val="28"/>
                <w:szCs w:val="28"/>
              </w:rPr>
              <w:t>67</w:t>
            </w:r>
          </w:p>
        </w:tc>
      </w:tr>
      <w:tr w:rsidR="00D06FB1" w:rsidRPr="00F13DAE" w:rsidTr="000D7233">
        <w:tc>
          <w:tcPr>
            <w:tcW w:w="695" w:type="dxa"/>
          </w:tcPr>
          <w:p w:rsidR="00D06FB1" w:rsidRPr="00F13DAE" w:rsidRDefault="00D06FB1" w:rsidP="00CE71B4">
            <w:pPr>
              <w:jc w:val="both"/>
              <w:rPr>
                <w:sz w:val="28"/>
                <w:szCs w:val="28"/>
              </w:rPr>
            </w:pPr>
            <w:r w:rsidRPr="00F13DAE">
              <w:rPr>
                <w:sz w:val="28"/>
                <w:szCs w:val="28"/>
              </w:rPr>
              <w:t>2.</w:t>
            </w:r>
          </w:p>
        </w:tc>
        <w:tc>
          <w:tcPr>
            <w:tcW w:w="7316" w:type="dxa"/>
          </w:tcPr>
          <w:p w:rsidR="00D06FB1" w:rsidRPr="00F13DAE" w:rsidRDefault="00D06FB1" w:rsidP="00CE71B4">
            <w:pPr>
              <w:ind w:firstLine="567"/>
              <w:jc w:val="both"/>
              <w:rPr>
                <w:sz w:val="28"/>
                <w:szCs w:val="28"/>
              </w:rPr>
            </w:pPr>
            <w:r w:rsidRPr="00F13DAE">
              <w:rPr>
                <w:b/>
                <w:bCs/>
                <w:sz w:val="28"/>
                <w:szCs w:val="28"/>
              </w:rPr>
              <w:t xml:space="preserve">Через інші підприємства, установи, організації </w:t>
            </w:r>
          </w:p>
        </w:tc>
        <w:tc>
          <w:tcPr>
            <w:tcW w:w="1701" w:type="dxa"/>
          </w:tcPr>
          <w:p w:rsidR="00D06FB1" w:rsidRPr="00A460E0" w:rsidRDefault="00A460E0" w:rsidP="00C50E64">
            <w:pPr>
              <w:jc w:val="center"/>
              <w:rPr>
                <w:sz w:val="28"/>
                <w:szCs w:val="28"/>
              </w:rPr>
            </w:pPr>
            <w:r w:rsidRPr="00A460E0">
              <w:rPr>
                <w:sz w:val="28"/>
                <w:szCs w:val="28"/>
              </w:rPr>
              <w:t>495</w:t>
            </w:r>
          </w:p>
        </w:tc>
      </w:tr>
      <w:tr w:rsidR="00D06FB1" w:rsidRPr="00F13DAE" w:rsidTr="000D7233">
        <w:tc>
          <w:tcPr>
            <w:tcW w:w="695" w:type="dxa"/>
          </w:tcPr>
          <w:p w:rsidR="00D06FB1" w:rsidRPr="00F13DAE" w:rsidRDefault="00D06FB1" w:rsidP="00CE71B4">
            <w:pPr>
              <w:jc w:val="both"/>
              <w:rPr>
                <w:sz w:val="28"/>
                <w:szCs w:val="28"/>
              </w:rPr>
            </w:pPr>
            <w:r w:rsidRPr="00F13DAE">
              <w:rPr>
                <w:sz w:val="28"/>
                <w:szCs w:val="28"/>
              </w:rPr>
              <w:t>3.</w:t>
            </w:r>
          </w:p>
        </w:tc>
        <w:tc>
          <w:tcPr>
            <w:tcW w:w="7316" w:type="dxa"/>
          </w:tcPr>
          <w:p w:rsidR="00D06FB1" w:rsidRPr="00F13DAE" w:rsidRDefault="00D06FB1" w:rsidP="00CE71B4">
            <w:pPr>
              <w:ind w:firstLine="567"/>
              <w:jc w:val="both"/>
              <w:rPr>
                <w:sz w:val="28"/>
                <w:szCs w:val="28"/>
              </w:rPr>
            </w:pPr>
            <w:r w:rsidRPr="00F13DAE">
              <w:rPr>
                <w:b/>
                <w:bCs/>
                <w:sz w:val="28"/>
                <w:szCs w:val="28"/>
              </w:rPr>
              <w:t>Через засоби масової інформації</w:t>
            </w:r>
          </w:p>
        </w:tc>
        <w:tc>
          <w:tcPr>
            <w:tcW w:w="1701" w:type="dxa"/>
          </w:tcPr>
          <w:p w:rsidR="00D06FB1" w:rsidRPr="00A460E0" w:rsidRDefault="00A460E0" w:rsidP="00C50E64">
            <w:pPr>
              <w:jc w:val="center"/>
              <w:rPr>
                <w:sz w:val="28"/>
                <w:szCs w:val="28"/>
              </w:rPr>
            </w:pPr>
            <w:r w:rsidRPr="00A460E0">
              <w:rPr>
                <w:sz w:val="28"/>
                <w:szCs w:val="28"/>
              </w:rPr>
              <w:t>--</w:t>
            </w:r>
          </w:p>
        </w:tc>
      </w:tr>
      <w:tr w:rsidR="00D06FB1" w:rsidRPr="00F13DAE" w:rsidTr="000D7233">
        <w:tc>
          <w:tcPr>
            <w:tcW w:w="695" w:type="dxa"/>
          </w:tcPr>
          <w:p w:rsidR="00D06FB1" w:rsidRPr="00F13DAE" w:rsidRDefault="00D06FB1" w:rsidP="00CE71B4">
            <w:pPr>
              <w:jc w:val="both"/>
              <w:rPr>
                <w:sz w:val="28"/>
                <w:szCs w:val="28"/>
              </w:rPr>
            </w:pPr>
            <w:r w:rsidRPr="00F13DAE">
              <w:rPr>
                <w:sz w:val="28"/>
                <w:szCs w:val="28"/>
              </w:rPr>
              <w:t>4.</w:t>
            </w:r>
          </w:p>
        </w:tc>
        <w:tc>
          <w:tcPr>
            <w:tcW w:w="7316" w:type="dxa"/>
          </w:tcPr>
          <w:p w:rsidR="00D06FB1" w:rsidRPr="00F13DAE" w:rsidRDefault="00D06FB1" w:rsidP="00CE71B4">
            <w:pPr>
              <w:ind w:firstLine="567"/>
              <w:jc w:val="both"/>
              <w:rPr>
                <w:sz w:val="28"/>
                <w:szCs w:val="28"/>
              </w:rPr>
            </w:pPr>
            <w:r w:rsidRPr="00F13DAE">
              <w:rPr>
                <w:b/>
                <w:bCs/>
                <w:sz w:val="28"/>
                <w:szCs w:val="28"/>
              </w:rPr>
              <w:t>Безпосередньо від громадян, з них:</w:t>
            </w:r>
          </w:p>
        </w:tc>
        <w:tc>
          <w:tcPr>
            <w:tcW w:w="1701" w:type="dxa"/>
          </w:tcPr>
          <w:p w:rsidR="00D06FB1" w:rsidRPr="00A460E0" w:rsidRDefault="00A460E0" w:rsidP="00C50E64">
            <w:pPr>
              <w:jc w:val="center"/>
              <w:rPr>
                <w:sz w:val="28"/>
                <w:szCs w:val="28"/>
              </w:rPr>
            </w:pPr>
            <w:r>
              <w:rPr>
                <w:sz w:val="28"/>
                <w:szCs w:val="28"/>
              </w:rPr>
              <w:t>4</w:t>
            </w:r>
            <w:r w:rsidRPr="00A460E0">
              <w:rPr>
                <w:sz w:val="28"/>
                <w:szCs w:val="28"/>
              </w:rPr>
              <w:t>51</w:t>
            </w:r>
          </w:p>
        </w:tc>
      </w:tr>
      <w:tr w:rsidR="00D06FB1" w:rsidRPr="00F13DAE" w:rsidTr="000D7233">
        <w:tc>
          <w:tcPr>
            <w:tcW w:w="695" w:type="dxa"/>
          </w:tcPr>
          <w:p w:rsidR="00D06FB1" w:rsidRPr="00F13DAE" w:rsidRDefault="00D06FB1" w:rsidP="00CE71B4">
            <w:pPr>
              <w:jc w:val="both"/>
              <w:rPr>
                <w:sz w:val="28"/>
                <w:szCs w:val="28"/>
              </w:rPr>
            </w:pPr>
            <w:r w:rsidRPr="00F13DAE">
              <w:rPr>
                <w:sz w:val="28"/>
                <w:szCs w:val="28"/>
              </w:rPr>
              <w:t>4.1.</w:t>
            </w:r>
          </w:p>
        </w:tc>
        <w:tc>
          <w:tcPr>
            <w:tcW w:w="7316" w:type="dxa"/>
          </w:tcPr>
          <w:p w:rsidR="00D06FB1" w:rsidRPr="00F13DAE" w:rsidRDefault="00D06FB1" w:rsidP="00CE71B4">
            <w:pPr>
              <w:ind w:firstLine="567"/>
              <w:jc w:val="both"/>
              <w:rPr>
                <w:sz w:val="28"/>
                <w:szCs w:val="28"/>
              </w:rPr>
            </w:pPr>
            <w:r w:rsidRPr="00F13DAE">
              <w:rPr>
                <w:sz w:val="28"/>
                <w:szCs w:val="28"/>
              </w:rPr>
              <w:t>Поштою, у т. ч. електронною</w:t>
            </w:r>
          </w:p>
        </w:tc>
        <w:tc>
          <w:tcPr>
            <w:tcW w:w="1701" w:type="dxa"/>
          </w:tcPr>
          <w:p w:rsidR="00D06FB1" w:rsidRPr="00A460E0" w:rsidRDefault="00A460E0" w:rsidP="00C50E64">
            <w:pPr>
              <w:jc w:val="center"/>
              <w:rPr>
                <w:sz w:val="28"/>
                <w:szCs w:val="28"/>
              </w:rPr>
            </w:pPr>
            <w:r w:rsidRPr="00A460E0">
              <w:rPr>
                <w:sz w:val="28"/>
                <w:szCs w:val="28"/>
              </w:rPr>
              <w:t>449</w:t>
            </w:r>
          </w:p>
        </w:tc>
      </w:tr>
      <w:tr w:rsidR="00D06FB1" w:rsidRPr="00F13DAE" w:rsidTr="000D7233">
        <w:tc>
          <w:tcPr>
            <w:tcW w:w="695" w:type="dxa"/>
          </w:tcPr>
          <w:p w:rsidR="00D06FB1" w:rsidRPr="00F13DAE" w:rsidRDefault="00D06FB1" w:rsidP="00CE71B4">
            <w:pPr>
              <w:jc w:val="both"/>
              <w:rPr>
                <w:sz w:val="28"/>
                <w:szCs w:val="28"/>
              </w:rPr>
            </w:pPr>
            <w:r w:rsidRPr="00F13DAE">
              <w:rPr>
                <w:sz w:val="28"/>
                <w:szCs w:val="28"/>
              </w:rPr>
              <w:t>4.2.</w:t>
            </w:r>
          </w:p>
        </w:tc>
        <w:tc>
          <w:tcPr>
            <w:tcW w:w="7316" w:type="dxa"/>
          </w:tcPr>
          <w:p w:rsidR="00D06FB1" w:rsidRPr="00F13DAE" w:rsidRDefault="00D06FB1" w:rsidP="00CE71B4">
            <w:pPr>
              <w:ind w:firstLine="567"/>
              <w:jc w:val="both"/>
              <w:rPr>
                <w:sz w:val="28"/>
                <w:szCs w:val="28"/>
              </w:rPr>
            </w:pPr>
            <w:r w:rsidRPr="00F13DAE">
              <w:rPr>
                <w:sz w:val="28"/>
                <w:szCs w:val="28"/>
              </w:rPr>
              <w:t>Під час проведення особистого прийому громадян</w:t>
            </w:r>
          </w:p>
        </w:tc>
        <w:tc>
          <w:tcPr>
            <w:tcW w:w="1701" w:type="dxa"/>
          </w:tcPr>
          <w:p w:rsidR="00D06FB1" w:rsidRPr="00A460E0" w:rsidRDefault="00A460E0" w:rsidP="00C50E64">
            <w:pPr>
              <w:jc w:val="center"/>
              <w:rPr>
                <w:sz w:val="28"/>
                <w:szCs w:val="28"/>
              </w:rPr>
            </w:pPr>
            <w:r w:rsidRPr="00A460E0">
              <w:rPr>
                <w:sz w:val="28"/>
                <w:szCs w:val="28"/>
              </w:rPr>
              <w:t>2</w:t>
            </w:r>
          </w:p>
        </w:tc>
      </w:tr>
      <w:tr w:rsidR="00D06FB1" w:rsidRPr="00F13DAE" w:rsidTr="000D7233">
        <w:tc>
          <w:tcPr>
            <w:tcW w:w="695" w:type="dxa"/>
          </w:tcPr>
          <w:p w:rsidR="00D06FB1" w:rsidRPr="00F13DAE" w:rsidRDefault="00D06FB1" w:rsidP="00CE71B4">
            <w:pPr>
              <w:jc w:val="both"/>
              <w:rPr>
                <w:sz w:val="28"/>
                <w:szCs w:val="28"/>
              </w:rPr>
            </w:pPr>
            <w:r w:rsidRPr="00F13DAE">
              <w:rPr>
                <w:sz w:val="28"/>
                <w:szCs w:val="28"/>
              </w:rPr>
              <w:t>5.</w:t>
            </w:r>
          </w:p>
        </w:tc>
        <w:tc>
          <w:tcPr>
            <w:tcW w:w="7316" w:type="dxa"/>
          </w:tcPr>
          <w:p w:rsidR="00D06FB1" w:rsidRPr="00F13DAE" w:rsidRDefault="00D06FB1" w:rsidP="00CE71B4">
            <w:pPr>
              <w:ind w:firstLine="567"/>
              <w:jc w:val="both"/>
              <w:rPr>
                <w:sz w:val="28"/>
                <w:szCs w:val="28"/>
              </w:rPr>
            </w:pPr>
            <w:r w:rsidRPr="00F13DAE">
              <w:rPr>
                <w:b/>
                <w:bCs/>
                <w:sz w:val="28"/>
                <w:szCs w:val="28"/>
              </w:rPr>
              <w:t>Через уповноважену особу</w:t>
            </w:r>
          </w:p>
        </w:tc>
        <w:tc>
          <w:tcPr>
            <w:tcW w:w="1701" w:type="dxa"/>
          </w:tcPr>
          <w:p w:rsidR="00D06FB1" w:rsidRPr="00A460E0" w:rsidRDefault="00A460E0" w:rsidP="00C50E64">
            <w:pPr>
              <w:jc w:val="center"/>
              <w:rPr>
                <w:bCs/>
                <w:sz w:val="28"/>
                <w:szCs w:val="28"/>
              </w:rPr>
            </w:pPr>
            <w:r w:rsidRPr="00A460E0">
              <w:rPr>
                <w:bCs/>
                <w:sz w:val="28"/>
                <w:szCs w:val="28"/>
              </w:rPr>
              <w:t>--</w:t>
            </w:r>
          </w:p>
        </w:tc>
      </w:tr>
      <w:tr w:rsidR="00D06FB1" w:rsidRPr="00F13DAE" w:rsidTr="000D7233">
        <w:tc>
          <w:tcPr>
            <w:tcW w:w="695" w:type="dxa"/>
          </w:tcPr>
          <w:p w:rsidR="00D06FB1" w:rsidRPr="00F13DAE" w:rsidRDefault="00D06FB1" w:rsidP="00CE71B4">
            <w:pPr>
              <w:jc w:val="both"/>
              <w:rPr>
                <w:sz w:val="28"/>
                <w:szCs w:val="28"/>
              </w:rPr>
            </w:pPr>
          </w:p>
        </w:tc>
        <w:tc>
          <w:tcPr>
            <w:tcW w:w="7316" w:type="dxa"/>
          </w:tcPr>
          <w:p w:rsidR="00D06FB1" w:rsidRPr="00F13DAE" w:rsidRDefault="00D06FB1" w:rsidP="00CE71B4">
            <w:pPr>
              <w:ind w:firstLine="567"/>
              <w:jc w:val="both"/>
              <w:rPr>
                <w:b/>
                <w:bCs/>
                <w:sz w:val="28"/>
                <w:szCs w:val="28"/>
              </w:rPr>
            </w:pPr>
            <w:r w:rsidRPr="00F13DAE">
              <w:rPr>
                <w:b/>
                <w:bCs/>
                <w:sz w:val="28"/>
                <w:szCs w:val="28"/>
              </w:rPr>
              <w:t>ВСЬОГО:</w:t>
            </w:r>
          </w:p>
        </w:tc>
        <w:tc>
          <w:tcPr>
            <w:tcW w:w="1701" w:type="dxa"/>
          </w:tcPr>
          <w:p w:rsidR="00D06FB1" w:rsidRPr="00F13DAE" w:rsidRDefault="00A460E0" w:rsidP="00C50E64">
            <w:pPr>
              <w:jc w:val="center"/>
              <w:rPr>
                <w:b/>
                <w:bCs/>
                <w:sz w:val="28"/>
                <w:szCs w:val="28"/>
              </w:rPr>
            </w:pPr>
            <w:r>
              <w:rPr>
                <w:b/>
                <w:bCs/>
                <w:sz w:val="28"/>
                <w:szCs w:val="28"/>
              </w:rPr>
              <w:t>1013</w:t>
            </w:r>
          </w:p>
        </w:tc>
      </w:tr>
    </w:tbl>
    <w:p w:rsidR="004F06A0" w:rsidRDefault="004F06A0" w:rsidP="00D06FB1">
      <w:pPr>
        <w:shd w:val="clear" w:color="auto" w:fill="FFFFFF"/>
        <w:ind w:firstLine="708"/>
        <w:jc w:val="both"/>
        <w:rPr>
          <w:color w:val="000000"/>
          <w:sz w:val="28"/>
          <w:szCs w:val="28"/>
        </w:rPr>
      </w:pPr>
    </w:p>
    <w:p w:rsidR="00D06FB1" w:rsidRPr="00F13DAE" w:rsidRDefault="00D06FB1" w:rsidP="00D06FB1">
      <w:pPr>
        <w:shd w:val="clear" w:color="auto" w:fill="FFFFFF"/>
        <w:ind w:firstLine="708"/>
        <w:jc w:val="both"/>
        <w:rPr>
          <w:color w:val="000000"/>
          <w:sz w:val="28"/>
          <w:szCs w:val="28"/>
        </w:rPr>
      </w:pPr>
      <w:r w:rsidRPr="00F13DAE">
        <w:rPr>
          <w:color w:val="000000"/>
          <w:sz w:val="28"/>
          <w:szCs w:val="28"/>
        </w:rPr>
        <w:t xml:space="preserve">Кількість звернень громадян до </w:t>
      </w:r>
      <w:r w:rsidR="004327F5">
        <w:rPr>
          <w:color w:val="000000"/>
          <w:sz w:val="28"/>
          <w:szCs w:val="28"/>
        </w:rPr>
        <w:t>м</w:t>
      </w:r>
      <w:r>
        <w:rPr>
          <w:color w:val="000000"/>
          <w:sz w:val="28"/>
          <w:szCs w:val="28"/>
        </w:rPr>
        <w:t xml:space="preserve">іністерства у розрізі регіонів </w:t>
      </w:r>
      <w:r w:rsidR="005165C8">
        <w:rPr>
          <w:color w:val="000000"/>
          <w:sz w:val="28"/>
          <w:szCs w:val="28"/>
        </w:rPr>
        <w:t>у першому кварталі</w:t>
      </w:r>
      <w:r>
        <w:rPr>
          <w:color w:val="000000"/>
          <w:sz w:val="28"/>
          <w:szCs w:val="28"/>
        </w:rPr>
        <w:t xml:space="preserve"> </w:t>
      </w:r>
      <w:r w:rsidR="009F600F">
        <w:rPr>
          <w:color w:val="000000"/>
          <w:sz w:val="28"/>
          <w:szCs w:val="28"/>
        </w:rPr>
        <w:t>202</w:t>
      </w:r>
      <w:r w:rsidR="005165C8">
        <w:rPr>
          <w:color w:val="000000"/>
          <w:sz w:val="28"/>
          <w:szCs w:val="28"/>
        </w:rPr>
        <w:t>2</w:t>
      </w:r>
      <w:r w:rsidR="009F600F">
        <w:rPr>
          <w:color w:val="000000"/>
          <w:sz w:val="28"/>
          <w:szCs w:val="28"/>
        </w:rPr>
        <w:t xml:space="preserve"> </w:t>
      </w:r>
      <w:r w:rsidRPr="00F13DAE">
        <w:rPr>
          <w:color w:val="000000"/>
          <w:sz w:val="28"/>
          <w:szCs w:val="28"/>
        </w:rPr>
        <w:t>року наведені у діаграмі 3.</w:t>
      </w:r>
    </w:p>
    <w:p w:rsidR="00D06FB1" w:rsidRDefault="00D06FB1" w:rsidP="00D06FB1">
      <w:pPr>
        <w:shd w:val="clear" w:color="auto" w:fill="FFFFFF"/>
        <w:ind w:firstLine="7371"/>
        <w:jc w:val="both"/>
        <w:rPr>
          <w:color w:val="000000"/>
          <w:sz w:val="28"/>
          <w:szCs w:val="28"/>
        </w:rPr>
      </w:pPr>
      <w:r w:rsidRPr="00F13DAE">
        <w:rPr>
          <w:color w:val="000000"/>
          <w:sz w:val="28"/>
          <w:szCs w:val="28"/>
        </w:rPr>
        <w:t>Діаграма 3</w:t>
      </w:r>
    </w:p>
    <w:p w:rsidR="00D06FB1" w:rsidRDefault="00D06FB1" w:rsidP="00D06FB1">
      <w:pPr>
        <w:shd w:val="clear" w:color="auto" w:fill="FFFFFF"/>
        <w:ind w:firstLine="567"/>
        <w:jc w:val="both"/>
        <w:rPr>
          <w:color w:val="000000"/>
          <w:sz w:val="28"/>
          <w:szCs w:val="28"/>
        </w:rPr>
      </w:pPr>
      <w:r w:rsidRPr="00F13DAE">
        <w:rPr>
          <w:b/>
          <w:bCs/>
          <w:noProof/>
          <w:color w:val="000000"/>
          <w:sz w:val="28"/>
          <w:szCs w:val="28"/>
          <w:u w:val="single"/>
        </w:rPr>
        <w:drawing>
          <wp:inline distT="0" distB="0" distL="0" distR="0" wp14:anchorId="59A2FE48" wp14:editId="5D01F8D4">
            <wp:extent cx="5695950" cy="3000375"/>
            <wp:effectExtent l="0" t="0" r="19050" b="9525"/>
            <wp:docPr id="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F13DAE">
        <w:rPr>
          <w:color w:val="000000"/>
          <w:sz w:val="28"/>
          <w:szCs w:val="28"/>
        </w:rPr>
        <w:t xml:space="preserve">  </w:t>
      </w:r>
    </w:p>
    <w:p w:rsidR="00D06FB1" w:rsidRDefault="00D06FB1" w:rsidP="00D06FB1">
      <w:pPr>
        <w:shd w:val="clear" w:color="auto" w:fill="FFFFFF"/>
        <w:ind w:firstLine="567"/>
        <w:jc w:val="both"/>
        <w:rPr>
          <w:color w:val="000000"/>
          <w:sz w:val="28"/>
          <w:szCs w:val="28"/>
        </w:rPr>
      </w:pPr>
    </w:p>
    <w:p w:rsidR="00D06FB1" w:rsidRPr="00905A74" w:rsidRDefault="00D06FB1" w:rsidP="00D06FB1">
      <w:pPr>
        <w:shd w:val="clear" w:color="auto" w:fill="FFFFFF"/>
        <w:spacing w:line="276" w:lineRule="auto"/>
        <w:ind w:firstLine="567"/>
        <w:jc w:val="both"/>
        <w:rPr>
          <w:color w:val="000000"/>
          <w:sz w:val="28"/>
          <w:szCs w:val="28"/>
        </w:rPr>
      </w:pPr>
      <w:r w:rsidRPr="00905A74">
        <w:rPr>
          <w:color w:val="000000"/>
          <w:sz w:val="28"/>
          <w:szCs w:val="28"/>
        </w:rPr>
        <w:t xml:space="preserve">Найбільша кількість звернень надійшла від жителів </w:t>
      </w:r>
      <w:proofErr w:type="spellStart"/>
      <w:r w:rsidR="00A03C69" w:rsidRPr="00905A74">
        <w:rPr>
          <w:color w:val="000000"/>
          <w:sz w:val="28"/>
          <w:szCs w:val="28"/>
        </w:rPr>
        <w:t>м.Київ</w:t>
      </w:r>
      <w:proofErr w:type="spellEnd"/>
      <w:r w:rsidR="00A03C69" w:rsidRPr="00905A74">
        <w:rPr>
          <w:color w:val="000000"/>
          <w:sz w:val="28"/>
          <w:szCs w:val="28"/>
        </w:rPr>
        <w:t xml:space="preserve"> (</w:t>
      </w:r>
      <w:r w:rsidR="005165C8" w:rsidRPr="00905A74">
        <w:rPr>
          <w:color w:val="000000"/>
          <w:sz w:val="28"/>
          <w:szCs w:val="28"/>
        </w:rPr>
        <w:t>18,07</w:t>
      </w:r>
      <w:r w:rsidR="00A03C69" w:rsidRPr="00905A74">
        <w:rPr>
          <w:color w:val="000000"/>
          <w:sz w:val="28"/>
          <w:szCs w:val="28"/>
        </w:rPr>
        <w:t xml:space="preserve"> % від загальної кількості), </w:t>
      </w:r>
      <w:r w:rsidRPr="00905A74">
        <w:rPr>
          <w:color w:val="000000"/>
          <w:sz w:val="28"/>
          <w:szCs w:val="28"/>
        </w:rPr>
        <w:t>Дніпропетровськ</w:t>
      </w:r>
      <w:r w:rsidR="005165C8" w:rsidRPr="00905A74">
        <w:rPr>
          <w:color w:val="000000"/>
          <w:sz w:val="28"/>
          <w:szCs w:val="28"/>
        </w:rPr>
        <w:t>ої</w:t>
      </w:r>
      <w:r w:rsidRPr="00905A74">
        <w:rPr>
          <w:color w:val="000000"/>
          <w:sz w:val="28"/>
          <w:szCs w:val="28"/>
        </w:rPr>
        <w:t xml:space="preserve"> (</w:t>
      </w:r>
      <w:r w:rsidR="00905A74" w:rsidRPr="00905A74">
        <w:rPr>
          <w:color w:val="000000"/>
          <w:sz w:val="28"/>
          <w:szCs w:val="28"/>
        </w:rPr>
        <w:t>8,69</w:t>
      </w:r>
      <w:r w:rsidRPr="00905A74">
        <w:rPr>
          <w:color w:val="000000"/>
          <w:sz w:val="28"/>
          <w:szCs w:val="28"/>
        </w:rPr>
        <w:t xml:space="preserve"> % звернень),</w:t>
      </w:r>
      <w:r w:rsidR="00905A74" w:rsidRPr="00905A74">
        <w:rPr>
          <w:color w:val="000000"/>
          <w:sz w:val="28"/>
          <w:szCs w:val="28"/>
        </w:rPr>
        <w:t xml:space="preserve"> Івано-Франківської (6,22 %),</w:t>
      </w:r>
      <w:r w:rsidRPr="00905A74">
        <w:rPr>
          <w:color w:val="000000"/>
          <w:sz w:val="28"/>
          <w:szCs w:val="28"/>
        </w:rPr>
        <w:t xml:space="preserve"> </w:t>
      </w:r>
      <w:r w:rsidR="00A03C69" w:rsidRPr="00905A74">
        <w:rPr>
          <w:color w:val="000000"/>
          <w:sz w:val="28"/>
          <w:szCs w:val="28"/>
        </w:rPr>
        <w:t>Львівської (</w:t>
      </w:r>
      <w:r w:rsidR="00905A74" w:rsidRPr="00905A74">
        <w:rPr>
          <w:color w:val="000000"/>
          <w:sz w:val="28"/>
          <w:szCs w:val="28"/>
        </w:rPr>
        <w:t>4,54</w:t>
      </w:r>
      <w:r w:rsidR="00A03C69" w:rsidRPr="00905A74">
        <w:rPr>
          <w:color w:val="000000"/>
          <w:sz w:val="28"/>
          <w:szCs w:val="28"/>
        </w:rPr>
        <w:t xml:space="preserve"> %)</w:t>
      </w:r>
      <w:r w:rsidR="00E4623D" w:rsidRPr="00905A74">
        <w:rPr>
          <w:color w:val="000000"/>
          <w:sz w:val="28"/>
          <w:szCs w:val="28"/>
        </w:rPr>
        <w:t>,</w:t>
      </w:r>
      <w:r w:rsidR="00A03C69" w:rsidRPr="00905A74">
        <w:rPr>
          <w:color w:val="000000"/>
          <w:sz w:val="28"/>
          <w:szCs w:val="28"/>
        </w:rPr>
        <w:t xml:space="preserve"> </w:t>
      </w:r>
      <w:r w:rsidR="00E4623D" w:rsidRPr="00905A74">
        <w:rPr>
          <w:color w:val="000000"/>
          <w:sz w:val="28"/>
          <w:szCs w:val="28"/>
        </w:rPr>
        <w:t>Харківської (</w:t>
      </w:r>
      <w:r w:rsidR="00905A74" w:rsidRPr="00905A74">
        <w:rPr>
          <w:color w:val="000000"/>
          <w:sz w:val="28"/>
          <w:szCs w:val="28"/>
        </w:rPr>
        <w:t>3,65</w:t>
      </w:r>
      <w:r w:rsidR="00E4623D" w:rsidRPr="00905A74">
        <w:rPr>
          <w:color w:val="000000"/>
          <w:sz w:val="28"/>
          <w:szCs w:val="28"/>
        </w:rPr>
        <w:t xml:space="preserve"> %) та Київської (4</w:t>
      </w:r>
      <w:r w:rsidR="00905A74" w:rsidRPr="00905A74">
        <w:rPr>
          <w:color w:val="000000"/>
          <w:sz w:val="28"/>
          <w:szCs w:val="28"/>
        </w:rPr>
        <w:t>,56</w:t>
      </w:r>
      <w:r w:rsidR="00E4623D" w:rsidRPr="00905A74">
        <w:rPr>
          <w:color w:val="000000"/>
          <w:sz w:val="28"/>
          <w:szCs w:val="28"/>
        </w:rPr>
        <w:t xml:space="preserve"> %)</w:t>
      </w:r>
      <w:r w:rsidR="00A03C69" w:rsidRPr="00905A74">
        <w:rPr>
          <w:color w:val="000000"/>
          <w:sz w:val="28"/>
          <w:szCs w:val="28"/>
        </w:rPr>
        <w:t xml:space="preserve"> </w:t>
      </w:r>
      <w:r w:rsidRPr="00905A74">
        <w:rPr>
          <w:color w:val="000000"/>
          <w:sz w:val="28"/>
          <w:szCs w:val="28"/>
        </w:rPr>
        <w:t xml:space="preserve">областей. </w:t>
      </w:r>
    </w:p>
    <w:p w:rsidR="00D06FB1" w:rsidRPr="006E714D" w:rsidRDefault="00D06FB1" w:rsidP="00D06FB1">
      <w:pPr>
        <w:spacing w:line="276" w:lineRule="auto"/>
        <w:ind w:firstLine="567"/>
        <w:jc w:val="both"/>
        <w:rPr>
          <w:sz w:val="28"/>
          <w:szCs w:val="28"/>
        </w:rPr>
      </w:pPr>
      <w:r w:rsidRPr="006E714D">
        <w:rPr>
          <w:sz w:val="28"/>
          <w:szCs w:val="28"/>
        </w:rPr>
        <w:t xml:space="preserve">Відповідно до Порядку взаємодії органів виконавчої влади та державної установи "Урядовий контактний центр", затвердженого постановою Кабінету Міністрів України від 12.08.2009 № 898 "Про взаємодію органів виконавчої влади та державної установи "Урядовий контактний центр", </w:t>
      </w:r>
      <w:r w:rsidR="004327F5" w:rsidRPr="006E714D">
        <w:rPr>
          <w:sz w:val="28"/>
          <w:szCs w:val="28"/>
        </w:rPr>
        <w:t>м</w:t>
      </w:r>
      <w:r w:rsidRPr="006E714D">
        <w:rPr>
          <w:sz w:val="28"/>
          <w:szCs w:val="28"/>
        </w:rPr>
        <w:t xml:space="preserve">іністерство </w:t>
      </w:r>
      <w:r w:rsidRPr="006E714D">
        <w:rPr>
          <w:sz w:val="28"/>
          <w:szCs w:val="28"/>
        </w:rPr>
        <w:lastRenderedPageBreak/>
        <w:t xml:space="preserve">забезпечувало належний розгляд звернень громадян, що надходили на Урядову "гарячу" лінію. У </w:t>
      </w:r>
      <w:r w:rsidR="006E714D" w:rsidRPr="006E714D">
        <w:rPr>
          <w:sz w:val="28"/>
          <w:szCs w:val="28"/>
        </w:rPr>
        <w:t xml:space="preserve">першому півріччі </w:t>
      </w:r>
      <w:r w:rsidRPr="006E714D">
        <w:rPr>
          <w:sz w:val="28"/>
          <w:szCs w:val="28"/>
        </w:rPr>
        <w:t>202</w:t>
      </w:r>
      <w:r w:rsidR="006E714D" w:rsidRPr="006E714D">
        <w:rPr>
          <w:sz w:val="28"/>
          <w:szCs w:val="28"/>
        </w:rPr>
        <w:t>2</w:t>
      </w:r>
      <w:r w:rsidRPr="006E714D">
        <w:rPr>
          <w:sz w:val="28"/>
          <w:szCs w:val="28"/>
        </w:rPr>
        <w:t xml:space="preserve"> ро</w:t>
      </w:r>
      <w:r w:rsidR="006E714D" w:rsidRPr="006E714D">
        <w:rPr>
          <w:sz w:val="28"/>
          <w:szCs w:val="28"/>
        </w:rPr>
        <w:t>ку</w:t>
      </w:r>
      <w:r w:rsidRPr="006E714D">
        <w:rPr>
          <w:sz w:val="28"/>
          <w:szCs w:val="28"/>
        </w:rPr>
        <w:t xml:space="preserve"> від </w:t>
      </w:r>
      <w:r w:rsidR="00A03C69" w:rsidRPr="006E714D">
        <w:rPr>
          <w:sz w:val="28"/>
          <w:szCs w:val="28"/>
        </w:rPr>
        <w:t>ДУ</w:t>
      </w:r>
      <w:r w:rsidRPr="006E714D">
        <w:rPr>
          <w:sz w:val="28"/>
          <w:szCs w:val="28"/>
        </w:rPr>
        <w:t xml:space="preserve"> "Урядовий контактний центр" до </w:t>
      </w:r>
      <w:r w:rsidR="004327F5" w:rsidRPr="006E714D">
        <w:rPr>
          <w:sz w:val="28"/>
          <w:szCs w:val="28"/>
        </w:rPr>
        <w:t>м</w:t>
      </w:r>
      <w:r w:rsidRPr="006E714D">
        <w:rPr>
          <w:sz w:val="28"/>
          <w:szCs w:val="28"/>
        </w:rPr>
        <w:t xml:space="preserve">іністерства надійшло </w:t>
      </w:r>
      <w:r w:rsidR="006E714D" w:rsidRPr="006E714D">
        <w:rPr>
          <w:sz w:val="28"/>
          <w:szCs w:val="28"/>
        </w:rPr>
        <w:t>479</w:t>
      </w:r>
      <w:r w:rsidRPr="006E714D">
        <w:rPr>
          <w:sz w:val="28"/>
          <w:szCs w:val="28"/>
        </w:rPr>
        <w:t xml:space="preserve"> пропозицій, заяв і скарг громадян, що склало </w:t>
      </w:r>
      <w:r w:rsidR="006E714D" w:rsidRPr="006E714D">
        <w:rPr>
          <w:sz w:val="28"/>
          <w:szCs w:val="28"/>
        </w:rPr>
        <w:t>47</w:t>
      </w:r>
      <w:r w:rsidR="003F7D7B" w:rsidRPr="006E714D">
        <w:rPr>
          <w:sz w:val="28"/>
          <w:szCs w:val="28"/>
        </w:rPr>
        <w:t xml:space="preserve"> відсотків</w:t>
      </w:r>
      <w:r w:rsidRPr="006E714D">
        <w:rPr>
          <w:sz w:val="28"/>
          <w:szCs w:val="28"/>
        </w:rPr>
        <w:t xml:space="preserve"> від загальної кількості звернень.</w:t>
      </w:r>
    </w:p>
    <w:p w:rsidR="00D06FB1" w:rsidRPr="006E714D" w:rsidRDefault="00D06FB1" w:rsidP="00D06FB1">
      <w:pPr>
        <w:spacing w:line="276" w:lineRule="auto"/>
        <w:ind w:firstLine="703"/>
        <w:jc w:val="both"/>
        <w:rPr>
          <w:sz w:val="28"/>
          <w:szCs w:val="28"/>
        </w:rPr>
      </w:pPr>
      <w:r w:rsidRPr="006E714D">
        <w:rPr>
          <w:sz w:val="28"/>
          <w:szCs w:val="28"/>
        </w:rPr>
        <w:t>У зверненнях громадян найбільш актуальними залишаються питання екологічного напрямку, а саме –  порушення вимог природоохоронного законодавства України, норм законодавства у сфері атмосферного повітря, забруднення водних об’єктів,</w:t>
      </w:r>
      <w:r w:rsidR="00D47E30">
        <w:rPr>
          <w:sz w:val="28"/>
          <w:szCs w:val="28"/>
        </w:rPr>
        <w:t xml:space="preserve"> оцінки впливу на довкілля</w:t>
      </w:r>
      <w:r w:rsidRPr="006E714D">
        <w:rPr>
          <w:sz w:val="28"/>
          <w:szCs w:val="28"/>
        </w:rPr>
        <w:t>, погіршення стану довкілля, знищення лісових та зелених насаджень,</w:t>
      </w:r>
      <w:r w:rsidRPr="006E714D">
        <w:rPr>
          <w:sz w:val="28"/>
          <w:szCs w:val="28"/>
          <w:lang w:val="ru-RU"/>
        </w:rPr>
        <w:t xml:space="preserve"> </w:t>
      </w:r>
      <w:r w:rsidRPr="006E714D">
        <w:rPr>
          <w:sz w:val="28"/>
          <w:szCs w:val="28"/>
        </w:rPr>
        <w:t xml:space="preserve">збереження і розширення територій природно-заповідного фонду, утримання тварин. </w:t>
      </w:r>
    </w:p>
    <w:p w:rsidR="007572F7" w:rsidRDefault="00F85D15" w:rsidP="002C5660">
      <w:pPr>
        <w:spacing w:line="276" w:lineRule="auto"/>
        <w:ind w:firstLine="567"/>
        <w:jc w:val="both"/>
        <w:rPr>
          <w:sz w:val="28"/>
          <w:szCs w:val="28"/>
        </w:rPr>
      </w:pPr>
      <w:r w:rsidRPr="009F6AC6">
        <w:rPr>
          <w:sz w:val="28"/>
          <w:szCs w:val="28"/>
        </w:rPr>
        <w:t xml:space="preserve">Для оперативного реагування на проблемні питання громадян функціонує </w:t>
      </w:r>
      <w:r w:rsidR="0039256D">
        <w:rPr>
          <w:sz w:val="28"/>
          <w:szCs w:val="28"/>
        </w:rPr>
        <w:t>«г</w:t>
      </w:r>
      <w:r w:rsidR="00D06FB1" w:rsidRPr="009F6AC6">
        <w:rPr>
          <w:sz w:val="28"/>
          <w:szCs w:val="28"/>
        </w:rPr>
        <w:t>аряч</w:t>
      </w:r>
      <w:r w:rsidR="00A03C69" w:rsidRPr="009F6AC6">
        <w:rPr>
          <w:sz w:val="28"/>
          <w:szCs w:val="28"/>
        </w:rPr>
        <w:t>а</w:t>
      </w:r>
      <w:r w:rsidR="00D06FB1" w:rsidRPr="009F6AC6">
        <w:rPr>
          <w:sz w:val="28"/>
          <w:szCs w:val="28"/>
        </w:rPr>
        <w:t xml:space="preserve"> ліні</w:t>
      </w:r>
      <w:r w:rsidR="00A03C69" w:rsidRPr="009F6AC6">
        <w:rPr>
          <w:sz w:val="28"/>
          <w:szCs w:val="28"/>
        </w:rPr>
        <w:t>я</w:t>
      </w:r>
      <w:r w:rsidR="0039256D">
        <w:rPr>
          <w:sz w:val="28"/>
          <w:szCs w:val="28"/>
        </w:rPr>
        <w:t>»</w:t>
      </w:r>
      <w:r w:rsidR="00D06FB1" w:rsidRPr="009F6AC6">
        <w:rPr>
          <w:sz w:val="28"/>
          <w:szCs w:val="28"/>
        </w:rPr>
        <w:t xml:space="preserve"> «Міндовкілля на зв’язку»</w:t>
      </w:r>
      <w:r w:rsidRPr="009F6AC6">
        <w:rPr>
          <w:sz w:val="28"/>
          <w:szCs w:val="28"/>
        </w:rPr>
        <w:t>, яка</w:t>
      </w:r>
      <w:r w:rsidR="00D06FB1" w:rsidRPr="009F6AC6">
        <w:rPr>
          <w:sz w:val="28"/>
          <w:szCs w:val="28"/>
        </w:rPr>
        <w:t xml:space="preserve"> працює на базі існуючої системи </w:t>
      </w:r>
      <w:r w:rsidRPr="009F6AC6">
        <w:rPr>
          <w:sz w:val="28"/>
          <w:szCs w:val="28"/>
        </w:rPr>
        <w:t>ДУ</w:t>
      </w:r>
      <w:r w:rsidR="00D06FB1" w:rsidRPr="009F6AC6">
        <w:rPr>
          <w:sz w:val="28"/>
          <w:szCs w:val="28"/>
        </w:rPr>
        <w:t xml:space="preserve"> "Урядовий контактний центр".</w:t>
      </w:r>
      <w:r w:rsidR="006E714D">
        <w:rPr>
          <w:sz w:val="28"/>
          <w:szCs w:val="28"/>
        </w:rPr>
        <w:t xml:space="preserve"> За перше півріччя 2022 року на «гарячу лінію» «Міндовкілля на зв’язку» </w:t>
      </w:r>
      <w:r w:rsidR="002C5660">
        <w:rPr>
          <w:sz w:val="28"/>
          <w:szCs w:val="28"/>
        </w:rPr>
        <w:t>звернулось</w:t>
      </w:r>
      <w:r w:rsidR="0039256D">
        <w:rPr>
          <w:sz w:val="28"/>
          <w:szCs w:val="28"/>
        </w:rPr>
        <w:t xml:space="preserve"> 526</w:t>
      </w:r>
      <w:r w:rsidR="006E714D">
        <w:rPr>
          <w:sz w:val="28"/>
          <w:szCs w:val="28"/>
        </w:rPr>
        <w:t xml:space="preserve"> </w:t>
      </w:r>
      <w:r w:rsidR="002C5660">
        <w:rPr>
          <w:sz w:val="28"/>
          <w:szCs w:val="28"/>
        </w:rPr>
        <w:t>громадян</w:t>
      </w:r>
      <w:r w:rsidR="0039256D">
        <w:rPr>
          <w:sz w:val="28"/>
          <w:szCs w:val="28"/>
        </w:rPr>
        <w:t>.</w:t>
      </w:r>
      <w:r w:rsidR="002C5660" w:rsidRPr="002C5660">
        <w:rPr>
          <w:sz w:val="28"/>
          <w:szCs w:val="28"/>
        </w:rPr>
        <w:t xml:space="preserve"> </w:t>
      </w:r>
      <w:r w:rsidR="002C5660" w:rsidRPr="00F074A7">
        <w:rPr>
          <w:sz w:val="28"/>
          <w:szCs w:val="28"/>
        </w:rPr>
        <w:t>Звернення, в яких порушено питання інформативного, довідкового та консультативного характеру, а також які не потребують додаткового вивчення, розглядаються і вирішуються невідкладно.</w:t>
      </w:r>
      <w:r w:rsidR="002C5660">
        <w:rPr>
          <w:sz w:val="28"/>
          <w:szCs w:val="28"/>
        </w:rPr>
        <w:t xml:space="preserve"> </w:t>
      </w:r>
      <w:r w:rsidR="0039256D" w:rsidRPr="00F074A7">
        <w:rPr>
          <w:sz w:val="28"/>
          <w:szCs w:val="28"/>
        </w:rPr>
        <w:t>Звернення, що потребують більш детального вивчення, проведення додаткової перевірки вказаних фактів, розглядаються у тому ж п</w:t>
      </w:r>
      <w:r w:rsidR="0039256D">
        <w:rPr>
          <w:sz w:val="28"/>
          <w:szCs w:val="28"/>
        </w:rPr>
        <w:t>орядку, що й письмове звернення</w:t>
      </w:r>
      <w:r w:rsidR="0039256D" w:rsidRPr="00F074A7">
        <w:rPr>
          <w:sz w:val="28"/>
          <w:szCs w:val="28"/>
        </w:rPr>
        <w:t xml:space="preserve"> відповідно до Закону України «Про звернення громадян».</w:t>
      </w:r>
    </w:p>
    <w:p w:rsidR="0039256D" w:rsidRDefault="0039256D" w:rsidP="0039256D">
      <w:pPr>
        <w:pStyle w:val="HTML"/>
        <w:shd w:val="clear" w:color="auto" w:fill="FFFFFF"/>
        <w:tabs>
          <w:tab w:val="clear" w:pos="916"/>
          <w:tab w:val="left" w:pos="720"/>
        </w:tabs>
        <w:spacing w:line="276" w:lineRule="auto"/>
        <w:ind w:firstLine="567"/>
        <w:jc w:val="both"/>
        <w:textAlignment w:val="baseline"/>
        <w:rPr>
          <w:rFonts w:ascii="Times New Roman" w:hAnsi="Times New Roman" w:cs="Times New Roman"/>
          <w:sz w:val="28"/>
          <w:szCs w:val="28"/>
          <w:lang w:val="uk-UA"/>
        </w:rPr>
      </w:pPr>
      <w:r w:rsidRPr="007879C7">
        <w:rPr>
          <w:rFonts w:ascii="Times New Roman" w:hAnsi="Times New Roman" w:cs="Times New Roman"/>
          <w:sz w:val="28"/>
          <w:szCs w:val="28"/>
          <w:lang w:val="uk-UA"/>
        </w:rPr>
        <w:t>Інформація про «гарячу лінію»</w:t>
      </w:r>
      <w:r>
        <w:rPr>
          <w:rFonts w:ascii="Times New Roman" w:hAnsi="Times New Roman" w:cs="Times New Roman"/>
          <w:sz w:val="28"/>
          <w:szCs w:val="28"/>
          <w:lang w:val="uk-UA"/>
        </w:rPr>
        <w:t xml:space="preserve"> «Міндовкілля на зв’язку» розміщена на</w:t>
      </w:r>
      <w:r w:rsidRPr="007879C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сайті Міністерства </w:t>
      </w:r>
      <w:r w:rsidRPr="00546EDA">
        <w:rPr>
          <w:rFonts w:ascii="Times New Roman" w:hAnsi="Times New Roman" w:cs="Times New Roman"/>
          <w:sz w:val="28"/>
          <w:szCs w:val="28"/>
          <w:lang w:val="uk-UA"/>
        </w:rPr>
        <w:t>https://mepr.gov.ua/</w:t>
      </w:r>
      <w:r>
        <w:rPr>
          <w:rFonts w:ascii="Times New Roman" w:hAnsi="Times New Roman" w:cs="Times New Roman"/>
          <w:sz w:val="28"/>
          <w:szCs w:val="28"/>
          <w:lang w:val="uk-UA"/>
        </w:rPr>
        <w:t xml:space="preserve"> та на сайті державного підприємства «Урядовий контактний центр» </w:t>
      </w:r>
      <w:r w:rsidRPr="00546EDA">
        <w:rPr>
          <w:rFonts w:ascii="Times New Roman" w:hAnsi="Times New Roman" w:cs="Times New Roman"/>
          <w:sz w:val="28"/>
          <w:szCs w:val="28"/>
          <w:lang w:val="uk-UA"/>
        </w:rPr>
        <w:t>https://ukc.gov.ua/</w:t>
      </w:r>
      <w:r>
        <w:rPr>
          <w:rFonts w:ascii="Times New Roman" w:hAnsi="Times New Roman" w:cs="Times New Roman"/>
          <w:sz w:val="28"/>
          <w:szCs w:val="28"/>
          <w:lang w:val="uk-UA"/>
        </w:rPr>
        <w:t>.</w:t>
      </w:r>
    </w:p>
    <w:p w:rsidR="00D06FB1" w:rsidRPr="009F6AC6" w:rsidRDefault="00D06FB1" w:rsidP="00C53BFB">
      <w:pPr>
        <w:tabs>
          <w:tab w:val="left" w:pos="993"/>
        </w:tabs>
        <w:spacing w:line="276" w:lineRule="auto"/>
        <w:ind w:firstLine="567"/>
        <w:jc w:val="both"/>
        <w:rPr>
          <w:sz w:val="28"/>
          <w:szCs w:val="28"/>
        </w:rPr>
      </w:pPr>
      <w:r w:rsidRPr="009F6AC6">
        <w:rPr>
          <w:sz w:val="28"/>
          <w:szCs w:val="28"/>
        </w:rPr>
        <w:t xml:space="preserve">Відповідно до затверджених графіків проведення прямої телефонної лінії Кабінету Міністрів України за участю керівників центральних органів виконавчої влади </w:t>
      </w:r>
      <w:bookmarkStart w:id="0" w:name="_GoBack"/>
      <w:bookmarkEnd w:id="0"/>
      <w:r w:rsidR="00D47E30">
        <w:rPr>
          <w:sz w:val="28"/>
          <w:szCs w:val="28"/>
        </w:rPr>
        <w:t>15</w:t>
      </w:r>
      <w:r w:rsidR="00480B64">
        <w:rPr>
          <w:sz w:val="28"/>
          <w:szCs w:val="28"/>
        </w:rPr>
        <w:t xml:space="preserve"> люто</w:t>
      </w:r>
      <w:r w:rsidR="00D47E30">
        <w:rPr>
          <w:sz w:val="28"/>
          <w:szCs w:val="28"/>
        </w:rPr>
        <w:t>го</w:t>
      </w:r>
      <w:r w:rsidR="003F7D7B" w:rsidRPr="009F6AC6">
        <w:rPr>
          <w:sz w:val="28"/>
          <w:szCs w:val="28"/>
        </w:rPr>
        <w:t xml:space="preserve"> 202</w:t>
      </w:r>
      <w:r w:rsidR="00480B64">
        <w:rPr>
          <w:sz w:val="28"/>
          <w:szCs w:val="28"/>
        </w:rPr>
        <w:t>2</w:t>
      </w:r>
      <w:r w:rsidR="003F7D7B" w:rsidRPr="009F6AC6">
        <w:rPr>
          <w:sz w:val="28"/>
          <w:szCs w:val="28"/>
        </w:rPr>
        <w:t xml:space="preserve"> ро</w:t>
      </w:r>
      <w:r w:rsidR="00480B64">
        <w:rPr>
          <w:sz w:val="28"/>
          <w:szCs w:val="28"/>
        </w:rPr>
        <w:t>ку</w:t>
      </w:r>
      <w:r w:rsidRPr="009F6AC6">
        <w:rPr>
          <w:sz w:val="28"/>
          <w:szCs w:val="28"/>
        </w:rPr>
        <w:t xml:space="preserve"> </w:t>
      </w:r>
      <w:r w:rsidR="009F6AC6" w:rsidRPr="009F6AC6">
        <w:rPr>
          <w:sz w:val="28"/>
          <w:szCs w:val="28"/>
        </w:rPr>
        <w:t>провадились</w:t>
      </w:r>
      <w:r w:rsidR="003F7D7B" w:rsidRPr="009F6AC6">
        <w:rPr>
          <w:sz w:val="28"/>
          <w:szCs w:val="28"/>
        </w:rPr>
        <w:t xml:space="preserve"> </w:t>
      </w:r>
      <w:r w:rsidRPr="009F6AC6">
        <w:rPr>
          <w:sz w:val="28"/>
          <w:szCs w:val="28"/>
        </w:rPr>
        <w:t>пряма телефонних ліній Кабінету Міністрів України.</w:t>
      </w:r>
      <w:r w:rsidR="004F06A0">
        <w:rPr>
          <w:sz w:val="28"/>
          <w:szCs w:val="28"/>
        </w:rPr>
        <w:t xml:space="preserve"> Всі громадяни отримали фахові роз’яснення.</w:t>
      </w:r>
    </w:p>
    <w:p w:rsidR="00D47E30" w:rsidRPr="009F6AC6" w:rsidRDefault="00D47E30" w:rsidP="00D47E30">
      <w:pPr>
        <w:spacing w:line="276" w:lineRule="auto"/>
        <w:ind w:firstLine="567"/>
        <w:jc w:val="both"/>
        <w:rPr>
          <w:sz w:val="28"/>
          <w:szCs w:val="28"/>
        </w:rPr>
      </w:pPr>
      <w:r w:rsidRPr="009F6AC6">
        <w:rPr>
          <w:sz w:val="28"/>
          <w:szCs w:val="28"/>
        </w:rPr>
        <w:t>Міністерство прагне бути максимально відкритим у своїй діяльності, а кожен громадянин отримувати повний доступ до екологічної інформації.</w:t>
      </w:r>
    </w:p>
    <w:p w:rsidR="00D06FB1" w:rsidRDefault="00D06FB1" w:rsidP="007572F7">
      <w:pPr>
        <w:spacing w:line="240" w:lineRule="atLeast"/>
      </w:pPr>
    </w:p>
    <w:sectPr w:rsidR="00D06FB1" w:rsidSect="002C5660">
      <w:pgSz w:w="11906" w:h="16838"/>
      <w:pgMar w:top="1134" w:right="850"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325CA"/>
    <w:multiLevelType w:val="hybridMultilevel"/>
    <w:tmpl w:val="F1969AF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78D1299E"/>
    <w:multiLevelType w:val="hybridMultilevel"/>
    <w:tmpl w:val="58CE5C1E"/>
    <w:lvl w:ilvl="0" w:tplc="2F60CD5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FB1"/>
    <w:rsid w:val="00046AA3"/>
    <w:rsid w:val="000510BE"/>
    <w:rsid w:val="00072370"/>
    <w:rsid w:val="000D6FF6"/>
    <w:rsid w:val="000D7233"/>
    <w:rsid w:val="001160E6"/>
    <w:rsid w:val="0023619E"/>
    <w:rsid w:val="002754F1"/>
    <w:rsid w:val="002B38F3"/>
    <w:rsid w:val="002C5660"/>
    <w:rsid w:val="002D5B5E"/>
    <w:rsid w:val="002E5F23"/>
    <w:rsid w:val="0039256D"/>
    <w:rsid w:val="003E55C1"/>
    <w:rsid w:val="003F7D7B"/>
    <w:rsid w:val="00424D83"/>
    <w:rsid w:val="004327F5"/>
    <w:rsid w:val="0043798C"/>
    <w:rsid w:val="00442191"/>
    <w:rsid w:val="00480B64"/>
    <w:rsid w:val="004C5E02"/>
    <w:rsid w:val="004D056A"/>
    <w:rsid w:val="004D60BD"/>
    <w:rsid w:val="004F06A0"/>
    <w:rsid w:val="005131E7"/>
    <w:rsid w:val="005165C8"/>
    <w:rsid w:val="00562ECD"/>
    <w:rsid w:val="005A24BD"/>
    <w:rsid w:val="0065791B"/>
    <w:rsid w:val="006D2A83"/>
    <w:rsid w:val="006E714D"/>
    <w:rsid w:val="00707E21"/>
    <w:rsid w:val="007572F7"/>
    <w:rsid w:val="00826109"/>
    <w:rsid w:val="00853027"/>
    <w:rsid w:val="008D0A23"/>
    <w:rsid w:val="008F2C82"/>
    <w:rsid w:val="00902ADF"/>
    <w:rsid w:val="00905A74"/>
    <w:rsid w:val="00945145"/>
    <w:rsid w:val="00945C54"/>
    <w:rsid w:val="009F600F"/>
    <w:rsid w:val="009F6AC6"/>
    <w:rsid w:val="00A03C69"/>
    <w:rsid w:val="00A460E0"/>
    <w:rsid w:val="00A7144D"/>
    <w:rsid w:val="00A7277D"/>
    <w:rsid w:val="00AD7F6C"/>
    <w:rsid w:val="00B320CD"/>
    <w:rsid w:val="00B67ADD"/>
    <w:rsid w:val="00BA7DE7"/>
    <w:rsid w:val="00C50E64"/>
    <w:rsid w:val="00C53BFB"/>
    <w:rsid w:val="00D06FB1"/>
    <w:rsid w:val="00D47E30"/>
    <w:rsid w:val="00D76C88"/>
    <w:rsid w:val="00DE1754"/>
    <w:rsid w:val="00E4623D"/>
    <w:rsid w:val="00E60824"/>
    <w:rsid w:val="00E83309"/>
    <w:rsid w:val="00EF40F3"/>
    <w:rsid w:val="00F40CFC"/>
    <w:rsid w:val="00F85D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FB1"/>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06FB1"/>
    <w:pPr>
      <w:spacing w:after="120"/>
    </w:pPr>
    <w:rPr>
      <w:sz w:val="24"/>
      <w:szCs w:val="24"/>
      <w:lang w:eastAsia="ru-RU"/>
    </w:rPr>
  </w:style>
  <w:style w:type="character" w:customStyle="1" w:styleId="a4">
    <w:name w:val="Основной текст Знак"/>
    <w:basedOn w:val="a0"/>
    <w:link w:val="a3"/>
    <w:uiPriority w:val="99"/>
    <w:rsid w:val="00D06FB1"/>
    <w:rPr>
      <w:rFonts w:ascii="Times New Roman" w:eastAsia="Times New Roman" w:hAnsi="Times New Roman" w:cs="Times New Roman"/>
      <w:sz w:val="24"/>
      <w:szCs w:val="24"/>
      <w:lang w:eastAsia="ru-RU"/>
    </w:rPr>
  </w:style>
  <w:style w:type="paragraph" w:styleId="a5">
    <w:name w:val="List Paragraph"/>
    <w:basedOn w:val="a"/>
    <w:uiPriority w:val="99"/>
    <w:qFormat/>
    <w:rsid w:val="00D06FB1"/>
    <w:pPr>
      <w:ind w:left="720"/>
    </w:pPr>
    <w:rPr>
      <w:sz w:val="24"/>
      <w:szCs w:val="24"/>
    </w:rPr>
  </w:style>
  <w:style w:type="character" w:styleId="a6">
    <w:name w:val="Hyperlink"/>
    <w:basedOn w:val="a0"/>
    <w:uiPriority w:val="99"/>
    <w:rsid w:val="00D06FB1"/>
    <w:rPr>
      <w:color w:val="0000FF"/>
      <w:u w:val="single"/>
    </w:rPr>
  </w:style>
  <w:style w:type="paragraph" w:styleId="a7">
    <w:name w:val="Balloon Text"/>
    <w:basedOn w:val="a"/>
    <w:link w:val="a8"/>
    <w:uiPriority w:val="99"/>
    <w:semiHidden/>
    <w:unhideWhenUsed/>
    <w:rsid w:val="00D06FB1"/>
    <w:rPr>
      <w:rFonts w:ascii="Tahoma" w:hAnsi="Tahoma" w:cs="Tahoma"/>
      <w:sz w:val="16"/>
      <w:szCs w:val="16"/>
    </w:rPr>
  </w:style>
  <w:style w:type="character" w:customStyle="1" w:styleId="a8">
    <w:name w:val="Текст выноски Знак"/>
    <w:basedOn w:val="a0"/>
    <w:link w:val="a7"/>
    <w:uiPriority w:val="99"/>
    <w:semiHidden/>
    <w:rsid w:val="00D06FB1"/>
    <w:rPr>
      <w:rFonts w:ascii="Tahoma" w:eastAsia="Times New Roman" w:hAnsi="Tahoma" w:cs="Tahoma"/>
      <w:sz w:val="16"/>
      <w:szCs w:val="16"/>
      <w:lang w:eastAsia="uk-UA"/>
    </w:rPr>
  </w:style>
  <w:style w:type="paragraph" w:styleId="a9">
    <w:name w:val="Normal (Web)"/>
    <w:basedOn w:val="a"/>
    <w:uiPriority w:val="99"/>
    <w:unhideWhenUsed/>
    <w:rsid w:val="003E55C1"/>
    <w:pPr>
      <w:spacing w:before="100" w:beforeAutospacing="1" w:after="100" w:afterAutospacing="1"/>
    </w:pPr>
    <w:rPr>
      <w:sz w:val="24"/>
      <w:szCs w:val="24"/>
    </w:rPr>
  </w:style>
  <w:style w:type="paragraph" w:styleId="HTML">
    <w:name w:val="HTML Preformatted"/>
    <w:basedOn w:val="a"/>
    <w:link w:val="HTML0"/>
    <w:uiPriority w:val="99"/>
    <w:rsid w:val="00392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eastAsia="ru-RU"/>
    </w:rPr>
  </w:style>
  <w:style w:type="character" w:customStyle="1" w:styleId="HTML0">
    <w:name w:val="Стандартный HTML Знак"/>
    <w:basedOn w:val="a0"/>
    <w:link w:val="HTML"/>
    <w:uiPriority w:val="99"/>
    <w:rsid w:val="0039256D"/>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FB1"/>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06FB1"/>
    <w:pPr>
      <w:spacing w:after="120"/>
    </w:pPr>
    <w:rPr>
      <w:sz w:val="24"/>
      <w:szCs w:val="24"/>
      <w:lang w:eastAsia="ru-RU"/>
    </w:rPr>
  </w:style>
  <w:style w:type="character" w:customStyle="1" w:styleId="a4">
    <w:name w:val="Основной текст Знак"/>
    <w:basedOn w:val="a0"/>
    <w:link w:val="a3"/>
    <w:uiPriority w:val="99"/>
    <w:rsid w:val="00D06FB1"/>
    <w:rPr>
      <w:rFonts w:ascii="Times New Roman" w:eastAsia="Times New Roman" w:hAnsi="Times New Roman" w:cs="Times New Roman"/>
      <w:sz w:val="24"/>
      <w:szCs w:val="24"/>
      <w:lang w:eastAsia="ru-RU"/>
    </w:rPr>
  </w:style>
  <w:style w:type="paragraph" w:styleId="a5">
    <w:name w:val="List Paragraph"/>
    <w:basedOn w:val="a"/>
    <w:uiPriority w:val="99"/>
    <w:qFormat/>
    <w:rsid w:val="00D06FB1"/>
    <w:pPr>
      <w:ind w:left="720"/>
    </w:pPr>
    <w:rPr>
      <w:sz w:val="24"/>
      <w:szCs w:val="24"/>
    </w:rPr>
  </w:style>
  <w:style w:type="character" w:styleId="a6">
    <w:name w:val="Hyperlink"/>
    <w:basedOn w:val="a0"/>
    <w:uiPriority w:val="99"/>
    <w:rsid w:val="00D06FB1"/>
    <w:rPr>
      <w:color w:val="0000FF"/>
      <w:u w:val="single"/>
    </w:rPr>
  </w:style>
  <w:style w:type="paragraph" w:styleId="a7">
    <w:name w:val="Balloon Text"/>
    <w:basedOn w:val="a"/>
    <w:link w:val="a8"/>
    <w:uiPriority w:val="99"/>
    <w:semiHidden/>
    <w:unhideWhenUsed/>
    <w:rsid w:val="00D06FB1"/>
    <w:rPr>
      <w:rFonts w:ascii="Tahoma" w:hAnsi="Tahoma" w:cs="Tahoma"/>
      <w:sz w:val="16"/>
      <w:szCs w:val="16"/>
    </w:rPr>
  </w:style>
  <w:style w:type="character" w:customStyle="1" w:styleId="a8">
    <w:name w:val="Текст выноски Знак"/>
    <w:basedOn w:val="a0"/>
    <w:link w:val="a7"/>
    <w:uiPriority w:val="99"/>
    <w:semiHidden/>
    <w:rsid w:val="00D06FB1"/>
    <w:rPr>
      <w:rFonts w:ascii="Tahoma" w:eastAsia="Times New Roman" w:hAnsi="Tahoma" w:cs="Tahoma"/>
      <w:sz w:val="16"/>
      <w:szCs w:val="16"/>
      <w:lang w:eastAsia="uk-UA"/>
    </w:rPr>
  </w:style>
  <w:style w:type="paragraph" w:styleId="a9">
    <w:name w:val="Normal (Web)"/>
    <w:basedOn w:val="a"/>
    <w:uiPriority w:val="99"/>
    <w:unhideWhenUsed/>
    <w:rsid w:val="003E55C1"/>
    <w:pPr>
      <w:spacing w:before="100" w:beforeAutospacing="1" w:after="100" w:afterAutospacing="1"/>
    </w:pPr>
    <w:rPr>
      <w:sz w:val="24"/>
      <w:szCs w:val="24"/>
    </w:rPr>
  </w:style>
  <w:style w:type="paragraph" w:styleId="HTML">
    <w:name w:val="HTML Preformatted"/>
    <w:basedOn w:val="a"/>
    <w:link w:val="HTML0"/>
    <w:uiPriority w:val="99"/>
    <w:rsid w:val="00392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eastAsia="ru-RU"/>
    </w:rPr>
  </w:style>
  <w:style w:type="character" w:customStyle="1" w:styleId="HTML0">
    <w:name w:val="Стандартный HTML Знак"/>
    <w:basedOn w:val="a0"/>
    <w:link w:val="HTML"/>
    <w:uiPriority w:val="99"/>
    <w:rsid w:val="0039256D"/>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1200">
                <a:latin typeface="Times New Roman" panose="02020603050405020304" pitchFamily="18" charset="0"/>
                <a:cs typeface="Times New Roman" panose="02020603050405020304" pitchFamily="18" charset="0"/>
              </a:rPr>
              <a:t>Види звернень громадян, </a:t>
            </a:r>
          </a:p>
          <a:p>
            <a:pPr>
              <a:defRPr/>
            </a:pPr>
            <a:r>
              <a:rPr lang="uk-UA" sz="1200">
                <a:latin typeface="Times New Roman" panose="02020603050405020304" pitchFamily="18" charset="0"/>
                <a:cs typeface="Times New Roman" panose="02020603050405020304" pitchFamily="18" charset="0"/>
              </a:rPr>
              <a:t>що надійшли до</a:t>
            </a:r>
            <a:r>
              <a:rPr lang="uk-UA" sz="1200" baseline="0">
                <a:latin typeface="Times New Roman" panose="02020603050405020304" pitchFamily="18" charset="0"/>
                <a:cs typeface="Times New Roman" panose="02020603050405020304" pitchFamily="18" charset="0"/>
              </a:rPr>
              <a:t> Міндовкілля у першому півріччі 2022 році</a:t>
            </a:r>
            <a:endParaRPr lang="uk-UA" sz="1200">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0.29698549102681965"/>
          <c:y val="0.18264951881014874"/>
          <c:w val="0.41489872141616818"/>
          <c:h val="0.81735048118985132"/>
        </c:manualLayout>
      </c:layout>
      <c:doughnutChart>
        <c:varyColors val="1"/>
        <c:ser>
          <c:idx val="0"/>
          <c:order val="0"/>
          <c:tx>
            <c:strRef>
              <c:f>Лист1!$B$1</c:f>
              <c:strCache>
                <c:ptCount val="1"/>
                <c:pt idx="0">
                  <c:v>Продажи</c:v>
                </c:pt>
              </c:strCache>
            </c:strRef>
          </c:tx>
          <c:explosion val="25"/>
          <c:dLbls>
            <c:dLbl>
              <c:idx val="0"/>
              <c:tx>
                <c:rich>
                  <a:bodyPr/>
                  <a:lstStyle/>
                  <a:p>
                    <a:r>
                      <a:rPr lang="uk-UA"/>
                      <a:t>51,63%</a:t>
                    </a:r>
                  </a:p>
                </c:rich>
              </c:tx>
              <c:showLegendKey val="0"/>
              <c:showVal val="0"/>
              <c:showCatName val="0"/>
              <c:showSerName val="0"/>
              <c:showPercent val="1"/>
              <c:showBubbleSize val="0"/>
            </c:dLbl>
            <c:dLbl>
              <c:idx val="1"/>
              <c:tx>
                <c:rich>
                  <a:bodyPr/>
                  <a:lstStyle/>
                  <a:p>
                    <a:r>
                      <a:rPr lang="uk-UA"/>
                      <a:t>45,9%</a:t>
                    </a:r>
                  </a:p>
                </c:rich>
              </c:tx>
              <c:showLegendKey val="0"/>
              <c:showVal val="0"/>
              <c:showCatName val="0"/>
              <c:showSerName val="0"/>
              <c:showPercent val="1"/>
              <c:showBubbleSize val="0"/>
            </c:dLbl>
            <c:dLbl>
              <c:idx val="2"/>
              <c:tx>
                <c:rich>
                  <a:bodyPr/>
                  <a:lstStyle/>
                  <a:p>
                    <a:r>
                      <a:rPr lang="uk-UA"/>
                      <a:t>2,27%</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Лист1!$A$2:$A$4</c:f>
              <c:strCache>
                <c:ptCount val="3"/>
                <c:pt idx="0">
                  <c:v>Заяви</c:v>
                </c:pt>
                <c:pt idx="1">
                  <c:v>Пропозиції</c:v>
                </c:pt>
                <c:pt idx="2">
                  <c:v>Скарги</c:v>
                </c:pt>
              </c:strCache>
            </c:strRef>
          </c:cat>
          <c:val>
            <c:numRef>
              <c:f>Лист1!$B$2:$B$4</c:f>
              <c:numCache>
                <c:formatCode>General</c:formatCode>
                <c:ptCount val="3"/>
                <c:pt idx="0">
                  <c:v>51.63</c:v>
                </c:pt>
                <c:pt idx="1">
                  <c:v>45.9</c:v>
                </c:pt>
                <c:pt idx="2">
                  <c:v>2.27</c:v>
                </c:pt>
              </c:numCache>
            </c:numRef>
          </c:val>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1.7372421281216091E-2"/>
          <c:y val="2.607076350093112E-2"/>
          <c:w val="0.95222584147665579"/>
          <c:h val="0.45430167597765436"/>
        </c:manualLayout>
      </c:layout>
      <c:barChart>
        <c:barDir val="col"/>
        <c:grouping val="clustered"/>
        <c:varyColors val="0"/>
        <c:ser>
          <c:idx val="0"/>
          <c:order val="0"/>
          <c:tx>
            <c:strRef>
              <c:f>Лист1!$B$1</c:f>
              <c:strCache>
                <c:ptCount val="1"/>
                <c:pt idx="0">
                  <c:v>Звернення громадян у розрізі регіонів</c:v>
                </c:pt>
              </c:strCache>
            </c:strRef>
          </c:tx>
          <c:invertIfNegative val="0"/>
          <c:dLbls>
            <c:dLbl>
              <c:idx val="1"/>
              <c:tx>
                <c:rich>
                  <a:bodyPr/>
                  <a:lstStyle/>
                  <a:p>
                    <a:r>
                      <a:rPr lang="uk-UA"/>
                      <a:t>16</a:t>
                    </a:r>
                  </a:p>
                  <a:p>
                    <a:endParaRPr lang="en-US"/>
                  </a:p>
                </c:rich>
              </c:tx>
              <c:dLblPos val="outEnd"/>
              <c:showLegendKey val="0"/>
              <c:showVal val="1"/>
              <c:showCatName val="0"/>
              <c:showSerName val="0"/>
              <c:showPercent val="0"/>
              <c:showBubbleSize val="0"/>
            </c:dLbl>
            <c:dLbl>
              <c:idx val="2"/>
              <c:tx>
                <c:rich>
                  <a:bodyPr/>
                  <a:lstStyle/>
                  <a:p>
                    <a:r>
                      <a:rPr lang="uk-UA"/>
                      <a:t>13</a:t>
                    </a:r>
                  </a:p>
                  <a:p>
                    <a:endParaRPr lang="en-US"/>
                  </a:p>
                </c:rich>
              </c:tx>
              <c:dLblPos val="outEnd"/>
              <c:showLegendKey val="0"/>
              <c:showVal val="1"/>
              <c:showCatName val="0"/>
              <c:showSerName val="0"/>
              <c:showPercent val="0"/>
              <c:showBubbleSize val="0"/>
            </c:dLbl>
            <c:dLbl>
              <c:idx val="3"/>
              <c:tx>
                <c:rich>
                  <a:bodyPr/>
                  <a:lstStyle/>
                  <a:p>
                    <a:r>
                      <a:rPr lang="uk-UA"/>
                      <a:t>88</a:t>
                    </a:r>
                  </a:p>
                  <a:p>
                    <a:endParaRPr lang="uk-UA"/>
                  </a:p>
                  <a:p>
                    <a:endParaRPr lang="en-US"/>
                  </a:p>
                </c:rich>
              </c:tx>
              <c:dLblPos val="outEnd"/>
              <c:showLegendKey val="0"/>
              <c:showVal val="1"/>
              <c:showCatName val="0"/>
              <c:showSerName val="0"/>
              <c:showPercent val="0"/>
              <c:showBubbleSize val="0"/>
            </c:dLbl>
            <c:dLbl>
              <c:idx val="4"/>
              <c:tx>
                <c:rich>
                  <a:bodyPr/>
                  <a:lstStyle/>
                  <a:p>
                    <a:r>
                      <a:rPr lang="uk-UA"/>
                      <a:t>12</a:t>
                    </a:r>
                  </a:p>
                  <a:p>
                    <a:endParaRPr lang="en-US"/>
                  </a:p>
                </c:rich>
              </c:tx>
              <c:dLblPos val="outEnd"/>
              <c:showLegendKey val="0"/>
              <c:showVal val="1"/>
              <c:showCatName val="0"/>
              <c:showSerName val="0"/>
              <c:showPercent val="0"/>
              <c:showBubbleSize val="0"/>
            </c:dLbl>
            <c:dLbl>
              <c:idx val="5"/>
              <c:tx>
                <c:rich>
                  <a:bodyPr/>
                  <a:lstStyle/>
                  <a:p>
                    <a:r>
                      <a:rPr lang="uk-UA"/>
                      <a:t>18</a:t>
                    </a:r>
                  </a:p>
                  <a:p>
                    <a:endParaRPr lang="en-US"/>
                  </a:p>
                </c:rich>
              </c:tx>
              <c:dLblPos val="outEnd"/>
              <c:showLegendKey val="0"/>
              <c:showVal val="1"/>
              <c:showCatName val="0"/>
              <c:showSerName val="0"/>
              <c:showPercent val="0"/>
              <c:showBubbleSize val="0"/>
            </c:dLbl>
            <c:dLbl>
              <c:idx val="6"/>
              <c:tx>
                <c:rich>
                  <a:bodyPr/>
                  <a:lstStyle/>
                  <a:p>
                    <a:r>
                      <a:rPr lang="uk-UA"/>
                      <a:t>36</a:t>
                    </a:r>
                  </a:p>
                  <a:p>
                    <a:endParaRPr lang="en-US"/>
                  </a:p>
                </c:rich>
              </c:tx>
              <c:dLblPos val="outEnd"/>
              <c:showLegendKey val="0"/>
              <c:showVal val="1"/>
              <c:showCatName val="0"/>
              <c:showSerName val="0"/>
              <c:showPercent val="0"/>
              <c:showBubbleSize val="0"/>
            </c:dLbl>
            <c:dLbl>
              <c:idx val="7"/>
              <c:tx>
                <c:rich>
                  <a:bodyPr/>
                  <a:lstStyle/>
                  <a:p>
                    <a:r>
                      <a:rPr lang="uk-UA"/>
                      <a:t>12</a:t>
                    </a:r>
                  </a:p>
                  <a:p>
                    <a:endParaRPr lang="en-US"/>
                  </a:p>
                </c:rich>
              </c:tx>
              <c:dLblPos val="outEnd"/>
              <c:showLegendKey val="0"/>
              <c:showVal val="1"/>
              <c:showCatName val="0"/>
              <c:showSerName val="0"/>
              <c:showPercent val="0"/>
              <c:showBubbleSize val="0"/>
            </c:dLbl>
            <c:dLbl>
              <c:idx val="8"/>
              <c:tx>
                <c:rich>
                  <a:bodyPr/>
                  <a:lstStyle/>
                  <a:p>
                    <a:r>
                      <a:rPr lang="uk-UA"/>
                      <a:t>63</a:t>
                    </a:r>
                  </a:p>
                  <a:p>
                    <a:endParaRPr lang="uk-UA"/>
                  </a:p>
                  <a:p>
                    <a:endParaRPr lang="en-US"/>
                  </a:p>
                </c:rich>
              </c:tx>
              <c:dLblPos val="outEnd"/>
              <c:showLegendKey val="0"/>
              <c:showVal val="1"/>
              <c:showCatName val="0"/>
              <c:showSerName val="0"/>
              <c:showPercent val="0"/>
              <c:showBubbleSize val="0"/>
            </c:dLbl>
            <c:dLbl>
              <c:idx val="9"/>
              <c:tx>
                <c:rich>
                  <a:bodyPr/>
                  <a:lstStyle/>
                  <a:p>
                    <a:r>
                      <a:rPr lang="uk-UA"/>
                      <a:t>46</a:t>
                    </a:r>
                  </a:p>
                  <a:p>
                    <a:endParaRPr lang="en-US"/>
                  </a:p>
                </c:rich>
              </c:tx>
              <c:dLblPos val="outEnd"/>
              <c:showLegendKey val="0"/>
              <c:showVal val="1"/>
              <c:showCatName val="0"/>
              <c:showSerName val="0"/>
              <c:showPercent val="0"/>
              <c:showBubbleSize val="0"/>
            </c:dLbl>
            <c:dLbl>
              <c:idx val="10"/>
              <c:tx>
                <c:rich>
                  <a:bodyPr/>
                  <a:lstStyle/>
                  <a:p>
                    <a:r>
                      <a:rPr lang="uk-UA"/>
                      <a:t>6</a:t>
                    </a:r>
                  </a:p>
                  <a:p>
                    <a:endParaRPr lang="en-US"/>
                  </a:p>
                </c:rich>
              </c:tx>
              <c:dLblPos val="outEnd"/>
              <c:showLegendKey val="0"/>
              <c:showVal val="1"/>
              <c:showCatName val="0"/>
              <c:showSerName val="0"/>
              <c:showPercent val="0"/>
              <c:showBubbleSize val="0"/>
            </c:dLbl>
            <c:dLbl>
              <c:idx val="12"/>
              <c:tx>
                <c:rich>
                  <a:bodyPr/>
                  <a:lstStyle/>
                  <a:p>
                    <a:r>
                      <a:rPr lang="uk-UA"/>
                      <a:t>46</a:t>
                    </a:r>
                  </a:p>
                  <a:p>
                    <a:endParaRPr lang="uk-UA"/>
                  </a:p>
                  <a:p>
                    <a:endParaRPr lang="en-US"/>
                  </a:p>
                </c:rich>
              </c:tx>
              <c:dLblPos val="outEnd"/>
              <c:showLegendKey val="0"/>
              <c:showVal val="1"/>
              <c:showCatName val="0"/>
              <c:showSerName val="0"/>
              <c:showPercent val="0"/>
              <c:showBubbleSize val="0"/>
            </c:dLbl>
            <c:dLbl>
              <c:idx val="14"/>
              <c:tx>
                <c:rich>
                  <a:bodyPr/>
                  <a:lstStyle/>
                  <a:p>
                    <a:r>
                      <a:rPr lang="uk-UA"/>
                      <a:t>33</a:t>
                    </a:r>
                  </a:p>
                  <a:p>
                    <a:endParaRPr lang="uk-UA"/>
                  </a:p>
                  <a:p>
                    <a:endParaRPr lang="en-US"/>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Лист1!$A$2:$A$28</c:f>
              <c:strCache>
                <c:ptCount val="27"/>
                <c:pt idx="0">
                  <c:v>Автономна Республіка Крим</c:v>
                </c:pt>
                <c:pt idx="1">
                  <c:v>Вінницька область</c:v>
                </c:pt>
                <c:pt idx="2">
                  <c:v>Волинська область</c:v>
                </c:pt>
                <c:pt idx="3">
                  <c:v>Дніпропетровська область</c:v>
                </c:pt>
                <c:pt idx="4">
                  <c:v>Донецька область</c:v>
                </c:pt>
                <c:pt idx="5">
                  <c:v>Житомирська область</c:v>
                </c:pt>
                <c:pt idx="6">
                  <c:v>Закарпатська область</c:v>
                </c:pt>
                <c:pt idx="7">
                  <c:v>Запорізька область</c:v>
                </c:pt>
                <c:pt idx="8">
                  <c:v>Івано-Франківська область</c:v>
                </c:pt>
                <c:pt idx="9">
                  <c:v>Київська область</c:v>
                </c:pt>
                <c:pt idx="10">
                  <c:v>Кіровоградська область</c:v>
                </c:pt>
                <c:pt idx="11">
                  <c:v>Луганська область</c:v>
                </c:pt>
                <c:pt idx="12">
                  <c:v>Львівська область</c:v>
                </c:pt>
                <c:pt idx="13">
                  <c:v>Миколаївська область</c:v>
                </c:pt>
                <c:pt idx="14">
                  <c:v>Одеська область</c:v>
                </c:pt>
                <c:pt idx="15">
                  <c:v>Полтавська область</c:v>
                </c:pt>
                <c:pt idx="16">
                  <c:v>Рівненська область</c:v>
                </c:pt>
                <c:pt idx="17">
                  <c:v>Сумська область</c:v>
                </c:pt>
                <c:pt idx="18">
                  <c:v>Тернопільська область</c:v>
                </c:pt>
                <c:pt idx="19">
                  <c:v>Харківська область</c:v>
                </c:pt>
                <c:pt idx="20">
                  <c:v>Херсонська область</c:v>
                </c:pt>
                <c:pt idx="21">
                  <c:v>Хмельницька область</c:v>
                </c:pt>
                <c:pt idx="22">
                  <c:v>Черкаська область</c:v>
                </c:pt>
                <c:pt idx="23">
                  <c:v>Чернівецька область</c:v>
                </c:pt>
                <c:pt idx="24">
                  <c:v>Чернігівська область</c:v>
                </c:pt>
                <c:pt idx="25">
                  <c:v>м. Київ</c:v>
                </c:pt>
                <c:pt idx="26">
                  <c:v>Регіон не вказано</c:v>
                </c:pt>
              </c:strCache>
            </c:strRef>
          </c:cat>
          <c:val>
            <c:numRef>
              <c:f>Лист1!$B$2:$B$28</c:f>
              <c:numCache>
                <c:formatCode>General</c:formatCode>
                <c:ptCount val="27"/>
                <c:pt idx="0">
                  <c:v>0</c:v>
                </c:pt>
                <c:pt idx="1">
                  <c:v>16</c:v>
                </c:pt>
                <c:pt idx="2">
                  <c:v>13</c:v>
                </c:pt>
                <c:pt idx="3">
                  <c:v>68</c:v>
                </c:pt>
                <c:pt idx="4">
                  <c:v>12</c:v>
                </c:pt>
                <c:pt idx="5">
                  <c:v>18</c:v>
                </c:pt>
                <c:pt idx="6">
                  <c:v>36</c:v>
                </c:pt>
                <c:pt idx="7">
                  <c:v>12</c:v>
                </c:pt>
                <c:pt idx="8">
                  <c:v>50</c:v>
                </c:pt>
                <c:pt idx="9">
                  <c:v>46</c:v>
                </c:pt>
                <c:pt idx="10">
                  <c:v>6</c:v>
                </c:pt>
                <c:pt idx="11">
                  <c:v>4</c:v>
                </c:pt>
                <c:pt idx="12">
                  <c:v>56</c:v>
                </c:pt>
                <c:pt idx="13">
                  <c:v>16</c:v>
                </c:pt>
                <c:pt idx="14">
                  <c:v>56</c:v>
                </c:pt>
                <c:pt idx="15">
                  <c:v>30</c:v>
                </c:pt>
                <c:pt idx="16">
                  <c:v>13</c:v>
                </c:pt>
                <c:pt idx="17">
                  <c:v>9</c:v>
                </c:pt>
                <c:pt idx="18">
                  <c:v>4</c:v>
                </c:pt>
                <c:pt idx="19">
                  <c:v>37</c:v>
                </c:pt>
                <c:pt idx="20">
                  <c:v>8</c:v>
                </c:pt>
                <c:pt idx="21">
                  <c:v>21</c:v>
                </c:pt>
                <c:pt idx="22">
                  <c:v>13</c:v>
                </c:pt>
                <c:pt idx="23">
                  <c:v>20</c:v>
                </c:pt>
                <c:pt idx="24">
                  <c:v>18</c:v>
                </c:pt>
                <c:pt idx="25">
                  <c:v>183</c:v>
                </c:pt>
                <c:pt idx="26">
                  <c:v>248</c:v>
                </c:pt>
              </c:numCache>
            </c:numRef>
          </c:val>
        </c:ser>
        <c:dLbls>
          <c:showLegendKey val="0"/>
          <c:showVal val="1"/>
          <c:showCatName val="0"/>
          <c:showSerName val="0"/>
          <c:showPercent val="0"/>
          <c:showBubbleSize val="0"/>
        </c:dLbls>
        <c:gapWidth val="150"/>
        <c:overlap val="-25"/>
        <c:axId val="203098368"/>
        <c:axId val="203105408"/>
      </c:barChart>
      <c:catAx>
        <c:axId val="203098368"/>
        <c:scaling>
          <c:orientation val="minMax"/>
        </c:scaling>
        <c:delete val="0"/>
        <c:axPos val="b"/>
        <c:numFmt formatCode="General" sourceLinked="1"/>
        <c:majorTickMark val="none"/>
        <c:minorTickMark val="none"/>
        <c:tickLblPos val="nextTo"/>
        <c:crossAx val="203105408"/>
        <c:crosses val="autoZero"/>
        <c:auto val="1"/>
        <c:lblAlgn val="ctr"/>
        <c:lblOffset val="100"/>
        <c:noMultiLvlLbl val="0"/>
      </c:catAx>
      <c:valAx>
        <c:axId val="203105408"/>
        <c:scaling>
          <c:orientation val="minMax"/>
        </c:scaling>
        <c:delete val="1"/>
        <c:axPos val="l"/>
        <c:numFmt formatCode="General" sourceLinked="1"/>
        <c:majorTickMark val="out"/>
        <c:minorTickMark val="none"/>
        <c:tickLblPos val="nextTo"/>
        <c:crossAx val="2030983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2954</Words>
  <Characters>1684</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ПОЖИВІЛОВА Олена Володимирівна</dc:creator>
  <cp:lastModifiedBy>ПОЖИВІЛОВА Олена Володимирівна</cp:lastModifiedBy>
  <cp:revision>4</cp:revision>
  <cp:lastPrinted>2022-07-12T13:35:00Z</cp:lastPrinted>
  <dcterms:created xsi:type="dcterms:W3CDTF">2022-07-21T12:26:00Z</dcterms:created>
  <dcterms:modified xsi:type="dcterms:W3CDTF">2022-07-21T12:57:00Z</dcterms:modified>
</cp:coreProperties>
</file>