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A8" w:rsidRDefault="00DF7C3D" w:rsidP="004912A8">
      <w:pPr>
        <w:tabs>
          <w:tab w:val="left" w:pos="1116"/>
          <w:tab w:val="left" w:pos="1418"/>
          <w:tab w:val="right" w:pos="9355"/>
        </w:tabs>
        <w:jc w:val="center"/>
        <w:rPr>
          <w:b/>
          <w:sz w:val="28"/>
          <w:szCs w:val="28"/>
        </w:rPr>
      </w:pPr>
      <w:r w:rsidRPr="004912A8">
        <w:rPr>
          <w:b/>
          <w:color w:val="000000"/>
          <w:sz w:val="28"/>
          <w:szCs w:val="28"/>
        </w:rPr>
        <w:t xml:space="preserve">Звіт щодо </w:t>
      </w:r>
      <w:r w:rsidR="004912A8" w:rsidRPr="004912A8">
        <w:rPr>
          <w:b/>
          <w:sz w:val="28"/>
          <w:szCs w:val="28"/>
        </w:rPr>
        <w:t>стан</w:t>
      </w:r>
      <w:r w:rsidR="004912A8">
        <w:rPr>
          <w:b/>
          <w:sz w:val="28"/>
          <w:szCs w:val="28"/>
        </w:rPr>
        <w:t>у</w:t>
      </w:r>
      <w:r w:rsidR="004912A8" w:rsidRPr="004912A8">
        <w:rPr>
          <w:b/>
          <w:sz w:val="28"/>
          <w:szCs w:val="28"/>
        </w:rPr>
        <w:t xml:space="preserve"> розгляду звернень громадян,</w:t>
      </w:r>
    </w:p>
    <w:p w:rsidR="004912A8" w:rsidRDefault="004912A8" w:rsidP="004912A8">
      <w:pPr>
        <w:tabs>
          <w:tab w:val="left" w:pos="1116"/>
          <w:tab w:val="left" w:pos="1418"/>
          <w:tab w:val="right" w:pos="9355"/>
        </w:tabs>
        <w:jc w:val="center"/>
        <w:rPr>
          <w:b/>
          <w:sz w:val="28"/>
          <w:szCs w:val="28"/>
        </w:rPr>
      </w:pPr>
      <w:r w:rsidRPr="004912A8">
        <w:rPr>
          <w:b/>
          <w:sz w:val="28"/>
          <w:szCs w:val="28"/>
        </w:rPr>
        <w:t>що надійшли до Міністерства захисту довкілля та природних ресурсів</w:t>
      </w:r>
    </w:p>
    <w:p w:rsidR="00997AE3" w:rsidRPr="004912A8" w:rsidRDefault="004912A8" w:rsidP="004912A8">
      <w:pPr>
        <w:tabs>
          <w:tab w:val="left" w:pos="1116"/>
          <w:tab w:val="left" w:pos="1418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4912A8">
        <w:rPr>
          <w:b/>
          <w:sz w:val="28"/>
          <w:szCs w:val="28"/>
        </w:rPr>
        <w:t>у  2022 році</w:t>
      </w:r>
    </w:p>
    <w:p w:rsidR="00DF7C3D" w:rsidRDefault="00DF7C3D" w:rsidP="004912A8">
      <w:pPr>
        <w:tabs>
          <w:tab w:val="left" w:pos="1116"/>
          <w:tab w:val="left" w:pos="1418"/>
          <w:tab w:val="right" w:pos="9355"/>
        </w:tabs>
        <w:jc w:val="center"/>
        <w:rPr>
          <w:color w:val="000000"/>
          <w:sz w:val="26"/>
          <w:szCs w:val="26"/>
        </w:rPr>
      </w:pPr>
    </w:p>
    <w:p w:rsidR="00D06FB1" w:rsidRPr="00997AE3" w:rsidRDefault="004912A8" w:rsidP="00D06FB1">
      <w:pPr>
        <w:tabs>
          <w:tab w:val="left" w:pos="1116"/>
          <w:tab w:val="left" w:pos="1418"/>
          <w:tab w:val="right" w:pos="9355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D06FB1" w:rsidRPr="00952661" w:rsidRDefault="00D06FB1" w:rsidP="007C5F21">
      <w:pPr>
        <w:pStyle w:val="a3"/>
        <w:tabs>
          <w:tab w:val="left" w:pos="510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952661">
        <w:rPr>
          <w:sz w:val="28"/>
          <w:szCs w:val="28"/>
        </w:rPr>
        <w:t>На виконання доручення Кабінету Міністрів України щодо Плану організації виконання Указу Президента України від 07.02.2008 № 109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 від 27.03.2015 № 4829/0/2-15 до листа Голови Адміністрації Президента України від 24.03.2015 № 02-01/1400 в частині інформування про контроль виконання завдань, визначених актами і дорученнями Президента України,  інформуємо</w:t>
      </w:r>
      <w:r w:rsidR="004327F5" w:rsidRPr="00952661">
        <w:rPr>
          <w:sz w:val="28"/>
          <w:szCs w:val="28"/>
        </w:rPr>
        <w:t xml:space="preserve"> про стан розгляду звернень громадян, що надійшли до Міністерства захисту довкілля та природних ресурсів у</w:t>
      </w:r>
      <w:r w:rsidR="008F2C82" w:rsidRPr="00952661">
        <w:rPr>
          <w:sz w:val="28"/>
          <w:szCs w:val="28"/>
        </w:rPr>
        <w:t xml:space="preserve"> </w:t>
      </w:r>
      <w:r w:rsidR="002754F1" w:rsidRPr="00952661">
        <w:rPr>
          <w:sz w:val="28"/>
          <w:szCs w:val="28"/>
        </w:rPr>
        <w:t xml:space="preserve"> </w:t>
      </w:r>
      <w:r w:rsidR="004327F5" w:rsidRPr="00952661">
        <w:rPr>
          <w:sz w:val="28"/>
          <w:szCs w:val="28"/>
        </w:rPr>
        <w:t>202</w:t>
      </w:r>
      <w:r w:rsidR="002754F1" w:rsidRPr="00952661">
        <w:rPr>
          <w:sz w:val="28"/>
          <w:szCs w:val="28"/>
        </w:rPr>
        <w:t>2</w:t>
      </w:r>
      <w:r w:rsidR="004327F5" w:rsidRPr="00952661">
        <w:rPr>
          <w:sz w:val="28"/>
          <w:szCs w:val="28"/>
        </w:rPr>
        <w:t xml:space="preserve"> р</w:t>
      </w:r>
      <w:r w:rsidR="00F0271E" w:rsidRPr="00952661">
        <w:rPr>
          <w:sz w:val="28"/>
          <w:szCs w:val="28"/>
        </w:rPr>
        <w:t>оці</w:t>
      </w:r>
      <w:r w:rsidR="00A7277D" w:rsidRPr="00952661">
        <w:rPr>
          <w:sz w:val="28"/>
          <w:szCs w:val="28"/>
        </w:rPr>
        <w:t>.</w:t>
      </w:r>
    </w:p>
    <w:p w:rsidR="008F2C82" w:rsidRPr="00952661" w:rsidRDefault="008F2C82" w:rsidP="0082610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952661">
        <w:rPr>
          <w:sz w:val="28"/>
          <w:szCs w:val="28"/>
        </w:rPr>
        <w:t>Питання стану організації роботи зі зверненнями громадян перебуває на особливому контрол</w:t>
      </w:r>
      <w:r w:rsidR="00997AE3">
        <w:rPr>
          <w:sz w:val="28"/>
          <w:szCs w:val="28"/>
        </w:rPr>
        <w:t>і</w:t>
      </w:r>
      <w:r w:rsidRPr="00952661">
        <w:rPr>
          <w:sz w:val="28"/>
          <w:szCs w:val="28"/>
        </w:rPr>
        <w:t xml:space="preserve"> у керівництва Міндовкілля, зокрема, щомісяця проводиться аналіз звернень, які надходять до Міндовкілля, що дає можливість виявити найбільш актуальні питання та визначити шляхи їх вирішення.</w:t>
      </w:r>
    </w:p>
    <w:p w:rsidR="00D06FB1" w:rsidRPr="00952661" w:rsidRDefault="00D06FB1" w:rsidP="0082610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952661">
        <w:rPr>
          <w:sz w:val="28"/>
          <w:szCs w:val="28"/>
        </w:rPr>
        <w:t xml:space="preserve">Роботу зі зверненнями громадян у </w:t>
      </w:r>
      <w:r w:rsidR="004327F5" w:rsidRPr="00952661">
        <w:rPr>
          <w:sz w:val="28"/>
          <w:szCs w:val="28"/>
        </w:rPr>
        <w:t>м</w:t>
      </w:r>
      <w:r w:rsidRPr="00952661">
        <w:rPr>
          <w:sz w:val="28"/>
          <w:szCs w:val="28"/>
        </w:rPr>
        <w:t>іністерстві покладено на відділ</w:t>
      </w:r>
      <w:r w:rsidR="00952661">
        <w:rPr>
          <w:sz w:val="28"/>
          <w:szCs w:val="28"/>
        </w:rPr>
        <w:t xml:space="preserve"> розгляду </w:t>
      </w:r>
      <w:r w:rsidRPr="00952661">
        <w:rPr>
          <w:sz w:val="28"/>
          <w:szCs w:val="28"/>
        </w:rPr>
        <w:t xml:space="preserve">звернень громадян та </w:t>
      </w:r>
      <w:r w:rsidR="00952661">
        <w:rPr>
          <w:sz w:val="28"/>
          <w:szCs w:val="28"/>
        </w:rPr>
        <w:t xml:space="preserve">забезпечення </w:t>
      </w:r>
      <w:r w:rsidRPr="00952661">
        <w:rPr>
          <w:sz w:val="28"/>
          <w:szCs w:val="28"/>
        </w:rPr>
        <w:t xml:space="preserve">доступу до публічної інформації </w:t>
      </w:r>
      <w:r w:rsidR="0043798C" w:rsidRPr="00952661">
        <w:rPr>
          <w:sz w:val="28"/>
          <w:szCs w:val="28"/>
        </w:rPr>
        <w:t>У</w:t>
      </w:r>
      <w:r w:rsidRPr="00952661">
        <w:rPr>
          <w:sz w:val="28"/>
          <w:szCs w:val="28"/>
        </w:rPr>
        <w:t>правління документообігу та звернень громадян.</w:t>
      </w:r>
    </w:p>
    <w:p w:rsidR="00D06FB1" w:rsidRPr="00952661" w:rsidRDefault="00D06FB1" w:rsidP="00826109">
      <w:pPr>
        <w:pStyle w:val="a3"/>
        <w:spacing w:after="0" w:line="276" w:lineRule="auto"/>
        <w:ind w:firstLine="539"/>
        <w:jc w:val="both"/>
        <w:rPr>
          <w:sz w:val="28"/>
          <w:szCs w:val="28"/>
        </w:rPr>
      </w:pPr>
      <w:r w:rsidRPr="00952661">
        <w:rPr>
          <w:sz w:val="28"/>
          <w:szCs w:val="28"/>
        </w:rPr>
        <w:t xml:space="preserve">Звернення (скарги, заяви, пропозиції), які надходять до </w:t>
      </w:r>
      <w:r w:rsidR="004327F5" w:rsidRPr="00952661">
        <w:rPr>
          <w:sz w:val="28"/>
          <w:szCs w:val="28"/>
        </w:rPr>
        <w:t>м</w:t>
      </w:r>
      <w:r w:rsidRPr="00952661">
        <w:rPr>
          <w:sz w:val="28"/>
          <w:szCs w:val="28"/>
        </w:rPr>
        <w:t>іністерства реєструються в системі електронного документообігу «Система документо</w:t>
      </w:r>
      <w:r w:rsidR="005907F0">
        <w:rPr>
          <w:sz w:val="28"/>
          <w:szCs w:val="28"/>
        </w:rPr>
        <w:t>о</w:t>
      </w:r>
      <w:r w:rsidRPr="00952661">
        <w:rPr>
          <w:sz w:val="28"/>
          <w:szCs w:val="28"/>
        </w:rPr>
        <w:t>бігу та автоматизації бізнес процесів «</w:t>
      </w:r>
      <w:proofErr w:type="spellStart"/>
      <w:r w:rsidRPr="00952661">
        <w:rPr>
          <w:sz w:val="28"/>
          <w:szCs w:val="28"/>
          <w:lang w:val="en-US"/>
        </w:rPr>
        <w:t>Megapolis</w:t>
      </w:r>
      <w:proofErr w:type="spellEnd"/>
      <w:r w:rsidRPr="00952661">
        <w:rPr>
          <w:sz w:val="28"/>
          <w:szCs w:val="28"/>
        </w:rPr>
        <w:t>.</w:t>
      </w:r>
      <w:proofErr w:type="spellStart"/>
      <w:r w:rsidRPr="00952661">
        <w:rPr>
          <w:sz w:val="28"/>
          <w:szCs w:val="28"/>
          <w:lang w:val="en-US"/>
        </w:rPr>
        <w:t>DocNet</w:t>
      </w:r>
      <w:proofErr w:type="spellEnd"/>
      <w:r w:rsidRPr="00952661">
        <w:rPr>
          <w:sz w:val="28"/>
          <w:szCs w:val="28"/>
        </w:rPr>
        <w:t>» та в установленому порядку переда</w:t>
      </w:r>
      <w:r w:rsidR="009A0628">
        <w:rPr>
          <w:sz w:val="28"/>
          <w:szCs w:val="28"/>
        </w:rPr>
        <w:t>ю</w:t>
      </w:r>
      <w:r w:rsidRPr="00952661">
        <w:rPr>
          <w:sz w:val="28"/>
          <w:szCs w:val="28"/>
        </w:rPr>
        <w:t xml:space="preserve">ться на розгляд до відповідних підрозділів. </w:t>
      </w:r>
    </w:p>
    <w:p w:rsidR="00D06FB1" w:rsidRPr="004912A8" w:rsidRDefault="00D06FB1" w:rsidP="0082610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4912A8">
        <w:rPr>
          <w:sz w:val="28"/>
          <w:szCs w:val="28"/>
        </w:rPr>
        <w:t xml:space="preserve">Запроваджено постійний контроль за своєчасністю розгляду звернень та належного реагування. Вживаються заходи для підвищення персональної відповідальності керівників та безпосередніх виконавців за реалізацією </w:t>
      </w:r>
      <w:proofErr w:type="spellStart"/>
      <w:r w:rsidRPr="004912A8">
        <w:rPr>
          <w:sz w:val="28"/>
          <w:szCs w:val="28"/>
        </w:rPr>
        <w:t>визначнених</w:t>
      </w:r>
      <w:proofErr w:type="spellEnd"/>
      <w:r w:rsidRPr="004912A8">
        <w:rPr>
          <w:sz w:val="28"/>
          <w:szCs w:val="28"/>
        </w:rPr>
        <w:t xml:space="preserve"> завдань у встановлені терміни.</w:t>
      </w:r>
    </w:p>
    <w:p w:rsidR="00D06FB1" w:rsidRPr="00EF4224" w:rsidRDefault="00A7277D" w:rsidP="00D06FB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F4224">
        <w:rPr>
          <w:sz w:val="28"/>
          <w:szCs w:val="28"/>
        </w:rPr>
        <w:t>Робота зі</w:t>
      </w:r>
      <w:r w:rsidR="00D06FB1" w:rsidRPr="00EF4224">
        <w:rPr>
          <w:sz w:val="28"/>
          <w:szCs w:val="28"/>
        </w:rPr>
        <w:t xml:space="preserve"> </w:t>
      </w:r>
      <w:r w:rsidR="00D06FB1" w:rsidRPr="00EF4224">
        <w:rPr>
          <w:sz w:val="28"/>
          <w:szCs w:val="28"/>
          <w:shd w:val="clear" w:color="auto" w:fill="FFFFFF"/>
        </w:rPr>
        <w:t xml:space="preserve">зверненнями громадян у </w:t>
      </w:r>
      <w:r w:rsidR="004327F5" w:rsidRPr="00EF4224">
        <w:rPr>
          <w:sz w:val="28"/>
          <w:szCs w:val="28"/>
          <w:shd w:val="clear" w:color="auto" w:fill="FFFFFF"/>
        </w:rPr>
        <w:t>м</w:t>
      </w:r>
      <w:r w:rsidR="00D06FB1" w:rsidRPr="00EF4224">
        <w:rPr>
          <w:sz w:val="28"/>
          <w:szCs w:val="28"/>
          <w:shd w:val="clear" w:color="auto" w:fill="FFFFFF"/>
        </w:rPr>
        <w:t>іністерстві проводиться</w:t>
      </w:r>
      <w:r w:rsidR="00D06FB1" w:rsidRPr="00EF4224">
        <w:rPr>
          <w:sz w:val="28"/>
          <w:szCs w:val="28"/>
        </w:rPr>
        <w:t xml:space="preserve"> </w:t>
      </w:r>
      <w:r w:rsidR="00D06FB1" w:rsidRPr="00EF4224">
        <w:rPr>
          <w:color w:val="000000"/>
          <w:sz w:val="28"/>
          <w:szCs w:val="28"/>
        </w:rPr>
        <w:t xml:space="preserve">відповідно </w:t>
      </w:r>
      <w:r w:rsidR="00D06FB1" w:rsidRPr="00EF4224">
        <w:rPr>
          <w:color w:val="000000"/>
          <w:sz w:val="28"/>
          <w:szCs w:val="28"/>
        </w:rPr>
        <w:br/>
        <w:t xml:space="preserve">до вимог законодавства, що регулює цей напрям діяльності, </w:t>
      </w:r>
      <w:r w:rsidR="00D06FB1" w:rsidRPr="00EF4224">
        <w:rPr>
          <w:color w:val="000000"/>
          <w:sz w:val="28"/>
          <w:szCs w:val="28"/>
        </w:rPr>
        <w:br/>
        <w:t>та спрямована на забезпечення всебічного їх розгляду, оперативного розв’язання порушених питань з метою дотримання прав та задоволення інтересів громадян.</w:t>
      </w:r>
    </w:p>
    <w:p w:rsidR="00D06FB1" w:rsidRPr="00EF4224" w:rsidRDefault="00D06FB1" w:rsidP="00D06FB1">
      <w:pPr>
        <w:pStyle w:val="a3"/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EF4224">
        <w:rPr>
          <w:sz w:val="28"/>
          <w:szCs w:val="28"/>
        </w:rPr>
        <w:t>У</w:t>
      </w:r>
      <w:r w:rsidR="00A460E0" w:rsidRPr="00EF4224">
        <w:rPr>
          <w:sz w:val="28"/>
          <w:szCs w:val="28"/>
        </w:rPr>
        <w:t xml:space="preserve"> </w:t>
      </w:r>
      <w:r w:rsidRPr="00EF4224">
        <w:rPr>
          <w:sz w:val="28"/>
          <w:szCs w:val="28"/>
        </w:rPr>
        <w:t>202</w:t>
      </w:r>
      <w:r w:rsidR="00A460E0" w:rsidRPr="00EF4224">
        <w:rPr>
          <w:sz w:val="28"/>
          <w:szCs w:val="28"/>
        </w:rPr>
        <w:t>2</w:t>
      </w:r>
      <w:r w:rsidRPr="00EF4224">
        <w:rPr>
          <w:sz w:val="28"/>
          <w:szCs w:val="28"/>
        </w:rPr>
        <w:t xml:space="preserve"> ро</w:t>
      </w:r>
      <w:r w:rsidR="005B110A" w:rsidRPr="00EF4224">
        <w:rPr>
          <w:sz w:val="28"/>
          <w:szCs w:val="28"/>
        </w:rPr>
        <w:t>ці</w:t>
      </w:r>
      <w:r w:rsidRPr="00EF4224">
        <w:rPr>
          <w:sz w:val="28"/>
          <w:szCs w:val="28"/>
        </w:rPr>
        <w:t xml:space="preserve"> надійшло </w:t>
      </w:r>
      <w:r w:rsidR="007C1BBF" w:rsidRPr="00EF4224">
        <w:rPr>
          <w:sz w:val="28"/>
          <w:szCs w:val="28"/>
        </w:rPr>
        <w:t>1490</w:t>
      </w:r>
      <w:r w:rsidR="00A7277D" w:rsidRPr="00EF4224">
        <w:rPr>
          <w:sz w:val="28"/>
          <w:szCs w:val="28"/>
        </w:rPr>
        <w:t xml:space="preserve"> пропозицій, заяв </w:t>
      </w:r>
      <w:r w:rsidRPr="00EF4224">
        <w:rPr>
          <w:sz w:val="28"/>
          <w:szCs w:val="28"/>
        </w:rPr>
        <w:t>і скарг громадян</w:t>
      </w:r>
      <w:r w:rsidR="00A460E0" w:rsidRPr="00EF4224">
        <w:rPr>
          <w:sz w:val="28"/>
          <w:szCs w:val="28"/>
        </w:rPr>
        <w:t xml:space="preserve"> (проти </w:t>
      </w:r>
      <w:r w:rsidR="007C1BBF" w:rsidRPr="00EF4224">
        <w:rPr>
          <w:sz w:val="28"/>
          <w:szCs w:val="28"/>
        </w:rPr>
        <w:t>2788</w:t>
      </w:r>
      <w:r w:rsidR="00A460E0" w:rsidRPr="00EF4224">
        <w:rPr>
          <w:sz w:val="28"/>
          <w:szCs w:val="28"/>
        </w:rPr>
        <w:t xml:space="preserve"> за аналогічний період 2021 року)</w:t>
      </w:r>
      <w:r w:rsidR="007C1BBF" w:rsidRPr="00EF4224">
        <w:rPr>
          <w:sz w:val="28"/>
          <w:szCs w:val="28"/>
        </w:rPr>
        <w:t xml:space="preserve">, </w:t>
      </w:r>
      <w:r w:rsidRPr="00EF4224">
        <w:rPr>
          <w:sz w:val="28"/>
          <w:szCs w:val="28"/>
        </w:rPr>
        <w:t xml:space="preserve">з них заяви – </w:t>
      </w:r>
      <w:r w:rsidR="007C1BBF" w:rsidRPr="00EF4224">
        <w:rPr>
          <w:sz w:val="28"/>
          <w:szCs w:val="28"/>
        </w:rPr>
        <w:t>906</w:t>
      </w:r>
      <w:r w:rsidR="002D5B5E" w:rsidRPr="00EF4224">
        <w:rPr>
          <w:sz w:val="28"/>
          <w:szCs w:val="28"/>
        </w:rPr>
        <w:t xml:space="preserve"> (проти </w:t>
      </w:r>
      <w:r w:rsidR="007C1BBF" w:rsidRPr="00EF4224">
        <w:rPr>
          <w:sz w:val="28"/>
          <w:szCs w:val="28"/>
        </w:rPr>
        <w:t xml:space="preserve">2167 за аналогічний період 2021 </w:t>
      </w:r>
      <w:r w:rsidR="00F31C9F" w:rsidRPr="00EF4224">
        <w:rPr>
          <w:sz w:val="28"/>
          <w:szCs w:val="28"/>
        </w:rPr>
        <w:t>року</w:t>
      </w:r>
      <w:r w:rsidR="002D5B5E" w:rsidRPr="00EF4224">
        <w:rPr>
          <w:sz w:val="28"/>
          <w:szCs w:val="28"/>
        </w:rPr>
        <w:t>)</w:t>
      </w:r>
      <w:r w:rsidRPr="00EF4224">
        <w:rPr>
          <w:sz w:val="28"/>
          <w:szCs w:val="28"/>
        </w:rPr>
        <w:t xml:space="preserve">, скарги – </w:t>
      </w:r>
      <w:r w:rsidR="007C1BBF" w:rsidRPr="00EF4224">
        <w:rPr>
          <w:sz w:val="28"/>
          <w:szCs w:val="28"/>
        </w:rPr>
        <w:t>59</w:t>
      </w:r>
      <w:r w:rsidR="00E83309" w:rsidRPr="00EF4224">
        <w:rPr>
          <w:sz w:val="28"/>
          <w:szCs w:val="28"/>
        </w:rPr>
        <w:t xml:space="preserve"> (проти </w:t>
      </w:r>
      <w:r w:rsidR="007C1BBF" w:rsidRPr="00EF4224">
        <w:rPr>
          <w:sz w:val="28"/>
          <w:szCs w:val="28"/>
        </w:rPr>
        <w:t>170 за аналогічний період 2021 року</w:t>
      </w:r>
      <w:r w:rsidR="00E83309" w:rsidRPr="00EF4224">
        <w:rPr>
          <w:sz w:val="28"/>
          <w:szCs w:val="28"/>
        </w:rPr>
        <w:t>)</w:t>
      </w:r>
      <w:r w:rsidRPr="00EF4224">
        <w:rPr>
          <w:sz w:val="28"/>
          <w:szCs w:val="28"/>
        </w:rPr>
        <w:t xml:space="preserve">, пропозиції – </w:t>
      </w:r>
      <w:r w:rsidR="007C1BBF" w:rsidRPr="00EF4224">
        <w:rPr>
          <w:sz w:val="28"/>
          <w:szCs w:val="28"/>
        </w:rPr>
        <w:t>525</w:t>
      </w:r>
      <w:r w:rsidR="002D5B5E" w:rsidRPr="00EF4224">
        <w:rPr>
          <w:sz w:val="28"/>
          <w:szCs w:val="28"/>
        </w:rPr>
        <w:t xml:space="preserve"> (проти </w:t>
      </w:r>
      <w:r w:rsidR="007C1BBF" w:rsidRPr="00EF4224">
        <w:rPr>
          <w:sz w:val="28"/>
          <w:szCs w:val="28"/>
        </w:rPr>
        <w:t>451 за аналогічний період 2021 року</w:t>
      </w:r>
      <w:r w:rsidR="002D5B5E" w:rsidRPr="00EF4224">
        <w:rPr>
          <w:sz w:val="28"/>
          <w:szCs w:val="28"/>
        </w:rPr>
        <w:t>)</w:t>
      </w:r>
      <w:r w:rsidRPr="00EF4224">
        <w:rPr>
          <w:sz w:val="28"/>
          <w:szCs w:val="28"/>
        </w:rPr>
        <w:t xml:space="preserve">. Розподіл за видами звернень громадян до </w:t>
      </w:r>
      <w:r w:rsidRPr="00EF4224">
        <w:rPr>
          <w:spacing w:val="-6"/>
          <w:sz w:val="28"/>
          <w:szCs w:val="28"/>
        </w:rPr>
        <w:t>Міністерства, що надійшли у</w:t>
      </w:r>
      <w:r w:rsidR="00046AA3" w:rsidRPr="00EF4224">
        <w:rPr>
          <w:spacing w:val="-6"/>
          <w:sz w:val="28"/>
          <w:szCs w:val="28"/>
        </w:rPr>
        <w:t xml:space="preserve"> </w:t>
      </w:r>
      <w:r w:rsidRPr="00EF4224">
        <w:rPr>
          <w:spacing w:val="-6"/>
          <w:sz w:val="28"/>
          <w:szCs w:val="28"/>
        </w:rPr>
        <w:t>202</w:t>
      </w:r>
      <w:r w:rsidR="00E83309" w:rsidRPr="00EF4224">
        <w:rPr>
          <w:spacing w:val="-6"/>
          <w:sz w:val="28"/>
          <w:szCs w:val="28"/>
        </w:rPr>
        <w:t>2</w:t>
      </w:r>
      <w:r w:rsidRPr="00EF4224">
        <w:rPr>
          <w:spacing w:val="-6"/>
          <w:sz w:val="28"/>
          <w:szCs w:val="28"/>
        </w:rPr>
        <w:t xml:space="preserve"> ро</w:t>
      </w:r>
      <w:r w:rsidR="007C1BBF" w:rsidRPr="00EF4224">
        <w:rPr>
          <w:spacing w:val="-6"/>
          <w:sz w:val="28"/>
          <w:szCs w:val="28"/>
        </w:rPr>
        <w:t>ці</w:t>
      </w:r>
      <w:r w:rsidRPr="00EF4224">
        <w:rPr>
          <w:spacing w:val="-6"/>
          <w:sz w:val="28"/>
          <w:szCs w:val="28"/>
        </w:rPr>
        <w:t>, наведений у діаграмі 1.</w:t>
      </w:r>
    </w:p>
    <w:p w:rsidR="006E714D" w:rsidRPr="00EF4224" w:rsidRDefault="006E714D" w:rsidP="00D06FB1">
      <w:pPr>
        <w:pStyle w:val="a3"/>
        <w:ind w:firstLine="7371"/>
        <w:jc w:val="both"/>
        <w:rPr>
          <w:sz w:val="28"/>
          <w:szCs w:val="28"/>
        </w:rPr>
      </w:pPr>
    </w:p>
    <w:p w:rsidR="00D06FB1" w:rsidRPr="00EF4224" w:rsidRDefault="00D06FB1" w:rsidP="00D06FB1">
      <w:pPr>
        <w:pStyle w:val="a3"/>
        <w:ind w:firstLine="7371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Діаграма 1</w:t>
      </w:r>
    </w:p>
    <w:p w:rsidR="00D06FB1" w:rsidRPr="00EF4224" w:rsidRDefault="00B67ADD" w:rsidP="00D06FB1">
      <w:pPr>
        <w:pStyle w:val="a3"/>
        <w:ind w:firstLine="567"/>
        <w:jc w:val="both"/>
        <w:rPr>
          <w:sz w:val="28"/>
          <w:szCs w:val="28"/>
        </w:rPr>
      </w:pPr>
      <w:r w:rsidRPr="00EF4224">
        <w:rPr>
          <w:noProof/>
          <w:sz w:val="28"/>
          <w:szCs w:val="28"/>
          <w:lang w:eastAsia="uk-UA"/>
        </w:rPr>
        <w:drawing>
          <wp:inline distT="0" distB="0" distL="0" distR="0" wp14:anchorId="2FCCB5CE" wp14:editId="5B6779C0">
            <wp:extent cx="5695950" cy="2381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714D" w:rsidRPr="00EF4224" w:rsidRDefault="006E714D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E714D" w:rsidRPr="00EF4224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F4224">
        <w:rPr>
          <w:color w:val="000000"/>
          <w:sz w:val="28"/>
          <w:szCs w:val="28"/>
        </w:rPr>
        <w:t>Серед загальної кількості звернень переважають індивідуальні (</w:t>
      </w:r>
      <w:r w:rsidR="003A5EC8" w:rsidRPr="00EF4224">
        <w:rPr>
          <w:color w:val="000000"/>
          <w:sz w:val="28"/>
          <w:szCs w:val="28"/>
        </w:rPr>
        <w:t>1434</w:t>
      </w:r>
      <w:r w:rsidRPr="00EF4224">
        <w:rPr>
          <w:color w:val="000000"/>
          <w:sz w:val="28"/>
          <w:szCs w:val="28"/>
        </w:rPr>
        <w:t xml:space="preserve"> або </w:t>
      </w:r>
      <w:r w:rsidR="003A5EC8" w:rsidRPr="00EF4224">
        <w:rPr>
          <w:color w:val="000000"/>
          <w:sz w:val="28"/>
          <w:szCs w:val="28"/>
        </w:rPr>
        <w:t xml:space="preserve">96,24 </w:t>
      </w:r>
      <w:r w:rsidRPr="00EF4224">
        <w:rPr>
          <w:color w:val="000000"/>
          <w:sz w:val="28"/>
          <w:szCs w:val="28"/>
        </w:rPr>
        <w:t xml:space="preserve">%). Колективних звернень надійшло – </w:t>
      </w:r>
      <w:r w:rsidR="00BD48FF" w:rsidRPr="00EF4224">
        <w:rPr>
          <w:color w:val="000000"/>
          <w:sz w:val="28"/>
          <w:szCs w:val="28"/>
        </w:rPr>
        <w:t>56</w:t>
      </w:r>
      <w:r w:rsidRPr="00EF4224">
        <w:rPr>
          <w:b/>
          <w:color w:val="000000"/>
          <w:sz w:val="28"/>
          <w:szCs w:val="28"/>
        </w:rPr>
        <w:t xml:space="preserve"> </w:t>
      </w:r>
      <w:r w:rsidRPr="00EF4224">
        <w:rPr>
          <w:color w:val="000000"/>
          <w:sz w:val="28"/>
          <w:szCs w:val="28"/>
        </w:rPr>
        <w:t>(</w:t>
      </w:r>
      <w:r w:rsidR="00BD48FF" w:rsidRPr="00EF4224">
        <w:rPr>
          <w:color w:val="000000"/>
          <w:sz w:val="28"/>
          <w:szCs w:val="28"/>
        </w:rPr>
        <w:t>3,76</w:t>
      </w:r>
      <w:r w:rsidRPr="00EF4224">
        <w:rPr>
          <w:color w:val="000000"/>
          <w:sz w:val="28"/>
          <w:szCs w:val="28"/>
        </w:rPr>
        <w:t xml:space="preserve"> %), у них підписантів – </w:t>
      </w:r>
      <w:r w:rsidR="00352FBB" w:rsidRPr="00EF4224">
        <w:rPr>
          <w:color w:val="000000"/>
          <w:sz w:val="28"/>
          <w:szCs w:val="28"/>
        </w:rPr>
        <w:t>5853</w:t>
      </w:r>
      <w:r w:rsidR="007572F7" w:rsidRPr="00EF4224">
        <w:rPr>
          <w:color w:val="000000"/>
          <w:sz w:val="28"/>
          <w:szCs w:val="28"/>
        </w:rPr>
        <w:t xml:space="preserve"> осіб. </w:t>
      </w:r>
    </w:p>
    <w:p w:rsidR="00D06FB1" w:rsidRPr="00EF4224" w:rsidRDefault="00945145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pacing w:val="-6"/>
          <w:sz w:val="28"/>
          <w:szCs w:val="28"/>
        </w:rPr>
        <w:t>За озн</w:t>
      </w:r>
      <w:r w:rsidR="00945C54" w:rsidRPr="00EF4224">
        <w:rPr>
          <w:spacing w:val="-6"/>
          <w:sz w:val="28"/>
          <w:szCs w:val="28"/>
        </w:rPr>
        <w:t xml:space="preserve">акою надходження: первинне – </w:t>
      </w:r>
      <w:r w:rsidR="006E714D" w:rsidRPr="00EF4224">
        <w:rPr>
          <w:spacing w:val="-6"/>
          <w:sz w:val="28"/>
          <w:szCs w:val="28"/>
        </w:rPr>
        <w:t>2</w:t>
      </w:r>
      <w:r w:rsidR="00BA110A" w:rsidRPr="00EF4224">
        <w:rPr>
          <w:spacing w:val="-6"/>
          <w:sz w:val="28"/>
          <w:szCs w:val="28"/>
        </w:rPr>
        <w:t>75</w:t>
      </w:r>
      <w:r w:rsidR="00945C54" w:rsidRPr="00EF4224">
        <w:rPr>
          <w:spacing w:val="-6"/>
          <w:sz w:val="28"/>
          <w:szCs w:val="28"/>
        </w:rPr>
        <w:t xml:space="preserve"> (</w:t>
      </w:r>
      <w:r w:rsidR="00BA110A" w:rsidRPr="00EF4224">
        <w:rPr>
          <w:spacing w:val="-6"/>
          <w:sz w:val="28"/>
          <w:szCs w:val="28"/>
        </w:rPr>
        <w:t>18</w:t>
      </w:r>
      <w:r w:rsidR="006E714D" w:rsidRPr="00EF4224">
        <w:rPr>
          <w:spacing w:val="-6"/>
          <w:sz w:val="28"/>
          <w:szCs w:val="28"/>
        </w:rPr>
        <w:t>,</w:t>
      </w:r>
      <w:r w:rsidR="00BA110A" w:rsidRPr="00EF4224">
        <w:rPr>
          <w:spacing w:val="-6"/>
          <w:sz w:val="28"/>
          <w:szCs w:val="28"/>
        </w:rPr>
        <w:t>46</w:t>
      </w:r>
      <w:r w:rsidRPr="00EF4224">
        <w:rPr>
          <w:spacing w:val="-6"/>
          <w:sz w:val="28"/>
          <w:szCs w:val="28"/>
        </w:rPr>
        <w:t xml:space="preserve"> %), дублетне – </w:t>
      </w:r>
      <w:r w:rsidR="00BA110A" w:rsidRPr="00EF4224">
        <w:rPr>
          <w:spacing w:val="-6"/>
          <w:sz w:val="28"/>
          <w:szCs w:val="28"/>
        </w:rPr>
        <w:t>222</w:t>
      </w:r>
      <w:r w:rsidR="00945C54" w:rsidRPr="00EF4224">
        <w:rPr>
          <w:spacing w:val="-6"/>
          <w:sz w:val="28"/>
          <w:szCs w:val="28"/>
        </w:rPr>
        <w:t xml:space="preserve"> (</w:t>
      </w:r>
      <w:r w:rsidR="00BA110A" w:rsidRPr="00EF4224">
        <w:rPr>
          <w:spacing w:val="-6"/>
          <w:sz w:val="28"/>
          <w:szCs w:val="28"/>
        </w:rPr>
        <w:t>14,90</w:t>
      </w:r>
      <w:r w:rsidR="00945C54" w:rsidRPr="00EF4224">
        <w:rPr>
          <w:spacing w:val="-6"/>
          <w:sz w:val="28"/>
          <w:szCs w:val="28"/>
        </w:rPr>
        <w:t xml:space="preserve"> %),</w:t>
      </w:r>
      <w:r w:rsidR="00945C54" w:rsidRPr="00EF4224">
        <w:rPr>
          <w:sz w:val="28"/>
          <w:szCs w:val="28"/>
        </w:rPr>
        <w:t xml:space="preserve"> неодноразове – </w:t>
      </w:r>
      <w:r w:rsidR="00BA110A" w:rsidRPr="00EF4224">
        <w:rPr>
          <w:sz w:val="28"/>
          <w:szCs w:val="28"/>
        </w:rPr>
        <w:t>73</w:t>
      </w:r>
      <w:r w:rsidR="002D5B5E" w:rsidRPr="00EF4224">
        <w:rPr>
          <w:sz w:val="28"/>
          <w:szCs w:val="28"/>
        </w:rPr>
        <w:t xml:space="preserve"> </w:t>
      </w:r>
      <w:r w:rsidR="00945C54" w:rsidRPr="00EF4224">
        <w:rPr>
          <w:sz w:val="28"/>
          <w:szCs w:val="28"/>
        </w:rPr>
        <w:t>(</w:t>
      </w:r>
      <w:r w:rsidR="006E714D" w:rsidRPr="00EF4224">
        <w:rPr>
          <w:sz w:val="28"/>
          <w:szCs w:val="28"/>
        </w:rPr>
        <w:t>4,</w:t>
      </w:r>
      <w:r w:rsidR="00BA110A" w:rsidRPr="00EF4224">
        <w:rPr>
          <w:sz w:val="28"/>
          <w:szCs w:val="28"/>
        </w:rPr>
        <w:t>90</w:t>
      </w:r>
      <w:r w:rsidRPr="00EF4224">
        <w:rPr>
          <w:sz w:val="28"/>
          <w:szCs w:val="28"/>
        </w:rPr>
        <w:t xml:space="preserve"> %), масове – </w:t>
      </w:r>
      <w:r w:rsidR="002D5B5E" w:rsidRPr="00EF4224">
        <w:rPr>
          <w:sz w:val="28"/>
          <w:szCs w:val="28"/>
        </w:rPr>
        <w:t>4</w:t>
      </w:r>
      <w:r w:rsidR="00BA110A" w:rsidRPr="00EF4224">
        <w:rPr>
          <w:sz w:val="28"/>
          <w:szCs w:val="28"/>
        </w:rPr>
        <w:t>46</w:t>
      </w:r>
      <w:r w:rsidR="00945C54" w:rsidRPr="00EF4224">
        <w:rPr>
          <w:sz w:val="28"/>
          <w:szCs w:val="28"/>
        </w:rPr>
        <w:t xml:space="preserve"> (</w:t>
      </w:r>
      <w:r w:rsidR="00BA110A" w:rsidRPr="00EF4224">
        <w:rPr>
          <w:sz w:val="28"/>
          <w:szCs w:val="28"/>
        </w:rPr>
        <w:t>29,93</w:t>
      </w:r>
      <w:r w:rsidRPr="00EF4224">
        <w:rPr>
          <w:sz w:val="28"/>
          <w:szCs w:val="28"/>
        </w:rPr>
        <w:t xml:space="preserve"> %). </w:t>
      </w:r>
      <w:r w:rsidR="00D06FB1" w:rsidRPr="00EF4224">
        <w:rPr>
          <w:sz w:val="28"/>
          <w:szCs w:val="28"/>
        </w:rPr>
        <w:t xml:space="preserve">Упродовж звітного періоду до </w:t>
      </w:r>
      <w:r w:rsidR="004327F5" w:rsidRPr="00EF4224">
        <w:rPr>
          <w:sz w:val="28"/>
          <w:szCs w:val="28"/>
        </w:rPr>
        <w:t>м</w:t>
      </w:r>
      <w:r w:rsidR="00D06FB1" w:rsidRPr="00EF4224">
        <w:rPr>
          <w:sz w:val="28"/>
          <w:szCs w:val="28"/>
        </w:rPr>
        <w:t xml:space="preserve">іністерства надійшло </w:t>
      </w:r>
      <w:r w:rsidR="006B4F0F" w:rsidRPr="00EF4224">
        <w:rPr>
          <w:sz w:val="28"/>
          <w:szCs w:val="28"/>
        </w:rPr>
        <w:t>112</w:t>
      </w:r>
      <w:r w:rsidRPr="00EF4224">
        <w:rPr>
          <w:sz w:val="28"/>
          <w:szCs w:val="28"/>
        </w:rPr>
        <w:t xml:space="preserve"> (</w:t>
      </w:r>
      <w:r w:rsidR="006B4F0F" w:rsidRPr="00EF4224">
        <w:rPr>
          <w:sz w:val="28"/>
          <w:szCs w:val="28"/>
        </w:rPr>
        <w:t>7,52</w:t>
      </w:r>
      <w:r w:rsidRPr="00EF4224">
        <w:rPr>
          <w:sz w:val="28"/>
          <w:szCs w:val="28"/>
        </w:rPr>
        <w:t xml:space="preserve"> %)</w:t>
      </w:r>
      <w:r w:rsidR="00D06FB1" w:rsidRPr="00EF4224">
        <w:rPr>
          <w:sz w:val="28"/>
          <w:szCs w:val="28"/>
        </w:rPr>
        <w:t xml:space="preserve"> повторних звернень. </w:t>
      </w:r>
    </w:p>
    <w:p w:rsidR="00D06FB1" w:rsidRPr="00EF4224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Найчастіше причиною повторних звернень є бажання заявника отримати </w:t>
      </w:r>
      <w:r w:rsidR="006E714D" w:rsidRPr="00EF4224">
        <w:rPr>
          <w:sz w:val="28"/>
          <w:szCs w:val="28"/>
        </w:rPr>
        <w:t>уточнену інформацію</w:t>
      </w:r>
      <w:r w:rsidRPr="00EF4224">
        <w:rPr>
          <w:sz w:val="28"/>
          <w:szCs w:val="28"/>
        </w:rPr>
        <w:t xml:space="preserve">. З метою запобігання надходжень повторних звернень фахівцями </w:t>
      </w:r>
      <w:r w:rsidR="004327F5" w:rsidRPr="00EF4224">
        <w:rPr>
          <w:sz w:val="28"/>
          <w:szCs w:val="28"/>
        </w:rPr>
        <w:t>міністерства</w:t>
      </w:r>
      <w:r w:rsidRPr="00EF4224">
        <w:rPr>
          <w:sz w:val="28"/>
          <w:szCs w:val="28"/>
        </w:rPr>
        <w:t xml:space="preserve"> вживаються вичерпні заходи і надаються заявникам детальні, ґрунтовні відповіді та роз’яснення.</w:t>
      </w:r>
    </w:p>
    <w:p w:rsidR="006E714D" w:rsidRPr="00EF4224" w:rsidRDefault="006E714D" w:rsidP="00D06FB1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D06FB1" w:rsidRPr="00EF4224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Результати аналізу звернень громадян до </w:t>
      </w:r>
      <w:r w:rsidR="004327F5" w:rsidRPr="00EF4224">
        <w:rPr>
          <w:sz w:val="28"/>
          <w:szCs w:val="28"/>
        </w:rPr>
        <w:t>м</w:t>
      </w:r>
      <w:r w:rsidRPr="00EF4224">
        <w:rPr>
          <w:sz w:val="28"/>
          <w:szCs w:val="28"/>
        </w:rPr>
        <w:t xml:space="preserve">іністерства за формою </w:t>
      </w:r>
      <w:r w:rsidRPr="00EF4224">
        <w:rPr>
          <w:sz w:val="28"/>
          <w:szCs w:val="28"/>
        </w:rPr>
        <w:br/>
        <w:t>їх надходження у</w:t>
      </w:r>
      <w:r w:rsidR="00BA7DE7" w:rsidRPr="00EF4224">
        <w:rPr>
          <w:sz w:val="28"/>
          <w:szCs w:val="28"/>
        </w:rPr>
        <w:t xml:space="preserve"> </w:t>
      </w:r>
      <w:r w:rsidRPr="00EF4224">
        <w:rPr>
          <w:sz w:val="28"/>
          <w:szCs w:val="28"/>
        </w:rPr>
        <w:t>202</w:t>
      </w:r>
      <w:r w:rsidR="00A460E0" w:rsidRPr="00EF4224">
        <w:rPr>
          <w:sz w:val="28"/>
          <w:szCs w:val="28"/>
        </w:rPr>
        <w:t>2</w:t>
      </w:r>
      <w:r w:rsidRPr="00EF4224">
        <w:rPr>
          <w:sz w:val="28"/>
          <w:szCs w:val="28"/>
        </w:rPr>
        <w:t xml:space="preserve"> році наведені у таблиці 1.</w:t>
      </w:r>
    </w:p>
    <w:p w:rsidR="00D06FB1" w:rsidRPr="00EF4224" w:rsidRDefault="00D06FB1" w:rsidP="00D06FB1">
      <w:pPr>
        <w:ind w:firstLine="7371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Таблиця 1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316"/>
        <w:gridCol w:w="1701"/>
      </w:tblGrid>
      <w:tr w:rsidR="00D06FB1" w:rsidRPr="00EF4224" w:rsidTr="000D7233">
        <w:trPr>
          <w:trHeight w:val="329"/>
        </w:trPr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b/>
                <w:bCs/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 xml:space="preserve">№ з/п 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jc w:val="both"/>
              <w:rPr>
                <w:b/>
                <w:bCs/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Форма надходження звернень громадян</w:t>
            </w:r>
          </w:p>
        </w:tc>
        <w:tc>
          <w:tcPr>
            <w:tcW w:w="1701" w:type="dxa"/>
          </w:tcPr>
          <w:p w:rsidR="00D06FB1" w:rsidRPr="00EF4224" w:rsidRDefault="00D06FB1" w:rsidP="00905A74">
            <w:pPr>
              <w:jc w:val="center"/>
              <w:rPr>
                <w:b/>
                <w:bCs/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EF4224">
              <w:rPr>
                <w:b/>
                <w:bCs/>
                <w:sz w:val="28"/>
                <w:szCs w:val="28"/>
              </w:rPr>
              <w:t>2</w:t>
            </w:r>
            <w:r w:rsidR="000D7233" w:rsidRPr="00EF4224">
              <w:rPr>
                <w:b/>
                <w:bCs/>
                <w:sz w:val="28"/>
                <w:szCs w:val="28"/>
              </w:rPr>
              <w:t>2</w:t>
            </w:r>
            <w:r w:rsidRPr="00EF422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4224">
              <w:rPr>
                <w:b/>
                <w:bCs/>
                <w:sz w:val="28"/>
                <w:szCs w:val="28"/>
              </w:rPr>
              <w:t>рік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1.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Через органи влади</w:t>
            </w:r>
          </w:p>
        </w:tc>
        <w:tc>
          <w:tcPr>
            <w:tcW w:w="1701" w:type="dxa"/>
          </w:tcPr>
          <w:p w:rsidR="00D06FB1" w:rsidRPr="00EF4224" w:rsidRDefault="00FE1A60" w:rsidP="00C50E64">
            <w:pPr>
              <w:jc w:val="center"/>
              <w:rPr>
                <w:bCs/>
                <w:sz w:val="28"/>
                <w:szCs w:val="28"/>
              </w:rPr>
            </w:pPr>
            <w:r w:rsidRPr="00EF4224">
              <w:rPr>
                <w:bCs/>
                <w:sz w:val="28"/>
                <w:szCs w:val="28"/>
              </w:rPr>
              <w:t>143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2.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 xml:space="preserve">Через інші підприємства, установи, організації </w:t>
            </w:r>
          </w:p>
        </w:tc>
        <w:tc>
          <w:tcPr>
            <w:tcW w:w="1701" w:type="dxa"/>
          </w:tcPr>
          <w:p w:rsidR="00D06FB1" w:rsidRPr="00EF4224" w:rsidRDefault="00FE1A60" w:rsidP="00C50E64">
            <w:pPr>
              <w:jc w:val="center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622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3.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Через засоби масової інформації</w:t>
            </w:r>
          </w:p>
        </w:tc>
        <w:tc>
          <w:tcPr>
            <w:tcW w:w="1701" w:type="dxa"/>
          </w:tcPr>
          <w:p w:rsidR="00D06FB1" w:rsidRPr="00EF4224" w:rsidRDefault="00A460E0" w:rsidP="00C50E64">
            <w:pPr>
              <w:jc w:val="center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--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4.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Безпосередньо від громадян, з них:</w:t>
            </w:r>
          </w:p>
        </w:tc>
        <w:tc>
          <w:tcPr>
            <w:tcW w:w="1701" w:type="dxa"/>
          </w:tcPr>
          <w:p w:rsidR="00D06FB1" w:rsidRPr="00EF4224" w:rsidRDefault="00D06FB1" w:rsidP="00C50E64">
            <w:pPr>
              <w:jc w:val="center"/>
              <w:rPr>
                <w:sz w:val="28"/>
                <w:szCs w:val="28"/>
              </w:rPr>
            </w:pP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4.1.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Поштою, у т. ч. електронною</w:t>
            </w:r>
          </w:p>
        </w:tc>
        <w:tc>
          <w:tcPr>
            <w:tcW w:w="1701" w:type="dxa"/>
          </w:tcPr>
          <w:p w:rsidR="00D06FB1" w:rsidRPr="00EF4224" w:rsidRDefault="00FE1A60" w:rsidP="00C50E64">
            <w:pPr>
              <w:jc w:val="center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724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4.2.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Під час проведення особистого прийому громадян</w:t>
            </w:r>
          </w:p>
        </w:tc>
        <w:tc>
          <w:tcPr>
            <w:tcW w:w="1701" w:type="dxa"/>
          </w:tcPr>
          <w:p w:rsidR="00D06FB1" w:rsidRPr="00EF4224" w:rsidRDefault="00FE1A60" w:rsidP="00C50E64">
            <w:pPr>
              <w:jc w:val="center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1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  <w:r w:rsidRPr="00EF4224">
              <w:rPr>
                <w:sz w:val="28"/>
                <w:szCs w:val="28"/>
              </w:rPr>
              <w:t>5.</w:t>
            </w: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Через уповноважену особу</w:t>
            </w:r>
          </w:p>
        </w:tc>
        <w:tc>
          <w:tcPr>
            <w:tcW w:w="1701" w:type="dxa"/>
          </w:tcPr>
          <w:p w:rsidR="00D06FB1" w:rsidRPr="00EF4224" w:rsidRDefault="00A460E0" w:rsidP="00C50E64">
            <w:pPr>
              <w:jc w:val="center"/>
              <w:rPr>
                <w:bCs/>
                <w:sz w:val="28"/>
                <w:szCs w:val="28"/>
              </w:rPr>
            </w:pPr>
            <w:r w:rsidRPr="00EF4224">
              <w:rPr>
                <w:bCs/>
                <w:sz w:val="28"/>
                <w:szCs w:val="28"/>
              </w:rPr>
              <w:t>--</w:t>
            </w:r>
          </w:p>
        </w:tc>
      </w:tr>
      <w:tr w:rsidR="00D06FB1" w:rsidRPr="00EF4224" w:rsidTr="000D7233">
        <w:tc>
          <w:tcPr>
            <w:tcW w:w="695" w:type="dxa"/>
          </w:tcPr>
          <w:p w:rsidR="00D06FB1" w:rsidRPr="00EF4224" w:rsidRDefault="00D06FB1" w:rsidP="00CE7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D06FB1" w:rsidRPr="00EF4224" w:rsidRDefault="00D06FB1" w:rsidP="00CE71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701" w:type="dxa"/>
          </w:tcPr>
          <w:p w:rsidR="00D06FB1" w:rsidRPr="00EF4224" w:rsidRDefault="00FE1A60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EF4224">
              <w:rPr>
                <w:b/>
                <w:bCs/>
                <w:sz w:val="28"/>
                <w:szCs w:val="28"/>
              </w:rPr>
              <w:t>1490</w:t>
            </w:r>
          </w:p>
        </w:tc>
      </w:tr>
    </w:tbl>
    <w:p w:rsidR="00FE1A60" w:rsidRPr="00EF4224" w:rsidRDefault="00FE1A60" w:rsidP="00D06F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6FB1" w:rsidRPr="00EF4224" w:rsidRDefault="00D06FB1" w:rsidP="00D06F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F4224">
        <w:rPr>
          <w:color w:val="000000"/>
          <w:sz w:val="28"/>
          <w:szCs w:val="28"/>
        </w:rPr>
        <w:lastRenderedPageBreak/>
        <w:t>Кількість звернень громадян</w:t>
      </w:r>
      <w:r w:rsidR="00BA7370" w:rsidRPr="00EF4224">
        <w:rPr>
          <w:color w:val="000000"/>
          <w:sz w:val="28"/>
          <w:szCs w:val="28"/>
        </w:rPr>
        <w:t xml:space="preserve">, що надійшли </w:t>
      </w:r>
      <w:r w:rsidRPr="00EF4224">
        <w:rPr>
          <w:color w:val="000000"/>
          <w:sz w:val="28"/>
          <w:szCs w:val="28"/>
        </w:rPr>
        <w:t xml:space="preserve">до </w:t>
      </w:r>
      <w:r w:rsidR="004327F5" w:rsidRPr="00EF4224">
        <w:rPr>
          <w:color w:val="000000"/>
          <w:sz w:val="28"/>
          <w:szCs w:val="28"/>
        </w:rPr>
        <w:t>м</w:t>
      </w:r>
      <w:r w:rsidRPr="00EF4224">
        <w:rPr>
          <w:color w:val="000000"/>
          <w:sz w:val="28"/>
          <w:szCs w:val="28"/>
        </w:rPr>
        <w:t xml:space="preserve">іністерства у розрізі регіонів </w:t>
      </w:r>
      <w:r w:rsidR="005165C8" w:rsidRPr="00EF4224">
        <w:rPr>
          <w:color w:val="000000"/>
          <w:sz w:val="28"/>
          <w:szCs w:val="28"/>
        </w:rPr>
        <w:t xml:space="preserve">у </w:t>
      </w:r>
      <w:r w:rsidR="009F600F" w:rsidRPr="00EF4224">
        <w:rPr>
          <w:color w:val="000000"/>
          <w:sz w:val="28"/>
          <w:szCs w:val="28"/>
        </w:rPr>
        <w:t>202</w:t>
      </w:r>
      <w:r w:rsidR="005165C8" w:rsidRPr="00EF4224">
        <w:rPr>
          <w:color w:val="000000"/>
          <w:sz w:val="28"/>
          <w:szCs w:val="28"/>
        </w:rPr>
        <w:t>2</w:t>
      </w:r>
      <w:r w:rsidR="009F600F" w:rsidRPr="00EF4224">
        <w:rPr>
          <w:color w:val="000000"/>
          <w:sz w:val="28"/>
          <w:szCs w:val="28"/>
        </w:rPr>
        <w:t xml:space="preserve"> </w:t>
      </w:r>
      <w:r w:rsidRPr="00EF4224">
        <w:rPr>
          <w:color w:val="000000"/>
          <w:sz w:val="28"/>
          <w:szCs w:val="28"/>
        </w:rPr>
        <w:t>ро</w:t>
      </w:r>
      <w:r w:rsidR="00606F25" w:rsidRPr="00EF4224">
        <w:rPr>
          <w:color w:val="000000"/>
          <w:sz w:val="28"/>
          <w:szCs w:val="28"/>
        </w:rPr>
        <w:t>ці</w:t>
      </w:r>
      <w:r w:rsidRPr="00EF4224">
        <w:rPr>
          <w:color w:val="000000"/>
          <w:sz w:val="28"/>
          <w:szCs w:val="28"/>
        </w:rPr>
        <w:t xml:space="preserve"> наведені у діаграмі 3.</w:t>
      </w:r>
    </w:p>
    <w:p w:rsidR="00D06FB1" w:rsidRPr="00EF4224" w:rsidRDefault="00D06FB1" w:rsidP="00D06FB1">
      <w:pPr>
        <w:shd w:val="clear" w:color="auto" w:fill="FFFFFF"/>
        <w:ind w:firstLine="7371"/>
        <w:jc w:val="both"/>
        <w:rPr>
          <w:color w:val="000000"/>
          <w:sz w:val="28"/>
          <w:szCs w:val="28"/>
        </w:rPr>
      </w:pPr>
      <w:r w:rsidRPr="00EF4224">
        <w:rPr>
          <w:color w:val="000000"/>
          <w:sz w:val="28"/>
          <w:szCs w:val="28"/>
        </w:rPr>
        <w:t>Діаграма 3</w:t>
      </w:r>
    </w:p>
    <w:p w:rsidR="00D06FB1" w:rsidRDefault="00D06FB1" w:rsidP="00B228AC">
      <w:pPr>
        <w:shd w:val="clear" w:color="auto" w:fill="FFFFFF"/>
        <w:ind w:hanging="284"/>
        <w:jc w:val="both"/>
        <w:rPr>
          <w:color w:val="000000"/>
          <w:sz w:val="28"/>
          <w:szCs w:val="28"/>
        </w:rPr>
      </w:pPr>
      <w:r w:rsidRPr="00EF4224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7C9234CE" wp14:editId="1000BC73">
            <wp:extent cx="6343650" cy="3133725"/>
            <wp:effectExtent l="0" t="0" r="19050" b="9525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F4224">
        <w:rPr>
          <w:color w:val="000000"/>
          <w:sz w:val="28"/>
          <w:szCs w:val="28"/>
        </w:rPr>
        <w:t xml:space="preserve">  </w:t>
      </w:r>
    </w:p>
    <w:p w:rsidR="00B228AC" w:rsidRPr="00EF4224" w:rsidRDefault="00B228AC" w:rsidP="00B228AC">
      <w:pPr>
        <w:shd w:val="clear" w:color="auto" w:fill="FFFFFF"/>
        <w:ind w:hanging="284"/>
        <w:jc w:val="both"/>
        <w:rPr>
          <w:color w:val="000000"/>
          <w:sz w:val="28"/>
          <w:szCs w:val="28"/>
        </w:rPr>
      </w:pPr>
    </w:p>
    <w:p w:rsidR="00D06FB1" w:rsidRPr="00EF4224" w:rsidRDefault="00D06FB1" w:rsidP="003645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F4224">
        <w:rPr>
          <w:color w:val="000000"/>
          <w:sz w:val="28"/>
          <w:szCs w:val="28"/>
        </w:rPr>
        <w:t xml:space="preserve">Найбільша кількість звернень надійшла від жителів </w:t>
      </w:r>
      <w:proofErr w:type="spellStart"/>
      <w:r w:rsidR="00A03C69" w:rsidRPr="00EF4224">
        <w:rPr>
          <w:color w:val="000000"/>
          <w:sz w:val="28"/>
          <w:szCs w:val="28"/>
        </w:rPr>
        <w:t>м.Київ</w:t>
      </w:r>
      <w:proofErr w:type="spellEnd"/>
      <w:r w:rsidR="00A03C69" w:rsidRPr="00EF4224">
        <w:rPr>
          <w:color w:val="000000"/>
          <w:sz w:val="28"/>
          <w:szCs w:val="28"/>
        </w:rPr>
        <w:t xml:space="preserve"> (</w:t>
      </w:r>
      <w:r w:rsidR="005165C8" w:rsidRPr="00EF4224">
        <w:rPr>
          <w:color w:val="000000"/>
          <w:sz w:val="28"/>
          <w:szCs w:val="28"/>
        </w:rPr>
        <w:t>18,</w:t>
      </w:r>
      <w:r w:rsidR="004415A6" w:rsidRPr="00EF4224">
        <w:rPr>
          <w:color w:val="000000"/>
          <w:sz w:val="28"/>
          <w:szCs w:val="28"/>
        </w:rPr>
        <w:t>79</w:t>
      </w:r>
      <w:r w:rsidR="00A03C69" w:rsidRPr="00EF4224">
        <w:rPr>
          <w:color w:val="000000"/>
          <w:sz w:val="28"/>
          <w:szCs w:val="28"/>
        </w:rPr>
        <w:t xml:space="preserve"> % від загальної кількості), </w:t>
      </w:r>
      <w:r w:rsidRPr="00EF4224">
        <w:rPr>
          <w:color w:val="000000"/>
          <w:sz w:val="28"/>
          <w:szCs w:val="28"/>
        </w:rPr>
        <w:t>Дніпропетровськ</w:t>
      </w:r>
      <w:r w:rsidR="005165C8" w:rsidRPr="00EF4224">
        <w:rPr>
          <w:color w:val="000000"/>
          <w:sz w:val="28"/>
          <w:szCs w:val="28"/>
        </w:rPr>
        <w:t>ої</w:t>
      </w:r>
      <w:r w:rsidRPr="00EF4224">
        <w:rPr>
          <w:color w:val="000000"/>
          <w:sz w:val="28"/>
          <w:szCs w:val="28"/>
        </w:rPr>
        <w:t xml:space="preserve"> (</w:t>
      </w:r>
      <w:r w:rsidR="000874EF" w:rsidRPr="00EF4224">
        <w:rPr>
          <w:color w:val="000000"/>
          <w:sz w:val="28"/>
          <w:szCs w:val="28"/>
        </w:rPr>
        <w:t>6</w:t>
      </w:r>
      <w:r w:rsidR="00905A74" w:rsidRPr="00EF4224">
        <w:rPr>
          <w:color w:val="000000"/>
          <w:sz w:val="28"/>
          <w:szCs w:val="28"/>
        </w:rPr>
        <w:t>,</w:t>
      </w:r>
      <w:r w:rsidR="000874EF" w:rsidRPr="00EF4224">
        <w:rPr>
          <w:color w:val="000000"/>
          <w:sz w:val="28"/>
          <w:szCs w:val="28"/>
        </w:rPr>
        <w:t>58</w:t>
      </w:r>
      <w:r w:rsidRPr="00EF4224">
        <w:rPr>
          <w:color w:val="000000"/>
          <w:sz w:val="28"/>
          <w:szCs w:val="28"/>
        </w:rPr>
        <w:t xml:space="preserve"> % звернень),</w:t>
      </w:r>
      <w:r w:rsidR="00905A74" w:rsidRPr="00EF4224">
        <w:rPr>
          <w:color w:val="000000"/>
          <w:sz w:val="28"/>
          <w:szCs w:val="28"/>
        </w:rPr>
        <w:t xml:space="preserve"> </w:t>
      </w:r>
      <w:r w:rsidR="000874EF" w:rsidRPr="00EF4224">
        <w:rPr>
          <w:color w:val="000000"/>
          <w:sz w:val="28"/>
          <w:szCs w:val="28"/>
        </w:rPr>
        <w:t>Київської (5,37 %),</w:t>
      </w:r>
      <w:r w:rsidR="003645CA">
        <w:rPr>
          <w:color w:val="000000"/>
          <w:sz w:val="28"/>
          <w:szCs w:val="28"/>
        </w:rPr>
        <w:t xml:space="preserve"> </w:t>
      </w:r>
      <w:r w:rsidR="00D010CD" w:rsidRPr="00EF4224">
        <w:rPr>
          <w:color w:val="000000"/>
          <w:sz w:val="28"/>
          <w:szCs w:val="28"/>
        </w:rPr>
        <w:t>Одеської (5,03%) та Полтавської (4,9</w:t>
      </w:r>
      <w:r w:rsidR="00AD671B" w:rsidRPr="00EF4224">
        <w:rPr>
          <w:color w:val="000000"/>
          <w:sz w:val="28"/>
          <w:szCs w:val="28"/>
        </w:rPr>
        <w:t>7</w:t>
      </w:r>
      <w:r w:rsidR="00D010CD" w:rsidRPr="00EF4224">
        <w:rPr>
          <w:color w:val="000000"/>
          <w:sz w:val="28"/>
          <w:szCs w:val="28"/>
        </w:rPr>
        <w:t xml:space="preserve">%) </w:t>
      </w:r>
      <w:r w:rsidRPr="00EF4224">
        <w:rPr>
          <w:color w:val="000000"/>
          <w:sz w:val="28"/>
          <w:szCs w:val="28"/>
        </w:rPr>
        <w:t xml:space="preserve">областей. </w:t>
      </w:r>
    </w:p>
    <w:p w:rsidR="00D06FB1" w:rsidRPr="00EF4224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Відповідно до Порядку взаємодії органів виконавчої влади та державної установи </w:t>
      </w:r>
      <w:r w:rsidR="007A711F">
        <w:rPr>
          <w:sz w:val="28"/>
          <w:szCs w:val="28"/>
        </w:rPr>
        <w:t>«</w:t>
      </w:r>
      <w:r w:rsidRPr="00EF4224">
        <w:rPr>
          <w:sz w:val="28"/>
          <w:szCs w:val="28"/>
        </w:rPr>
        <w:t>Урядовий контактний центр</w:t>
      </w:r>
      <w:r w:rsidR="007A711F">
        <w:rPr>
          <w:sz w:val="28"/>
          <w:szCs w:val="28"/>
        </w:rPr>
        <w:t>»</w:t>
      </w:r>
      <w:r w:rsidRPr="00EF4224">
        <w:rPr>
          <w:sz w:val="28"/>
          <w:szCs w:val="28"/>
        </w:rPr>
        <w:t xml:space="preserve">, затвердженого постановою Кабінету Міністрів України від 12.08.2009 № 898 </w:t>
      </w:r>
      <w:r w:rsidR="007A711F">
        <w:rPr>
          <w:sz w:val="28"/>
          <w:szCs w:val="28"/>
        </w:rPr>
        <w:t>«</w:t>
      </w:r>
      <w:r w:rsidRPr="00EF4224">
        <w:rPr>
          <w:sz w:val="28"/>
          <w:szCs w:val="28"/>
        </w:rPr>
        <w:t xml:space="preserve">Про взаємодію органів виконавчої влади та державної установи </w:t>
      </w:r>
      <w:r w:rsidR="007A711F">
        <w:rPr>
          <w:sz w:val="28"/>
          <w:szCs w:val="28"/>
        </w:rPr>
        <w:t>«</w:t>
      </w:r>
      <w:r w:rsidRPr="00EF4224">
        <w:rPr>
          <w:sz w:val="28"/>
          <w:szCs w:val="28"/>
        </w:rPr>
        <w:t>Урядовий контактний центр</w:t>
      </w:r>
      <w:r w:rsidR="007A711F">
        <w:rPr>
          <w:sz w:val="28"/>
          <w:szCs w:val="28"/>
        </w:rPr>
        <w:t>»</w:t>
      </w:r>
      <w:r w:rsidRPr="00EF4224">
        <w:rPr>
          <w:sz w:val="28"/>
          <w:szCs w:val="28"/>
        </w:rPr>
        <w:t xml:space="preserve">, </w:t>
      </w:r>
      <w:r w:rsidR="004327F5" w:rsidRPr="00EF4224">
        <w:rPr>
          <w:sz w:val="28"/>
          <w:szCs w:val="28"/>
        </w:rPr>
        <w:t>м</w:t>
      </w:r>
      <w:r w:rsidRPr="00EF4224">
        <w:rPr>
          <w:sz w:val="28"/>
          <w:szCs w:val="28"/>
        </w:rPr>
        <w:t xml:space="preserve">іністерство забезпечувало належний розгляд звернень громадян, що надходили на Урядову </w:t>
      </w:r>
      <w:r w:rsidR="007A711F">
        <w:rPr>
          <w:sz w:val="28"/>
          <w:szCs w:val="28"/>
        </w:rPr>
        <w:t>«</w:t>
      </w:r>
      <w:r w:rsidRPr="00EF4224">
        <w:rPr>
          <w:sz w:val="28"/>
          <w:szCs w:val="28"/>
        </w:rPr>
        <w:t>гарячу</w:t>
      </w:r>
      <w:r w:rsidR="007A711F">
        <w:rPr>
          <w:sz w:val="28"/>
          <w:szCs w:val="28"/>
        </w:rPr>
        <w:t>»</w:t>
      </w:r>
      <w:r w:rsidRPr="00EF4224">
        <w:rPr>
          <w:sz w:val="28"/>
          <w:szCs w:val="28"/>
        </w:rPr>
        <w:t xml:space="preserve"> лінію. У 202</w:t>
      </w:r>
      <w:r w:rsidR="006E714D" w:rsidRPr="00EF4224">
        <w:rPr>
          <w:sz w:val="28"/>
          <w:szCs w:val="28"/>
        </w:rPr>
        <w:t>2</w:t>
      </w:r>
      <w:r w:rsidRPr="00EF4224">
        <w:rPr>
          <w:sz w:val="28"/>
          <w:szCs w:val="28"/>
        </w:rPr>
        <w:t xml:space="preserve"> ро</w:t>
      </w:r>
      <w:r w:rsidR="00AD671B" w:rsidRPr="00EF4224">
        <w:rPr>
          <w:sz w:val="28"/>
          <w:szCs w:val="28"/>
        </w:rPr>
        <w:t>ці</w:t>
      </w:r>
      <w:r w:rsidRPr="00EF4224">
        <w:rPr>
          <w:sz w:val="28"/>
          <w:szCs w:val="28"/>
        </w:rPr>
        <w:t xml:space="preserve"> від </w:t>
      </w:r>
      <w:r w:rsidR="00A03C69" w:rsidRPr="00EF4224">
        <w:rPr>
          <w:sz w:val="28"/>
          <w:szCs w:val="28"/>
        </w:rPr>
        <w:t>ДУ</w:t>
      </w:r>
      <w:r w:rsidR="007A711F">
        <w:rPr>
          <w:sz w:val="28"/>
          <w:szCs w:val="28"/>
        </w:rPr>
        <w:t xml:space="preserve"> «Урядовий контактний центр»</w:t>
      </w:r>
      <w:r w:rsidRPr="00EF4224">
        <w:rPr>
          <w:sz w:val="28"/>
          <w:szCs w:val="28"/>
        </w:rPr>
        <w:t xml:space="preserve"> до </w:t>
      </w:r>
      <w:r w:rsidR="004327F5" w:rsidRPr="00EF4224">
        <w:rPr>
          <w:sz w:val="28"/>
          <w:szCs w:val="28"/>
        </w:rPr>
        <w:t>м</w:t>
      </w:r>
      <w:r w:rsidRPr="00EF4224">
        <w:rPr>
          <w:sz w:val="28"/>
          <w:szCs w:val="28"/>
        </w:rPr>
        <w:t xml:space="preserve">іністерства надійшло </w:t>
      </w:r>
      <w:r w:rsidR="000A154D" w:rsidRPr="00EF4224">
        <w:rPr>
          <w:sz w:val="28"/>
          <w:szCs w:val="28"/>
        </w:rPr>
        <w:t>591</w:t>
      </w:r>
      <w:r w:rsidRPr="00EF4224">
        <w:rPr>
          <w:sz w:val="28"/>
          <w:szCs w:val="28"/>
        </w:rPr>
        <w:t xml:space="preserve"> пропозицій, заяв і скарг громадян, що склало </w:t>
      </w:r>
      <w:r w:rsidR="000A154D" w:rsidRPr="00EF4224">
        <w:rPr>
          <w:sz w:val="28"/>
          <w:szCs w:val="28"/>
        </w:rPr>
        <w:t>39,66</w:t>
      </w:r>
      <w:r w:rsidR="003F7D7B" w:rsidRPr="00EF4224">
        <w:rPr>
          <w:sz w:val="28"/>
          <w:szCs w:val="28"/>
        </w:rPr>
        <w:t xml:space="preserve"> відсотків</w:t>
      </w:r>
      <w:r w:rsidRPr="00EF4224">
        <w:rPr>
          <w:sz w:val="28"/>
          <w:szCs w:val="28"/>
        </w:rPr>
        <w:t xml:space="preserve"> від загальної кількості звернень.</w:t>
      </w:r>
    </w:p>
    <w:p w:rsidR="00D06FB1" w:rsidRPr="00EF4224" w:rsidRDefault="00D06FB1" w:rsidP="00D06FB1">
      <w:pPr>
        <w:spacing w:line="276" w:lineRule="auto"/>
        <w:ind w:firstLine="703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У зверненнях громадян найбільш актуальними залишаються питання екологічного напрямку, а саме –  порушення вимог природоохоронного законодавства України, норм законодавства у сфері атмосферного повітря, забруднення водних об’єктів, оцінки впливу на довкілля (ОВД), погіршення стану довкілля, знищення лісових та зелених насаджень,</w:t>
      </w:r>
      <w:r w:rsidRPr="00EF4224">
        <w:rPr>
          <w:sz w:val="28"/>
          <w:szCs w:val="28"/>
          <w:lang w:val="ru-RU"/>
        </w:rPr>
        <w:t xml:space="preserve"> </w:t>
      </w:r>
      <w:r w:rsidRPr="00EF4224">
        <w:rPr>
          <w:sz w:val="28"/>
          <w:szCs w:val="28"/>
        </w:rPr>
        <w:t xml:space="preserve">збереження і розширення територій природно-заповідного фонду. </w:t>
      </w:r>
    </w:p>
    <w:p w:rsidR="00D06FB1" w:rsidRPr="00EF4224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З метою надання вичерпної інформації та оперативного розгляду питань екологічного спрямування міністерством забезпечено роботу приймальні </w:t>
      </w:r>
      <w:r w:rsidRPr="00EF4224">
        <w:rPr>
          <w:sz w:val="28"/>
          <w:szCs w:val="28"/>
        </w:rPr>
        <w:lastRenderedPageBreak/>
        <w:t>громадян та функціонування інформаційно-довідкової телефонної лінії Міндовкілля.</w:t>
      </w:r>
    </w:p>
    <w:p w:rsidR="00F85D15" w:rsidRPr="00EF4224" w:rsidRDefault="00F85D15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З метою забезпечення відкритості й прозорості діяльності Міністерства захисту довкілля та природних ресурсів України на офіці</w:t>
      </w:r>
      <w:r w:rsidR="007C5F21">
        <w:rPr>
          <w:sz w:val="28"/>
          <w:szCs w:val="28"/>
        </w:rPr>
        <w:t>й</w:t>
      </w:r>
      <w:r w:rsidRPr="00EF4224">
        <w:rPr>
          <w:sz w:val="28"/>
          <w:szCs w:val="28"/>
        </w:rPr>
        <w:t>ному вебсайті функціонують окремі розділи: «Громадська приймальня», «Доступ до публічної інформації», де розміщені всі види зв’язку, якими можуть скористатися громадяни для отримання необхідних роз’яснень.</w:t>
      </w:r>
    </w:p>
    <w:p w:rsidR="0039256D" w:rsidRPr="00EF4224" w:rsidRDefault="00F85D15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Для оперативного реагування на проблемні питання громадян функціонує </w:t>
      </w:r>
      <w:r w:rsidR="0039256D" w:rsidRPr="00EF4224">
        <w:rPr>
          <w:sz w:val="28"/>
          <w:szCs w:val="28"/>
        </w:rPr>
        <w:t>«г</w:t>
      </w:r>
      <w:r w:rsidR="00D06FB1" w:rsidRPr="00EF4224">
        <w:rPr>
          <w:sz w:val="28"/>
          <w:szCs w:val="28"/>
        </w:rPr>
        <w:t>аряч</w:t>
      </w:r>
      <w:r w:rsidR="00A03C69" w:rsidRPr="00EF4224">
        <w:rPr>
          <w:sz w:val="28"/>
          <w:szCs w:val="28"/>
        </w:rPr>
        <w:t>а</w:t>
      </w:r>
      <w:r w:rsidR="00D06FB1" w:rsidRPr="00EF4224">
        <w:rPr>
          <w:sz w:val="28"/>
          <w:szCs w:val="28"/>
        </w:rPr>
        <w:t xml:space="preserve"> ліні</w:t>
      </w:r>
      <w:r w:rsidR="00A03C69" w:rsidRPr="00EF4224">
        <w:rPr>
          <w:sz w:val="28"/>
          <w:szCs w:val="28"/>
        </w:rPr>
        <w:t>я</w:t>
      </w:r>
      <w:r w:rsidR="0039256D" w:rsidRPr="00EF4224">
        <w:rPr>
          <w:sz w:val="28"/>
          <w:szCs w:val="28"/>
        </w:rPr>
        <w:t>»</w:t>
      </w:r>
      <w:r w:rsidR="00D06FB1" w:rsidRPr="00EF4224">
        <w:rPr>
          <w:sz w:val="28"/>
          <w:szCs w:val="28"/>
        </w:rPr>
        <w:t xml:space="preserve"> «Міндовкілля на зв’язку»</w:t>
      </w:r>
      <w:r w:rsidRPr="00EF4224">
        <w:rPr>
          <w:sz w:val="28"/>
          <w:szCs w:val="28"/>
        </w:rPr>
        <w:t>, яка</w:t>
      </w:r>
      <w:r w:rsidR="00D06FB1" w:rsidRPr="00EF4224">
        <w:rPr>
          <w:sz w:val="28"/>
          <w:szCs w:val="28"/>
        </w:rPr>
        <w:t xml:space="preserve"> працює на базі існуючої системи </w:t>
      </w:r>
      <w:r w:rsidRPr="00EF4224">
        <w:rPr>
          <w:sz w:val="28"/>
          <w:szCs w:val="28"/>
        </w:rPr>
        <w:t>ДУ</w:t>
      </w:r>
      <w:r w:rsidR="007A711F">
        <w:rPr>
          <w:sz w:val="28"/>
          <w:szCs w:val="28"/>
        </w:rPr>
        <w:t xml:space="preserve"> «</w:t>
      </w:r>
      <w:r w:rsidR="00D06FB1" w:rsidRPr="00EF4224">
        <w:rPr>
          <w:sz w:val="28"/>
          <w:szCs w:val="28"/>
        </w:rPr>
        <w:t>Урядовий контактний центр</w:t>
      </w:r>
      <w:r w:rsidR="007A711F">
        <w:rPr>
          <w:sz w:val="28"/>
          <w:szCs w:val="28"/>
        </w:rPr>
        <w:t>»</w:t>
      </w:r>
      <w:r w:rsidR="00D06FB1" w:rsidRPr="00EF4224">
        <w:rPr>
          <w:sz w:val="28"/>
          <w:szCs w:val="28"/>
        </w:rPr>
        <w:t>.</w:t>
      </w:r>
      <w:r w:rsidR="006E714D" w:rsidRPr="00EF4224">
        <w:rPr>
          <w:sz w:val="28"/>
          <w:szCs w:val="28"/>
        </w:rPr>
        <w:t xml:space="preserve"> За 2022 р</w:t>
      </w:r>
      <w:r w:rsidR="00F255A5" w:rsidRPr="00EF4224">
        <w:rPr>
          <w:sz w:val="28"/>
          <w:szCs w:val="28"/>
        </w:rPr>
        <w:t>ік</w:t>
      </w:r>
      <w:r w:rsidR="006E714D" w:rsidRPr="00EF4224">
        <w:rPr>
          <w:sz w:val="28"/>
          <w:szCs w:val="28"/>
        </w:rPr>
        <w:t xml:space="preserve"> на «гарячу лінію» «Міндовкілля на зв’язку» </w:t>
      </w:r>
      <w:r w:rsidR="0039256D" w:rsidRPr="00EF4224">
        <w:rPr>
          <w:sz w:val="28"/>
          <w:szCs w:val="28"/>
        </w:rPr>
        <w:t xml:space="preserve">надійшло </w:t>
      </w:r>
      <w:r w:rsidR="004D296A" w:rsidRPr="00EF4224">
        <w:rPr>
          <w:sz w:val="28"/>
          <w:szCs w:val="28"/>
        </w:rPr>
        <w:t>1175</w:t>
      </w:r>
      <w:r w:rsidR="006E714D" w:rsidRPr="00EF4224">
        <w:rPr>
          <w:sz w:val="28"/>
          <w:szCs w:val="28"/>
        </w:rPr>
        <w:t xml:space="preserve"> </w:t>
      </w:r>
      <w:r w:rsidR="004D296A" w:rsidRPr="00EF4224">
        <w:rPr>
          <w:sz w:val="28"/>
          <w:szCs w:val="28"/>
        </w:rPr>
        <w:t xml:space="preserve">дзвінків від </w:t>
      </w:r>
      <w:r w:rsidR="0039256D" w:rsidRPr="00EF4224">
        <w:rPr>
          <w:sz w:val="28"/>
          <w:szCs w:val="28"/>
        </w:rPr>
        <w:t>громадян.</w:t>
      </w:r>
    </w:p>
    <w:p w:rsidR="0039256D" w:rsidRPr="00EF4224" w:rsidRDefault="0039256D" w:rsidP="0039256D">
      <w:pPr>
        <w:pStyle w:val="HTML"/>
        <w:shd w:val="clear" w:color="auto" w:fill="FFFFFF"/>
        <w:tabs>
          <w:tab w:val="left" w:pos="720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F4224">
        <w:rPr>
          <w:rFonts w:ascii="Times New Roman" w:hAnsi="Times New Roman"/>
          <w:sz w:val="28"/>
          <w:szCs w:val="28"/>
          <w:lang w:val="uk-UA"/>
        </w:rPr>
        <w:t xml:space="preserve">Звернення громадян, що надійшли </w:t>
      </w:r>
      <w:r w:rsidR="007A711F">
        <w:rPr>
          <w:rFonts w:ascii="Times New Roman" w:hAnsi="Times New Roman"/>
          <w:sz w:val="28"/>
          <w:szCs w:val="28"/>
          <w:lang w:val="uk-UA"/>
        </w:rPr>
        <w:t>на</w:t>
      </w:r>
      <w:r w:rsidRPr="00EF4224">
        <w:rPr>
          <w:rFonts w:ascii="Times New Roman" w:hAnsi="Times New Roman"/>
          <w:sz w:val="28"/>
          <w:szCs w:val="28"/>
          <w:lang w:val="uk-UA"/>
        </w:rPr>
        <w:t xml:space="preserve"> «гаряч</w:t>
      </w:r>
      <w:r w:rsidR="007A711F">
        <w:rPr>
          <w:rFonts w:ascii="Times New Roman" w:hAnsi="Times New Roman"/>
          <w:sz w:val="28"/>
          <w:szCs w:val="28"/>
          <w:lang w:val="uk-UA"/>
        </w:rPr>
        <w:t>у</w:t>
      </w:r>
      <w:r w:rsidRPr="00EF4224">
        <w:rPr>
          <w:rFonts w:ascii="Times New Roman" w:hAnsi="Times New Roman"/>
          <w:sz w:val="28"/>
          <w:szCs w:val="28"/>
          <w:lang w:val="uk-UA"/>
        </w:rPr>
        <w:t xml:space="preserve"> ліні</w:t>
      </w:r>
      <w:r w:rsidR="007A711F">
        <w:rPr>
          <w:rFonts w:ascii="Times New Roman" w:hAnsi="Times New Roman"/>
          <w:sz w:val="28"/>
          <w:szCs w:val="28"/>
          <w:lang w:val="uk-UA"/>
        </w:rPr>
        <w:t>ю</w:t>
      </w:r>
      <w:r w:rsidRPr="00EF4224">
        <w:rPr>
          <w:rFonts w:ascii="Times New Roman" w:hAnsi="Times New Roman"/>
          <w:sz w:val="28"/>
          <w:szCs w:val="28"/>
          <w:lang w:val="uk-UA"/>
        </w:rPr>
        <w:t>» «Міндовкілля на зв’язку», реєструються у день їх надходження в журналі реєстрації звернень громадян в системі електронного документообігу посадовою особою, яка приймала телефонний дзвінок. Звернення, в яких порушено питання інформативного, довідкового та консультативного характеру, а також які не потребують додаткового вивчення, розглядаються і вирішуються невідкладно.</w:t>
      </w:r>
    </w:p>
    <w:p w:rsidR="007572F7" w:rsidRPr="00EF4224" w:rsidRDefault="0039256D" w:rsidP="0039256D">
      <w:pPr>
        <w:pStyle w:val="HTML"/>
        <w:shd w:val="clear" w:color="auto" w:fill="FFFFFF"/>
        <w:tabs>
          <w:tab w:val="clear" w:pos="916"/>
          <w:tab w:val="left" w:pos="720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F4224">
        <w:rPr>
          <w:rFonts w:ascii="Times New Roman" w:hAnsi="Times New Roman"/>
          <w:sz w:val="28"/>
          <w:szCs w:val="28"/>
          <w:lang w:val="uk-UA"/>
        </w:rPr>
        <w:t>Звернення, що потребують більш детального вивчення, проведення додаткової перевірки вказаних фактів, розглядаються у тому</w:t>
      </w:r>
      <w:r w:rsidR="002C0E7A">
        <w:rPr>
          <w:rFonts w:ascii="Times New Roman" w:hAnsi="Times New Roman"/>
          <w:sz w:val="28"/>
          <w:szCs w:val="28"/>
          <w:lang w:val="uk-UA"/>
        </w:rPr>
        <w:t xml:space="preserve"> ж порядку, що й письмові</w:t>
      </w:r>
      <w:r w:rsidRPr="00EF4224">
        <w:rPr>
          <w:rFonts w:ascii="Times New Roman" w:hAnsi="Times New Roman"/>
          <w:sz w:val="28"/>
          <w:szCs w:val="28"/>
          <w:lang w:val="uk-UA"/>
        </w:rPr>
        <w:t xml:space="preserve"> звернення відповідно до Закону України «Про звернення громадян».</w:t>
      </w:r>
    </w:p>
    <w:p w:rsidR="0039256D" w:rsidRPr="00EF4224" w:rsidRDefault="0039256D" w:rsidP="0039256D">
      <w:pPr>
        <w:pStyle w:val="HTML"/>
        <w:shd w:val="clear" w:color="auto" w:fill="FFFFFF"/>
        <w:tabs>
          <w:tab w:val="clear" w:pos="916"/>
          <w:tab w:val="left" w:pos="720"/>
        </w:tabs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F4224">
        <w:rPr>
          <w:rFonts w:ascii="Times New Roman" w:hAnsi="Times New Roman" w:cs="Times New Roman"/>
          <w:sz w:val="28"/>
          <w:szCs w:val="28"/>
          <w:lang w:val="uk-UA"/>
        </w:rPr>
        <w:t>Інформація про «гарячу лінію» «Міндовкілля на зв’язку» розміщена на сайті Міністерства https://mepr.gov.ua/ та на сайті державного підприємства «Урядовий контактний центр» https://ukc.gov.ua/.</w:t>
      </w:r>
    </w:p>
    <w:p w:rsidR="00D06FB1" w:rsidRPr="00EF4224" w:rsidRDefault="00D06FB1" w:rsidP="0039256D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Міністерство прагне бути максимально відкритим у своїй діяльності, а кожен громадянин отриму</w:t>
      </w:r>
      <w:r w:rsidR="002C0E7A">
        <w:rPr>
          <w:sz w:val="28"/>
          <w:szCs w:val="28"/>
        </w:rPr>
        <w:t>є</w:t>
      </w:r>
      <w:r w:rsidRPr="00EF4224">
        <w:rPr>
          <w:sz w:val="28"/>
          <w:szCs w:val="28"/>
        </w:rPr>
        <w:t xml:space="preserve"> повний доступ до екологічної інформації.</w:t>
      </w:r>
    </w:p>
    <w:p w:rsidR="00D06FB1" w:rsidRPr="00EF4224" w:rsidRDefault="00A03C69" w:rsidP="0039256D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Д</w:t>
      </w:r>
      <w:r w:rsidR="00D06FB1" w:rsidRPr="00EF4224">
        <w:rPr>
          <w:sz w:val="28"/>
          <w:szCs w:val="28"/>
        </w:rPr>
        <w:t>ан</w:t>
      </w:r>
      <w:r w:rsidRPr="00EF4224">
        <w:rPr>
          <w:sz w:val="28"/>
          <w:szCs w:val="28"/>
        </w:rPr>
        <w:t>ий</w:t>
      </w:r>
      <w:r w:rsidR="00D06FB1" w:rsidRPr="00EF4224">
        <w:rPr>
          <w:sz w:val="28"/>
          <w:szCs w:val="28"/>
        </w:rPr>
        <w:t xml:space="preserve"> сервіс Міндовкілля </w:t>
      </w:r>
      <w:r w:rsidR="00707E21" w:rsidRPr="00EF4224">
        <w:rPr>
          <w:sz w:val="28"/>
          <w:szCs w:val="28"/>
        </w:rPr>
        <w:t>задовольняє</w:t>
      </w:r>
      <w:r w:rsidR="00D06FB1" w:rsidRPr="00EF4224">
        <w:rPr>
          <w:sz w:val="28"/>
          <w:szCs w:val="28"/>
        </w:rPr>
        <w:t xml:space="preserve"> суспільний запит на екологічну інформацію.</w:t>
      </w:r>
      <w:r w:rsidR="007572F7" w:rsidRPr="00EF4224">
        <w:rPr>
          <w:sz w:val="28"/>
          <w:szCs w:val="28"/>
        </w:rPr>
        <w:t xml:space="preserve"> </w:t>
      </w:r>
      <w:r w:rsidR="00D06FB1" w:rsidRPr="00EF4224">
        <w:rPr>
          <w:sz w:val="28"/>
          <w:szCs w:val="28"/>
        </w:rPr>
        <w:t xml:space="preserve">Крім того, отримати швидку відповідь </w:t>
      </w:r>
      <w:r w:rsidR="007A711F">
        <w:rPr>
          <w:sz w:val="28"/>
          <w:szCs w:val="28"/>
        </w:rPr>
        <w:t>можливо</w:t>
      </w:r>
      <w:r w:rsidR="00D06FB1" w:rsidRPr="00EF4224">
        <w:rPr>
          <w:sz w:val="28"/>
          <w:szCs w:val="28"/>
        </w:rPr>
        <w:t xml:space="preserve">, скориставшись експрес чатом на сайті </w:t>
      </w:r>
      <w:r w:rsidR="004327F5" w:rsidRPr="00EF4224">
        <w:rPr>
          <w:sz w:val="28"/>
          <w:szCs w:val="28"/>
        </w:rPr>
        <w:t>м</w:t>
      </w:r>
      <w:r w:rsidR="00D06FB1" w:rsidRPr="00EF4224">
        <w:rPr>
          <w:sz w:val="28"/>
          <w:szCs w:val="28"/>
        </w:rPr>
        <w:t>іністерства.</w:t>
      </w:r>
    </w:p>
    <w:p w:rsidR="00C53BFB" w:rsidRPr="00EF4224" w:rsidRDefault="003E55C1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Разом з тим, на головній сторінці сайту в розділі «Громадянам» в підрозділі «Громадська приймальна» створено окрему рубрику «Електронне звернення», де громадяни, в зручній та простій </w:t>
      </w:r>
      <w:r w:rsidR="007A711F">
        <w:rPr>
          <w:sz w:val="28"/>
          <w:szCs w:val="28"/>
        </w:rPr>
        <w:t>для використання</w:t>
      </w:r>
      <w:r w:rsidRPr="00EF4224">
        <w:rPr>
          <w:sz w:val="28"/>
          <w:szCs w:val="28"/>
        </w:rPr>
        <w:t xml:space="preserve"> формі, можуть залишити звернення. В цій рубриці також зазначені </w:t>
      </w:r>
      <w:r w:rsidRPr="00EF4224">
        <w:rPr>
          <w:sz w:val="28"/>
          <w:szCs w:val="28"/>
          <w:shd w:val="clear" w:color="auto" w:fill="FFFFFF"/>
        </w:rPr>
        <w:t xml:space="preserve">вимоги до звернення, що визначені у ст. 5 Закону (витяг) та активне посилання на Закон України «Про звернення громадян». </w:t>
      </w:r>
      <w:r w:rsidR="007572F7" w:rsidRPr="00EF4224">
        <w:rPr>
          <w:sz w:val="28"/>
          <w:szCs w:val="28"/>
          <w:shd w:val="clear" w:color="auto" w:fill="FFFFFF"/>
        </w:rPr>
        <w:t>О</w:t>
      </w:r>
      <w:r w:rsidR="00C53BFB" w:rsidRPr="00EF4224">
        <w:rPr>
          <w:sz w:val="28"/>
          <w:szCs w:val="28"/>
        </w:rPr>
        <w:t xml:space="preserve">тримати швидку відповідь можна через сервіс онлайн-консультування, скориставшись експрес чатом на сайті міністерства. </w:t>
      </w:r>
    </w:p>
    <w:p w:rsidR="00C53BFB" w:rsidRPr="00EF4224" w:rsidRDefault="00C53BFB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 xml:space="preserve">Дані </w:t>
      </w:r>
      <w:proofErr w:type="spellStart"/>
      <w:r w:rsidRPr="00EF4224">
        <w:rPr>
          <w:sz w:val="28"/>
          <w:szCs w:val="28"/>
        </w:rPr>
        <w:t>віджети</w:t>
      </w:r>
      <w:proofErr w:type="spellEnd"/>
      <w:r w:rsidRPr="00EF4224">
        <w:rPr>
          <w:sz w:val="28"/>
          <w:szCs w:val="28"/>
        </w:rPr>
        <w:t xml:space="preserve"> відображаються на головній сторінці офіційного вебсайту Міндовкілля (https://mepr.gov.ua).</w:t>
      </w:r>
    </w:p>
    <w:p w:rsidR="009F600F" w:rsidRPr="00EF4224" w:rsidRDefault="009F600F" w:rsidP="00C53BF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lastRenderedPageBreak/>
        <w:t xml:space="preserve">З метою удосконалення та покращення </w:t>
      </w:r>
      <w:r w:rsidR="00BA7370" w:rsidRPr="00EF4224">
        <w:rPr>
          <w:sz w:val="28"/>
          <w:szCs w:val="28"/>
        </w:rPr>
        <w:t xml:space="preserve">роботи зі зверненнями громадян </w:t>
      </w:r>
      <w:r w:rsidRPr="00EF4224">
        <w:rPr>
          <w:sz w:val="28"/>
          <w:szCs w:val="28"/>
        </w:rPr>
        <w:t xml:space="preserve"> керівникам структурних підрозділів та працівникам, які відповідають за розгляд звернень громадян, систематично </w:t>
      </w:r>
      <w:r w:rsidR="00BA7370" w:rsidRPr="00EF4224">
        <w:rPr>
          <w:sz w:val="28"/>
          <w:szCs w:val="28"/>
        </w:rPr>
        <w:t>надаються консультації</w:t>
      </w:r>
      <w:r w:rsidRPr="00EF4224">
        <w:rPr>
          <w:sz w:val="28"/>
          <w:szCs w:val="28"/>
        </w:rPr>
        <w:t>.</w:t>
      </w:r>
    </w:p>
    <w:p w:rsidR="00D06FB1" w:rsidRPr="00EF4224" w:rsidRDefault="00D76C88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EF4224">
        <w:rPr>
          <w:sz w:val="28"/>
          <w:szCs w:val="28"/>
        </w:rPr>
        <w:t>Керівництво Міністерства захисту довкілля та природних ресурсів України</w:t>
      </w:r>
      <w:r w:rsidR="00D06FB1" w:rsidRPr="00EF4224">
        <w:rPr>
          <w:sz w:val="28"/>
          <w:szCs w:val="28"/>
        </w:rPr>
        <w:t xml:space="preserve"> здійснює заходи щодо кваліфікованого, об’єктивного, всебічного та своєчасного розгляду звернень громадян для забезпечення задоволення їх законних вимог та запобігання випадків повторних звернень.</w:t>
      </w:r>
    </w:p>
    <w:p w:rsidR="00D06FB1" w:rsidRPr="009F6AC6" w:rsidRDefault="00D06FB1" w:rsidP="00C53BF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F4224">
        <w:rPr>
          <w:color w:val="000000"/>
          <w:sz w:val="28"/>
          <w:szCs w:val="28"/>
        </w:rPr>
        <w:t>Удосконалення роботи із зверненнями громадян та оперативне вирішення порушених в них питань знаходиться на постійному контролі керівництва міністерства, як один із пріоритетних напрямів діяльності.</w:t>
      </w:r>
    </w:p>
    <w:p w:rsidR="00D06FB1" w:rsidRPr="009F6AC6" w:rsidRDefault="00D06FB1" w:rsidP="00D06FB1">
      <w:pPr>
        <w:jc w:val="both"/>
        <w:rPr>
          <w:color w:val="000000"/>
          <w:sz w:val="16"/>
          <w:szCs w:val="16"/>
        </w:rPr>
      </w:pPr>
    </w:p>
    <w:p w:rsidR="00C53BFB" w:rsidRPr="009F6AC6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C53BFB" w:rsidSect="00E401E2">
      <w:pgSz w:w="11906" w:h="16838"/>
      <w:pgMar w:top="1134" w:right="70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25CA"/>
    <w:multiLevelType w:val="hybridMultilevel"/>
    <w:tmpl w:val="F1969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299E"/>
    <w:multiLevelType w:val="hybridMultilevel"/>
    <w:tmpl w:val="58CE5C1E"/>
    <w:lvl w:ilvl="0" w:tplc="2F60CD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1"/>
    <w:rsid w:val="00046AA3"/>
    <w:rsid w:val="000510BE"/>
    <w:rsid w:val="00072370"/>
    <w:rsid w:val="000874EF"/>
    <w:rsid w:val="000A154D"/>
    <w:rsid w:val="000D6FF6"/>
    <w:rsid w:val="000D7233"/>
    <w:rsid w:val="001160E6"/>
    <w:rsid w:val="00153514"/>
    <w:rsid w:val="00161D03"/>
    <w:rsid w:val="0020715B"/>
    <w:rsid w:val="0023619E"/>
    <w:rsid w:val="002754F1"/>
    <w:rsid w:val="002B38F3"/>
    <w:rsid w:val="002B454B"/>
    <w:rsid w:val="002C0E7A"/>
    <w:rsid w:val="002D0D58"/>
    <w:rsid w:val="002D5B5E"/>
    <w:rsid w:val="002E5F23"/>
    <w:rsid w:val="00352FBB"/>
    <w:rsid w:val="003645CA"/>
    <w:rsid w:val="0039256D"/>
    <w:rsid w:val="003A5EC8"/>
    <w:rsid w:val="003E55C1"/>
    <w:rsid w:val="003F7D7B"/>
    <w:rsid w:val="00424D83"/>
    <w:rsid w:val="004327F5"/>
    <w:rsid w:val="0043798C"/>
    <w:rsid w:val="004415A6"/>
    <w:rsid w:val="00442191"/>
    <w:rsid w:val="00480B64"/>
    <w:rsid w:val="004912A8"/>
    <w:rsid w:val="004C5E02"/>
    <w:rsid w:val="004D296A"/>
    <w:rsid w:val="004D60BD"/>
    <w:rsid w:val="004D6C43"/>
    <w:rsid w:val="005165C8"/>
    <w:rsid w:val="00562ECD"/>
    <w:rsid w:val="005907F0"/>
    <w:rsid w:val="00592AE5"/>
    <w:rsid w:val="005A24BD"/>
    <w:rsid w:val="005B110A"/>
    <w:rsid w:val="005B27EE"/>
    <w:rsid w:val="005B38BA"/>
    <w:rsid w:val="005F379A"/>
    <w:rsid w:val="00606F25"/>
    <w:rsid w:val="00646CA6"/>
    <w:rsid w:val="0065791B"/>
    <w:rsid w:val="00693BAD"/>
    <w:rsid w:val="006B4F0F"/>
    <w:rsid w:val="006D2A83"/>
    <w:rsid w:val="006E714D"/>
    <w:rsid w:val="00707E21"/>
    <w:rsid w:val="007572F7"/>
    <w:rsid w:val="007647F8"/>
    <w:rsid w:val="007A711F"/>
    <w:rsid w:val="007C1BBF"/>
    <w:rsid w:val="007C5F21"/>
    <w:rsid w:val="007D362A"/>
    <w:rsid w:val="00826109"/>
    <w:rsid w:val="00853027"/>
    <w:rsid w:val="008A05D4"/>
    <w:rsid w:val="008D0A23"/>
    <w:rsid w:val="008F2C82"/>
    <w:rsid w:val="008F52A1"/>
    <w:rsid w:val="00902ADF"/>
    <w:rsid w:val="00905A74"/>
    <w:rsid w:val="00945145"/>
    <w:rsid w:val="00945C54"/>
    <w:rsid w:val="00952661"/>
    <w:rsid w:val="00963E4B"/>
    <w:rsid w:val="0097267B"/>
    <w:rsid w:val="00997AE3"/>
    <w:rsid w:val="009A0628"/>
    <w:rsid w:val="009F600F"/>
    <w:rsid w:val="009F6AC6"/>
    <w:rsid w:val="00A03C69"/>
    <w:rsid w:val="00A460E0"/>
    <w:rsid w:val="00A7144D"/>
    <w:rsid w:val="00A7277D"/>
    <w:rsid w:val="00AC788D"/>
    <w:rsid w:val="00AD671B"/>
    <w:rsid w:val="00AD7F6C"/>
    <w:rsid w:val="00B065DF"/>
    <w:rsid w:val="00B228AC"/>
    <w:rsid w:val="00B320CD"/>
    <w:rsid w:val="00B66078"/>
    <w:rsid w:val="00B67ADD"/>
    <w:rsid w:val="00BA110A"/>
    <w:rsid w:val="00BA2DAA"/>
    <w:rsid w:val="00BA7370"/>
    <w:rsid w:val="00BA7DE7"/>
    <w:rsid w:val="00BD48FF"/>
    <w:rsid w:val="00BD6F4F"/>
    <w:rsid w:val="00C50E64"/>
    <w:rsid w:val="00C53BFB"/>
    <w:rsid w:val="00CA2268"/>
    <w:rsid w:val="00D010CD"/>
    <w:rsid w:val="00D06FB1"/>
    <w:rsid w:val="00D1275D"/>
    <w:rsid w:val="00D44730"/>
    <w:rsid w:val="00D76C88"/>
    <w:rsid w:val="00D9795D"/>
    <w:rsid w:val="00DE1754"/>
    <w:rsid w:val="00DF7C3D"/>
    <w:rsid w:val="00E16E1C"/>
    <w:rsid w:val="00E401E2"/>
    <w:rsid w:val="00E41167"/>
    <w:rsid w:val="00E42251"/>
    <w:rsid w:val="00E4623D"/>
    <w:rsid w:val="00E53B0E"/>
    <w:rsid w:val="00E60824"/>
    <w:rsid w:val="00E6688A"/>
    <w:rsid w:val="00E83309"/>
    <w:rsid w:val="00E852A9"/>
    <w:rsid w:val="00EA4217"/>
    <w:rsid w:val="00EF40F3"/>
    <w:rsid w:val="00EF4224"/>
    <w:rsid w:val="00F0271E"/>
    <w:rsid w:val="00F255A5"/>
    <w:rsid w:val="00F31C9F"/>
    <w:rsid w:val="00F40CFC"/>
    <w:rsid w:val="00F41697"/>
    <w:rsid w:val="00F85D15"/>
    <w:rsid w:val="00FB4600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5B88-3929-4962-B13C-57617A9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3E55C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92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256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Види звернень громадян, </a:t>
            </a:r>
          </a:p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Міндовкілля у 2022 році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698549102681965"/>
          <c:y val="0.18264951881014874"/>
          <c:w val="0.41489872141616818"/>
          <c:h val="0.8173504811898513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60,81%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35,23%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3,96%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Заяви</c:v>
                </c:pt>
                <c:pt idx="1">
                  <c:v>Пропозиції</c:v>
                </c:pt>
                <c:pt idx="2">
                  <c:v>Скарги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51.63</c:v>
                </c:pt>
                <c:pt idx="1">
                  <c:v>45.9</c:v>
                </c:pt>
                <c:pt idx="2">
                  <c:v>2.27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2.607076350093112E-2"/>
          <c:w val="1"/>
          <c:h val="0.45430167597765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 у розрізі регіонів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280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325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Лист1!$A$2:$A$28</c:f>
              <c:strCache>
                <c:ptCount val="27"/>
                <c:pt idx="0">
                  <c:v>Автономна Республіка Крим</c:v>
                </c:pt>
                <c:pt idx="1">
                  <c:v>Вінницька область</c:v>
                </c:pt>
                <c:pt idx="2">
                  <c:v>Волинська область</c:v>
                </c:pt>
                <c:pt idx="3">
                  <c:v>Дніпропетровська область</c:v>
                </c:pt>
                <c:pt idx="4">
                  <c:v>Донецька область</c:v>
                </c:pt>
                <c:pt idx="5">
                  <c:v>Житомирська область</c:v>
                </c:pt>
                <c:pt idx="6">
                  <c:v>Закарпатська область</c:v>
                </c:pt>
                <c:pt idx="7">
                  <c:v>Запорізька область</c:v>
                </c:pt>
                <c:pt idx="8">
                  <c:v>Івано-Франківська область</c:v>
                </c:pt>
                <c:pt idx="9">
                  <c:v>Київська область</c:v>
                </c:pt>
                <c:pt idx="10">
                  <c:v>Кіровоградська область</c:v>
                </c:pt>
                <c:pt idx="11">
                  <c:v>Луганська область</c:v>
                </c:pt>
                <c:pt idx="12">
                  <c:v>Львівська область</c:v>
                </c:pt>
                <c:pt idx="13">
                  <c:v>Миколаївська область</c:v>
                </c:pt>
                <c:pt idx="14">
                  <c:v>Одеська область</c:v>
                </c:pt>
                <c:pt idx="15">
                  <c:v>Полтавська область</c:v>
                </c:pt>
                <c:pt idx="16">
                  <c:v>Рівненська область</c:v>
                </c:pt>
                <c:pt idx="17">
                  <c:v>Сумська область</c:v>
                </c:pt>
                <c:pt idx="18">
                  <c:v>Тернопільська область</c:v>
                </c:pt>
                <c:pt idx="19">
                  <c:v>Харківська область</c:v>
                </c:pt>
                <c:pt idx="20">
                  <c:v>Херсонська область</c:v>
                </c:pt>
                <c:pt idx="21">
                  <c:v>Хмельницька область</c:v>
                </c:pt>
                <c:pt idx="22">
                  <c:v>Черкаська область</c:v>
                </c:pt>
                <c:pt idx="23">
                  <c:v>Чернівецька область</c:v>
                </c:pt>
                <c:pt idx="24">
                  <c:v>Чернігівська область</c:v>
                </c:pt>
                <c:pt idx="25">
                  <c:v>м. Київ</c:v>
                </c:pt>
                <c:pt idx="26">
                  <c:v>Регіон не вказано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16</c:v>
                </c:pt>
                <c:pt idx="2">
                  <c:v>13</c:v>
                </c:pt>
                <c:pt idx="3">
                  <c:v>68</c:v>
                </c:pt>
                <c:pt idx="4">
                  <c:v>12</c:v>
                </c:pt>
                <c:pt idx="5">
                  <c:v>18</c:v>
                </c:pt>
                <c:pt idx="6">
                  <c:v>36</c:v>
                </c:pt>
                <c:pt idx="7">
                  <c:v>12</c:v>
                </c:pt>
                <c:pt idx="8">
                  <c:v>50</c:v>
                </c:pt>
                <c:pt idx="9">
                  <c:v>46</c:v>
                </c:pt>
                <c:pt idx="10">
                  <c:v>6</c:v>
                </c:pt>
                <c:pt idx="11">
                  <c:v>4</c:v>
                </c:pt>
                <c:pt idx="12">
                  <c:v>56</c:v>
                </c:pt>
                <c:pt idx="13">
                  <c:v>16</c:v>
                </c:pt>
                <c:pt idx="14">
                  <c:v>56</c:v>
                </c:pt>
                <c:pt idx="15">
                  <c:v>30</c:v>
                </c:pt>
                <c:pt idx="16">
                  <c:v>13</c:v>
                </c:pt>
                <c:pt idx="17">
                  <c:v>9</c:v>
                </c:pt>
                <c:pt idx="18">
                  <c:v>4</c:v>
                </c:pt>
                <c:pt idx="19">
                  <c:v>37</c:v>
                </c:pt>
                <c:pt idx="20">
                  <c:v>8</c:v>
                </c:pt>
                <c:pt idx="21">
                  <c:v>21</c:v>
                </c:pt>
                <c:pt idx="22">
                  <c:v>13</c:v>
                </c:pt>
                <c:pt idx="23">
                  <c:v>20</c:v>
                </c:pt>
                <c:pt idx="24">
                  <c:v>18</c:v>
                </c:pt>
                <c:pt idx="25">
                  <c:v>183</c:v>
                </c:pt>
                <c:pt idx="26">
                  <c:v>248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8950016"/>
        <c:axId val="278948448"/>
      </c:barChart>
      <c:catAx>
        <c:axId val="2789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278948448"/>
        <c:crosses val="autoZero"/>
        <c:auto val="1"/>
        <c:lblAlgn val="ctr"/>
        <c:lblOffset val="100"/>
        <c:noMultiLvlLbl val="0"/>
      </c:catAx>
      <c:valAx>
        <c:axId val="278948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895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5138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Мироненко Олена Петрівна</cp:lastModifiedBy>
  <cp:revision>4</cp:revision>
  <cp:lastPrinted>2023-01-17T12:58:00Z</cp:lastPrinted>
  <dcterms:created xsi:type="dcterms:W3CDTF">2023-01-20T08:07:00Z</dcterms:created>
  <dcterms:modified xsi:type="dcterms:W3CDTF">2023-01-20T08:21:00Z</dcterms:modified>
</cp:coreProperties>
</file>