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7F1E" w14:textId="73B0E1BA" w:rsidR="00A572E1" w:rsidRPr="00591F46" w:rsidRDefault="005E40B1" w:rsidP="00591F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Повідомлення про оприлюднення </w:t>
      </w:r>
      <w:proofErr w:type="spellStart"/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документу державного планування та звіту про стратегічну екологічну оцінку (Розділ «Охорона навколишнього природного середовища») </w:t>
      </w:r>
      <w:proofErr w:type="spellStart"/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«Детальний план </w:t>
      </w:r>
      <w:r w:rsidR="00A572E1"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території в районі вулиць Живописної, Кільцевої дороги, Федора Кричевського, Івана </w:t>
      </w:r>
      <w:proofErr w:type="spellStart"/>
      <w:r w:rsidR="00A572E1"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Крамського</w:t>
      </w:r>
      <w:proofErr w:type="spellEnd"/>
      <w:r w:rsidR="00A572E1"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у Святошинському районі м. Києва</w:t>
      </w: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»</w:t>
      </w:r>
    </w:p>
    <w:p w14:paraId="63D08BB0" w14:textId="77777777" w:rsidR="00591F46" w:rsidRPr="00591F46" w:rsidRDefault="00591F46" w:rsidP="00591F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14:paraId="47985AAC" w14:textId="72B0621D" w:rsidR="005E3C3E" w:rsidRPr="00591F46" w:rsidRDefault="005E40B1" w:rsidP="00591F4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Повна назва документа державного планування, що пропонується, та стислий виклад його змісту:</w:t>
      </w:r>
    </w:p>
    <w:p w14:paraId="69BF150B" w14:textId="14CA3674" w:rsidR="005E3C3E" w:rsidRPr="00591F46" w:rsidRDefault="005E40B1" w:rsidP="00591F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Детальний план території </w:t>
      </w:r>
      <w:r w:rsidR="00A572E1" w:rsidRPr="00591F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в районі вулиць Живописної, Кільцевої дороги, Федора Кричевського, Івана </w:t>
      </w:r>
      <w:proofErr w:type="spellStart"/>
      <w:r w:rsidR="00A572E1" w:rsidRPr="00591F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Крамського</w:t>
      </w:r>
      <w:proofErr w:type="spellEnd"/>
      <w:r w:rsidR="00A572E1" w:rsidRPr="00591F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у Святошинському районі м. Києва</w:t>
      </w:r>
      <w:r w:rsidRPr="00591F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14:paraId="41C0E511" w14:textId="378DC488" w:rsidR="005E40B1" w:rsidRPr="00591F46" w:rsidRDefault="005E40B1" w:rsidP="005E3C3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Територія площею </w:t>
      </w:r>
      <w:r w:rsidR="00A572E1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183,36 га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, на яку розробляється детальний план території, знаходиться у Святошинському адміністративному районі Західної планувальної зони м. Києва та обмежена:</w:t>
      </w:r>
    </w:p>
    <w:p w14:paraId="0EB042A8" w14:textId="77777777" w:rsidR="00FE0D20" w:rsidRPr="00591F46" w:rsidRDefault="00FE0D20" w:rsidP="00FE0D20">
      <w:pPr>
        <w:pStyle w:val="a6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півночі –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. Перемоги;</w:t>
      </w:r>
    </w:p>
    <w:p w14:paraId="1AF9ED3E" w14:textId="77777777" w:rsidR="00FE0D20" w:rsidRPr="00591F46" w:rsidRDefault="00FE0D20" w:rsidP="00FE0D20">
      <w:pPr>
        <w:pStyle w:val="a6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зі сходу – вул. Івана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Крамського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східною межею Військової частини А-3521;</w:t>
      </w:r>
    </w:p>
    <w:p w14:paraId="010F1E92" w14:textId="77777777" w:rsidR="00FE0D20" w:rsidRPr="00591F46" w:rsidRDefault="00FE0D20" w:rsidP="00FE0D20">
      <w:pPr>
        <w:pStyle w:val="a6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з півдня – вул. Мельниченка, вул. Котельникова;</w:t>
      </w:r>
    </w:p>
    <w:p w14:paraId="3C147F9C" w14:textId="6C30CE8D" w:rsidR="00FE0D20" w:rsidRPr="00591F46" w:rsidRDefault="00FE0D20" w:rsidP="00FE0D20">
      <w:pPr>
        <w:pStyle w:val="a6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з заходу – Кільцевою дорогою та вул. Живописною.</w:t>
      </w:r>
    </w:p>
    <w:p w14:paraId="3399B4B6" w14:textId="77777777" w:rsidR="00B4360C" w:rsidRPr="00591F46" w:rsidRDefault="00B4360C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Функціональне використання території ДПТ, що склалося протягом останнього століття, характеризується суттєвою різноманітністю та включає окремі ділянки житлової, громадської, промислово-виробничої, транспортної та комунальної функції.</w:t>
      </w:r>
    </w:p>
    <w:p w14:paraId="2770DFC0" w14:textId="39E96A19" w:rsidR="00B4360C" w:rsidRPr="00591F46" w:rsidRDefault="00B4360C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В межах території проектування знаходиться значна кількість закладів охорони здоров’я – лікарень, діагностичних центрів, вищі учбові заклади, офісна забудова, науково-дослідні інститути, здійснюється значна житлова забудова. На півдні території ДПТ знаходиться територія діючого Святошинського кладовища із СЗЗ 300 м.</w:t>
      </w:r>
    </w:p>
    <w:p w14:paraId="46289A1B" w14:textId="7777777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Загальний обсяг існуючого житлового фонду в межах території проектування складає 278,1 тис. 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, в тому числі: садибний – 20,5 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тис.кв.м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багатоквартирний – 257,6 тис.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Чисельність населення – 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8824 особи, з них – 168 осіб у садибному та 8656 осіб у багатоквартирному житловому фонді.</w:t>
      </w:r>
    </w:p>
    <w:p w14:paraId="4A980C9C" w14:textId="413BF721" w:rsidR="005E3C3E" w:rsidRPr="00591F46" w:rsidRDefault="005E3C3E" w:rsidP="00591F4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Реалізація нового житлового будівництва передбачається поетапно, на період 7 років та 20 років. Перспективний обсяг житлового фонду складатиме 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544,9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 тис. 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, в тому числі: садибний – 19,3 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тис.кв.м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багатоквартирний – 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525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тис.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Чисельність населення – 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14903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осіб, з них – 165 осіб у садибному та 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14738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у багатоквартирному фонді. 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Щільність населення підвищується з 294 осіб/га до 418</w:t>
      </w:r>
      <w:r w:rsidR="00591F46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 осіб/га.</w:t>
      </w:r>
    </w:p>
    <w:p w14:paraId="4075B128" w14:textId="7777777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Всі нові запроектовані будинки мають підземні паркінги. Таке планувальне рішення забезпечує створення прибудинкових безпечних зон.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прибудинкових територіях передбачається розміщення гостьових 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автостоянок, дитячих майданчиків, зон відпочинку дорослого населення, спортивних майданчиків, господарських зон. Квартали обмежені місцевими проїздами та пішохідними алеями. Вздовж проїздів та пішохідних алей формуються зони озеленення.</w:t>
      </w:r>
    </w:p>
    <w:p w14:paraId="7E1A1F13" w14:textId="7777777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Заклади повсякденного обслуговування, спортивні зали, кабінети сімейного лікаря пропонується розмістити в перших поверхах  житлових будинків, що виходять фасадами на вулиці.</w:t>
      </w:r>
    </w:p>
    <w:p w14:paraId="4B270A0C" w14:textId="42B98676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дворовому просторі передбачається розташування дитячих дошкільних закладів, заклади початкової та середньої освіти, зон відпочинку дорослих та дітей, спортивні та ігрові майданчики, озеленення, підземні паркінги. </w:t>
      </w:r>
    </w:p>
    <w:p w14:paraId="33B948CD" w14:textId="7777777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сьогоднішній день в межах даного ДПТ функціонує три заклади дошкільної освіти – ясла-садок № 60, ДНЗ № 214 та ДНЗ № 553 загальною ємністю – 462 місця; та один заклад загальної середньої освіти: ЗОШ № 140 потужністю 800 місць. Окрім цього в межах району проектування розміщені учбово-наукові заклади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позамікрорайонного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значення, а саме: приватний вищий навчальний заклад «Київській міжнародний університет», Міжнародний інститут лінгвістики і права, Київської гімназії східних мов №1.</w:t>
      </w:r>
    </w:p>
    <w:p w14:paraId="662A9D2A" w14:textId="7777777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З урахуванням нового житлового будівництва та збільшення перспективної чисельності населення, а також неповного покриття території нормативними радіусами обслуговування закладів освіти, проектом передбачено реконструкція двох існуючих та спорудження трьох нових закладів дошкільної освіти (додаткова ємність – 235 місць) та нового будівництва закладів початкової та середньої освіти, загальною потужністю 980 місць. Розрахункова забезпеченість складатиме 134 % та 99,5 % відповідно.</w:t>
      </w:r>
    </w:p>
    <w:p w14:paraId="0BDC330C" w14:textId="7777777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межах території ДПТ розташована значна кількість закладів охорони здоров’я: Державна установа "Національний науковий центр радіаційної медицини Національної академії медичних наук України, Київська міська онкологічна лікарня, комунальне некомерційне підприємство "Консультативно-діагностичний центр" Святошинського району м. Києва, Святошинський психоневрологічний інтернат. На етап 7 років по на земельній ділянці за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вул. Івана 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Крамського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, 10 передбачається будівництво нового центру функціональної реабілітації та соціально-психологічної реабілітації.</w:t>
      </w:r>
    </w:p>
    <w:p w14:paraId="199EFE39" w14:textId="3A756650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Пішохідні зв'язки по території проектування проходять до основних об'єктів тяжіння – зупинок пасажирського транспорту, торгівельних центрів, дитячих дошкільних установ та шкіл, рекреаційних озеленених території загального користування – парк</w:t>
      </w:r>
      <w:r w:rsidR="002D367A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«Скарбовий ліс» та буферного парку «</w:t>
      </w:r>
      <w:proofErr w:type="spellStart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Святошино</w:t>
      </w:r>
      <w:proofErr w:type="spellEnd"/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2C8E080" w14:textId="55B1B987" w:rsidR="005E3C3E" w:rsidRPr="00591F46" w:rsidRDefault="005E3C3E" w:rsidP="005E3C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Озеленені території житлового кварталу відносяться до зелених насаджень обмеженого користування і формуються з озеленених </w:t>
      </w:r>
      <w:r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прибудинкових територій житлової забудови та території дитячих дошкільних закладів та шкіл. В зоні зелених насаджень прибудинкових територій розміщуються спортивні та дитячі ігрові майданчики, майданчики для відпочинку. Для їх благоустрою передбачається використовувати малі архітектурні форми, декоративні басейни, лави, світильники, тощо.</w:t>
      </w:r>
    </w:p>
    <w:p w14:paraId="567CB54C" w14:textId="77777777" w:rsidR="00B4360C" w:rsidRPr="00591F46" w:rsidRDefault="00B4360C" w:rsidP="005E40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C311671" w14:textId="635B96E1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2) Орган, що прийматиме рішення про затвердження документа </w:t>
      </w:r>
      <w:r w:rsidR="00591F46"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державного</w:t>
      </w:r>
      <w:r w:rsidR="00591F46"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ab/>
      </w: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планування: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  <w:t>Київська міська рада</w:t>
      </w:r>
    </w:p>
    <w:p w14:paraId="3AD68DE4" w14:textId="77777777" w:rsidR="005E3C3E" w:rsidRPr="00591F46" w:rsidRDefault="005E3C3E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236C1F1" w14:textId="4764F189" w:rsidR="005E40B1" w:rsidRPr="00591F46" w:rsidRDefault="005E40B1" w:rsidP="005E40B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3) Передбачувана процедура громадського обговорення, у тому числі:</w:t>
      </w: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  <w:t>а) дата початку та строки здійснення процедури:</w:t>
      </w:r>
    </w:p>
    <w:p w14:paraId="39BB3309" w14:textId="733BA668" w:rsidR="005E40B1" w:rsidRPr="00591F46" w:rsidRDefault="00591F46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</w:t>
      </w:r>
      <w:r w:rsidR="005E40B1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ромадське обговорення починається з </w:t>
      </w:r>
      <w:r w:rsidR="00807C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14</w:t>
      </w:r>
      <w:r w:rsidR="005E40B1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05</w:t>
      </w:r>
      <w:r w:rsidR="005E40B1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.202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</w:t>
      </w:r>
      <w:r w:rsidR="005E40B1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по</w:t>
      </w:r>
      <w:r w:rsidR="00807C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14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.06</w:t>
      </w:r>
      <w:r w:rsidR="005E40B1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.2021 року.</w:t>
      </w:r>
    </w:p>
    <w:p w14:paraId="01DF45B9" w14:textId="77777777" w:rsidR="005E3C3E" w:rsidRPr="00591F46" w:rsidRDefault="005E3C3E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DA1BD1B" w14:textId="6D8277B0" w:rsidR="005E40B1" w:rsidRPr="00591F46" w:rsidRDefault="005E40B1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б) способи участі громадськості (надання письмових зауважень і пропозицій, громадські слухання тощо):</w:t>
      </w:r>
    </w:p>
    <w:p w14:paraId="20E090AC" w14:textId="77777777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документа державного планування та звіту про стратегічну екологічну оцінку.</w:t>
      </w:r>
    </w:p>
    <w:p w14:paraId="621AE47C" w14:textId="5C66C168" w:rsidR="005E40B1" w:rsidRPr="00591F46" w:rsidRDefault="005E40B1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Пропозиції, подані після встановленого строку, не розглядаються.</w:t>
      </w:r>
    </w:p>
    <w:p w14:paraId="6D169DDA" w14:textId="77777777" w:rsidR="005E3C3E" w:rsidRPr="00591F46" w:rsidRDefault="005E3C3E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3CBC4642" w14:textId="17B2A3B1" w:rsidR="005E40B1" w:rsidRPr="00591F46" w:rsidRDefault="005E40B1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в) Дата, час і місце проведення запланованих громадських слухань:</w:t>
      </w:r>
    </w:p>
    <w:p w14:paraId="1DE02A52" w14:textId="67174157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Громадські слухання проводяться відповідно до постанови Кабінету Міністрів України від 25.05. 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14:paraId="3BC4452F" w14:textId="1153A98D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Громадські слухання відбудуться 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0</w:t>
      </w:r>
      <w:r w:rsidR="006448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8</w:t>
      </w:r>
      <w:bookmarkStart w:id="0" w:name="_GoBack"/>
      <w:bookmarkEnd w:id="0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.0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6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.2021 року 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о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10:00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в залі архітектурно-містобудівної ради Департаменту містобудування та архітектури за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вул. Хрещатик, 32, м. Київ, 01001 (на виконання Закону України «Про регулювання містобудівної діяльності» громадські слухання щодо проектів містобудівної документації на місцевому рівні проводяться у строк, визначений для проведення процедури громадського обговорення, але не раніше 10 днів з дня оприлюднення проекту містобудівної документації на місцевому рівні), із врахуванням дії обмежувальних заходів, відповідно до статті 29 Закону України «Про захист населення від інфекційних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хвороб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», постанови Кабінету Міністрів України від 11.03.2020 № 211 «Про запобігання поширенню на території України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коронавірусу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COVID-19», з метою запобігання поширенню на території України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коронавірусу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(COVID-19).</w:t>
      </w:r>
    </w:p>
    <w:p w14:paraId="7C87974C" w14:textId="77777777" w:rsidR="005E3C3E" w:rsidRPr="00591F46" w:rsidRDefault="005E3C3E" w:rsidP="005E3C3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B0F4A4C" w14:textId="0EB1044E" w:rsidR="005E3C3E" w:rsidRPr="00591F46" w:rsidRDefault="005E40B1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</w:t>
      </w:r>
      <w:r w:rsidR="00591F46"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документа державного планування:</w:t>
      </w:r>
    </w:p>
    <w:p w14:paraId="35161AA1" w14:textId="77777777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Департамент містобудування та архітектури виконавчого органу Київської міської ради (Київської міської державної адміністрації).</w:t>
      </w:r>
    </w:p>
    <w:p w14:paraId="2C0857F3" w14:textId="48E70D6E" w:rsidR="005E40B1" w:rsidRPr="00591F46" w:rsidRDefault="005E40B1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Ознайомлення з томами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«Детальний план </w:t>
      </w:r>
      <w:r w:rsidR="00783974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території в районі вулиць Живописної, Кільцевої дороги, Федора Кричевського, Івана </w:t>
      </w:r>
      <w:proofErr w:type="spellStart"/>
      <w:r w:rsidR="00783974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Крамського</w:t>
      </w:r>
      <w:proofErr w:type="spellEnd"/>
      <w:r w:rsidR="00783974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Святошинському районі м. Києва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» та розділом «Охорона навколишнього природного середовища», який розробляється у складі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містобудівної документації та одночасно є звітом про стратегічну екологічну оцінку, можна на офіційному сайті Департаменту містобудування та архітектури виконавчого органу Київської міської ради (Київської міської державної адміністрації </w:t>
      </w:r>
      <w:hyperlink r:id="rId5" w:history="1">
        <w:r w:rsidR="005E3C3E" w:rsidRPr="00591F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www.kga.gov.ua</w:t>
        </w:r>
      </w:hyperlink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14:paraId="44B5547A" w14:textId="77777777" w:rsidR="005E3C3E" w:rsidRPr="00591F46" w:rsidRDefault="005E3C3E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722C75D" w14:textId="48EBBC5C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14:paraId="6C471C90" w14:textId="77777777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Департамент містобудування та архітектури виконавчого органу Київської міської ради (Київської міської державної адміністрації).</w:t>
      </w:r>
    </w:p>
    <w:p w14:paraId="7F1FC216" w14:textId="39447DFD" w:rsidR="005E40B1" w:rsidRPr="00591F46" w:rsidRDefault="005E40B1" w:rsidP="005E40B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Адреса для подання зауважень та пропозицій у письмовій формі: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  <w:t>вул. Хрещатик, 32, м. Київ, 01001,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  <w:t>Електронна адреса: </w:t>
      </w:r>
      <w:hyperlink r:id="rId6" w:history="1">
        <w:r w:rsidRPr="00591F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info@kga.gov.ua.</w:t>
        </w:r>
      </w:hyperlink>
    </w:p>
    <w:p w14:paraId="4934CD01" w14:textId="5031A616" w:rsidR="005E3C3E" w:rsidRPr="00B330BE" w:rsidRDefault="005E40B1" w:rsidP="00B330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Зауваження і пропозиції приймаються у строк </w:t>
      </w:r>
      <w:r w:rsidR="00807C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14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05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.2021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по 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</w:t>
      </w:r>
      <w:r w:rsidR="00807C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4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.0</w:t>
      </w:r>
      <w:r w:rsidR="00591F46"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6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.2021 року.</w:t>
      </w:r>
    </w:p>
    <w:p w14:paraId="194392BF" w14:textId="77777777" w:rsidR="00591F46" w:rsidRPr="00591F46" w:rsidRDefault="005E40B1" w:rsidP="00591F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14:paraId="5926D84B" w14:textId="50616448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Офіційний сайт Департаменту містобудування та архітектури виконавчого органу Київської міської ради (Київської міської державної адміністрації </w:t>
      </w:r>
      <w:hyperlink r:id="rId7" w:history="1">
        <w:r w:rsidR="005E3C3E" w:rsidRPr="00591F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www.kga.gov.ua</w:t>
        </w:r>
      </w:hyperlink>
    </w:p>
    <w:p w14:paraId="4CDB13A9" w14:textId="77777777" w:rsidR="005E3C3E" w:rsidRPr="00591F46" w:rsidRDefault="005E3C3E" w:rsidP="005E40B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AA8E9D3" w14:textId="77777777" w:rsidR="005E3C3E" w:rsidRPr="00591F46" w:rsidRDefault="005E40B1" w:rsidP="005E4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4) Необхідність проведення транскордонних консультацій щодо </w:t>
      </w:r>
      <w:proofErr w:type="spellStart"/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документа державного планування.</w:t>
      </w:r>
    </w:p>
    <w:p w14:paraId="4244924F" w14:textId="43510628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Проведення транскордонних консультацій не потребує.</w:t>
      </w:r>
    </w:p>
    <w:p w14:paraId="72074D6A" w14:textId="77777777" w:rsidR="00591F46" w:rsidRPr="00591F46" w:rsidRDefault="00591F46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BADB97D" w14:textId="5E1CC7E0" w:rsidR="005E40B1" w:rsidRPr="00591F46" w:rsidRDefault="005E40B1" w:rsidP="00591F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З матеріалами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документа державного планування та звітом про стратегічну екологічну оцінку (Розділ «Охорона навколишнього природного середовища») </w:t>
      </w:r>
      <w:proofErr w:type="spellStart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«Детальний план території </w:t>
      </w:r>
      <w:r w:rsidR="001307AB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районі вулиць </w:t>
      </w:r>
      <w:r w:rsidR="001307AB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Живописної, Кільцевої дороги, Федора Кричевського, Івана </w:t>
      </w:r>
      <w:proofErr w:type="spellStart"/>
      <w:r w:rsidR="001307AB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>Крамського</w:t>
      </w:r>
      <w:proofErr w:type="spellEnd"/>
      <w:r w:rsidR="001307AB" w:rsidRPr="0059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Святошинському районі м. Києва</w:t>
      </w:r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» можна ознайомитись за посиланнями: </w:t>
      </w:r>
      <w:hyperlink r:id="rId8" w:history="1">
        <w:r w:rsidRPr="00591F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www.kga.gov.ua</w:t>
        </w:r>
      </w:hyperlink>
      <w:r w:rsidRPr="00591F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., та у приміщенні Департаменту містобудування та архітектури (перший поверх) із врахуванням дії обмежувальних заходів.</w:t>
      </w:r>
    </w:p>
    <w:p w14:paraId="0D98A3F6" w14:textId="77777777" w:rsidR="00B5251F" w:rsidRPr="00591F46" w:rsidRDefault="0064486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uk-UA"/>
        </w:rPr>
      </w:pPr>
    </w:p>
    <w:sectPr w:rsidR="00B5251F" w:rsidRPr="005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928"/>
    <w:multiLevelType w:val="hybridMultilevel"/>
    <w:tmpl w:val="8A288E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9D1"/>
    <w:multiLevelType w:val="multilevel"/>
    <w:tmpl w:val="116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44363"/>
    <w:multiLevelType w:val="hybridMultilevel"/>
    <w:tmpl w:val="D2B2984E"/>
    <w:lvl w:ilvl="0" w:tplc="AFA02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1"/>
    <w:rsid w:val="001307AB"/>
    <w:rsid w:val="001C5C1C"/>
    <w:rsid w:val="002D367A"/>
    <w:rsid w:val="0035027D"/>
    <w:rsid w:val="003B2939"/>
    <w:rsid w:val="00591F46"/>
    <w:rsid w:val="005E3C3E"/>
    <w:rsid w:val="005E40B1"/>
    <w:rsid w:val="0064486C"/>
    <w:rsid w:val="006A10C5"/>
    <w:rsid w:val="006B1620"/>
    <w:rsid w:val="00783974"/>
    <w:rsid w:val="00807CC4"/>
    <w:rsid w:val="008F4E53"/>
    <w:rsid w:val="00A50A54"/>
    <w:rsid w:val="00A572E1"/>
    <w:rsid w:val="00B330BE"/>
    <w:rsid w:val="00B4360C"/>
    <w:rsid w:val="00B43F72"/>
    <w:rsid w:val="00D44578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8474"/>
  <w15:chartTrackingRefBased/>
  <w15:docId w15:val="{DF9E80BE-ED11-4292-B507-1121675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40B1"/>
    <w:rPr>
      <w:b/>
      <w:bCs/>
    </w:rPr>
  </w:style>
  <w:style w:type="character" w:styleId="a5">
    <w:name w:val="Hyperlink"/>
    <w:basedOn w:val="a0"/>
    <w:uiPriority w:val="99"/>
    <w:unhideWhenUsed/>
    <w:rsid w:val="005E40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0D2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82">
          <w:marLeft w:val="-6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ga.gov.ua." TargetMode="External"/><Relationship Id="rId5" Type="http://schemas.openxmlformats.org/officeDocument/2006/relationships/hyperlink" Target="http://www.kg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6224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Вініченко</dc:creator>
  <cp:keywords/>
  <dc:description/>
  <cp:lastModifiedBy>Марія Кірданова</cp:lastModifiedBy>
  <cp:revision>5</cp:revision>
  <dcterms:created xsi:type="dcterms:W3CDTF">2021-05-05T07:55:00Z</dcterms:created>
  <dcterms:modified xsi:type="dcterms:W3CDTF">2021-05-05T13:30:00Z</dcterms:modified>
</cp:coreProperties>
</file>