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498C" w14:textId="5FA36E7B" w:rsidR="00AE4C2C" w:rsidRPr="00FA79D6" w:rsidRDefault="004F7F1C" w:rsidP="007C424D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bookmarkStart w:id="0" w:name="_GoBack"/>
      <w:bookmarkEnd w:id="0"/>
      <w:r w:rsidRPr="00FA79D6">
        <w:rPr>
          <w:bCs w:val="0"/>
          <w:sz w:val="24"/>
          <w:szCs w:val="24"/>
        </w:rPr>
        <w:t xml:space="preserve"> </w:t>
      </w:r>
      <w:r w:rsidR="00AE4C2C" w:rsidRPr="00FA79D6">
        <w:rPr>
          <w:bCs w:val="0"/>
          <w:sz w:val="24"/>
          <w:szCs w:val="24"/>
        </w:rPr>
        <w:t xml:space="preserve">Повідомлення </w:t>
      </w:r>
      <w:r w:rsidR="001E61FD" w:rsidRPr="00FA79D6">
        <w:rPr>
          <w:bCs w:val="0"/>
          <w:sz w:val="24"/>
          <w:szCs w:val="24"/>
        </w:rPr>
        <w:br/>
      </w:r>
      <w:r w:rsidR="00AE4C2C" w:rsidRPr="00FA79D6">
        <w:rPr>
          <w:bCs w:val="0"/>
          <w:sz w:val="24"/>
          <w:szCs w:val="24"/>
        </w:rPr>
        <w:t>про оприлюднення про</w:t>
      </w:r>
      <w:r w:rsidR="00FE072F" w:rsidRPr="00FA79D6">
        <w:rPr>
          <w:bCs w:val="0"/>
          <w:sz w:val="24"/>
          <w:szCs w:val="24"/>
        </w:rPr>
        <w:t>є</w:t>
      </w:r>
      <w:r w:rsidR="00AE4C2C" w:rsidRPr="00FA79D6">
        <w:rPr>
          <w:bCs w:val="0"/>
          <w:sz w:val="24"/>
          <w:szCs w:val="24"/>
        </w:rPr>
        <w:t xml:space="preserve">кту документу державного планування </w:t>
      </w:r>
      <w:r w:rsidR="001E61FD" w:rsidRPr="00FA79D6">
        <w:rPr>
          <w:bCs w:val="0"/>
          <w:sz w:val="24"/>
          <w:szCs w:val="24"/>
        </w:rPr>
        <w:br/>
      </w:r>
      <w:r w:rsidR="00AE4C2C" w:rsidRPr="00FA79D6">
        <w:rPr>
          <w:bCs w:val="0"/>
          <w:sz w:val="24"/>
          <w:szCs w:val="24"/>
        </w:rPr>
        <w:t>та звіту про стратегічну екологічну оцінку</w:t>
      </w:r>
    </w:p>
    <w:p w14:paraId="164EB560" w14:textId="77777777" w:rsidR="008C6A12" w:rsidRPr="00FA79D6" w:rsidRDefault="008C6A12" w:rsidP="007C424D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14:paraId="3D338EB3" w14:textId="6104CD1C" w:rsidR="000A6F53" w:rsidRPr="00FA79D6" w:rsidRDefault="00AE4C2C" w:rsidP="007C424D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textAlignment w:val="baseline"/>
        <w:rPr>
          <w:b/>
        </w:rPr>
      </w:pPr>
      <w:r w:rsidRPr="00FA79D6">
        <w:rPr>
          <w:b/>
        </w:rPr>
        <w:t>Повна назва документа державного планування</w:t>
      </w:r>
      <w:r w:rsidR="000A6F53" w:rsidRPr="00FA79D6">
        <w:rPr>
          <w:b/>
        </w:rPr>
        <w:t>, що пропонується, та стислий виклад його змісту</w:t>
      </w:r>
    </w:p>
    <w:p w14:paraId="5CCF37A5" w14:textId="62D87136" w:rsidR="000979AC" w:rsidRPr="00FA79D6" w:rsidRDefault="000A6F53" w:rsidP="006B4B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79D6">
        <w:t>П</w:t>
      </w:r>
      <w:r w:rsidR="00AE4C2C" w:rsidRPr="00FA79D6">
        <w:t>ро</w:t>
      </w:r>
      <w:r w:rsidR="00FE072F" w:rsidRPr="00FA79D6">
        <w:t>є</w:t>
      </w:r>
      <w:r w:rsidR="00AE4C2C" w:rsidRPr="00FA79D6">
        <w:t xml:space="preserve">кт </w:t>
      </w:r>
      <w:r w:rsidR="006D32A6" w:rsidRPr="00FA79D6">
        <w:t>вне</w:t>
      </w:r>
      <w:r w:rsidR="00FE072F" w:rsidRPr="00FA79D6">
        <w:t>с</w:t>
      </w:r>
      <w:r w:rsidR="006D32A6" w:rsidRPr="00FA79D6">
        <w:t xml:space="preserve">ення </w:t>
      </w:r>
      <w:r w:rsidR="00EA3317" w:rsidRPr="00FA79D6">
        <w:rPr>
          <w:bCs/>
        </w:rPr>
        <w:t xml:space="preserve">змін до </w:t>
      </w:r>
      <w:r w:rsidR="006B4BFC" w:rsidRPr="00FA79D6">
        <w:t xml:space="preserve">Плану заходів з реалізації у 2021-2023 роках Стратегії розвитку Донецької області на період до 2027 року </w:t>
      </w:r>
      <w:r w:rsidR="00FE072F" w:rsidRPr="00FA79D6">
        <w:t xml:space="preserve">(далі </w:t>
      </w:r>
      <w:r w:rsidR="006B4BFC" w:rsidRPr="00FA79D6">
        <w:t>–</w:t>
      </w:r>
      <w:r w:rsidR="00FE072F" w:rsidRPr="00FA79D6">
        <w:t xml:space="preserve"> П</w:t>
      </w:r>
      <w:r w:rsidR="006B4BFC" w:rsidRPr="00FA79D6">
        <w:t>лан заходів</w:t>
      </w:r>
      <w:r w:rsidR="00FE072F" w:rsidRPr="00FA79D6">
        <w:t>).</w:t>
      </w:r>
    </w:p>
    <w:p w14:paraId="643FCD26" w14:textId="7EAE192C" w:rsidR="006B4BFC" w:rsidRPr="00FA79D6" w:rsidRDefault="006B4BFC" w:rsidP="006B4BF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9D6">
        <w:rPr>
          <w:rFonts w:ascii="Times New Roman" w:hAnsi="Times New Roman" w:cs="Times New Roman"/>
          <w:sz w:val="24"/>
          <w:szCs w:val="24"/>
        </w:rPr>
        <w:t xml:space="preserve">План заходів, із запропонованими до нього змінами, є документом державного стратегічного планування місцевого рівня, </w:t>
      </w:r>
      <w:r w:rsidRPr="00FA7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якому визначаються цілі, пріоритети розвитку та напрями реалізації державної регіональної політики з конкретизацією основних завдань і заходів, </w:t>
      </w:r>
      <w:r w:rsidRPr="00FA79D6">
        <w:rPr>
          <w:rFonts w:ascii="Times New Roman" w:hAnsi="Times New Roman" w:cs="Times New Roman"/>
          <w:sz w:val="24"/>
          <w:szCs w:val="24"/>
        </w:rPr>
        <w:t>орієнтовних обсягів і джерел їх фінансування,</w:t>
      </w:r>
      <w:r w:rsidRPr="00FA7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їх виконавців і строків виконання, а також індикаторів результативності їх виконання. </w:t>
      </w:r>
    </w:p>
    <w:p w14:paraId="3C00D856" w14:textId="77777777" w:rsidR="006B4BFC" w:rsidRPr="00FA79D6" w:rsidRDefault="006B4BFC" w:rsidP="006B4BFC">
      <w:pPr>
        <w:spacing w:before="120"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79D6">
        <w:rPr>
          <w:rFonts w:ascii="Times New Roman" w:hAnsi="Times New Roman" w:cs="Times New Roman"/>
          <w:spacing w:val="-4"/>
          <w:sz w:val="24"/>
          <w:szCs w:val="24"/>
        </w:rPr>
        <w:t xml:space="preserve">Програми Плану заходів повністю співпадають зі стратегічними цілями Стратегії розвитку Донецької області на період до 2027 року (далі – Стратегії), напрями – з операційними цілями: </w:t>
      </w:r>
    </w:p>
    <w:p w14:paraId="6C7A893A" w14:textId="77777777" w:rsidR="006B4BFC" w:rsidRPr="00FA79D6" w:rsidRDefault="006B4BFC" w:rsidP="006B4B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1" w:name="n37"/>
      <w:bookmarkEnd w:id="1"/>
    </w:p>
    <w:tbl>
      <w:tblPr>
        <w:tblStyle w:val="a8"/>
        <w:tblpPr w:leftFromText="180" w:rightFromText="180" w:vertAnchor="text" w:horzAnchor="margin" w:tblpY="-43"/>
        <w:tblW w:w="9776" w:type="dxa"/>
        <w:tblLayout w:type="fixed"/>
        <w:tblLook w:val="00A0" w:firstRow="1" w:lastRow="0" w:firstColumn="1" w:lastColumn="0" w:noHBand="0" w:noVBand="0"/>
      </w:tblPr>
      <w:tblGrid>
        <w:gridCol w:w="2444"/>
        <w:gridCol w:w="2444"/>
        <w:gridCol w:w="2444"/>
        <w:gridCol w:w="2444"/>
      </w:tblGrid>
      <w:tr w:rsidR="006B4BFC" w:rsidRPr="00FA79D6" w14:paraId="7F88C76D" w14:textId="77777777" w:rsidTr="000076AD">
        <w:tc>
          <w:tcPr>
            <w:tcW w:w="9776" w:type="dxa"/>
            <w:gridSpan w:val="4"/>
            <w:hideMark/>
          </w:tcPr>
          <w:p w14:paraId="33EF547B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Style w:val="a7"/>
                <w:b/>
                <w:i w:val="0"/>
                <w:iCs/>
                <w:w w:val="90"/>
              </w:rPr>
            </w:pPr>
            <w:r w:rsidRPr="00FA79D6">
              <w:rPr>
                <w:rStyle w:val="a7"/>
                <w:b/>
                <w:iCs/>
                <w:w w:val="90"/>
              </w:rPr>
              <w:t>Стратегічні цілі Стратегії – програми Плану заходів</w:t>
            </w:r>
          </w:p>
        </w:tc>
      </w:tr>
      <w:tr w:rsidR="006B4BFC" w:rsidRPr="00FA79D6" w14:paraId="39B68FD4" w14:textId="77777777" w:rsidTr="000076AD">
        <w:trPr>
          <w:trHeight w:val="873"/>
        </w:trPr>
        <w:tc>
          <w:tcPr>
            <w:tcW w:w="2444" w:type="dxa"/>
            <w:hideMark/>
          </w:tcPr>
          <w:p w14:paraId="3D578B25" w14:textId="77777777" w:rsidR="006B4BFC" w:rsidRPr="00FA79D6" w:rsidRDefault="006B4BFC" w:rsidP="000076AD">
            <w:pPr>
              <w:pStyle w:val="5"/>
              <w:keepLines w:val="0"/>
              <w:widowControl w:val="0"/>
              <w:spacing w:before="0"/>
              <w:jc w:val="center"/>
              <w:outlineLvl w:val="4"/>
              <w:rPr>
                <w:rStyle w:val="a7"/>
                <w:i w:val="0"/>
                <w:iCs/>
                <w:color w:val="auto"/>
                <w:w w:val="90"/>
                <w:sz w:val="24"/>
                <w:szCs w:val="24"/>
              </w:rPr>
            </w:pPr>
            <w:r w:rsidRPr="00FA79D6">
              <w:rPr>
                <w:rStyle w:val="a7"/>
                <w:iCs/>
                <w:color w:val="auto"/>
                <w:w w:val="90"/>
                <w:sz w:val="24"/>
                <w:szCs w:val="24"/>
              </w:rPr>
              <w:t>1.</w:t>
            </w:r>
            <w:r w:rsidRPr="00FA79D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 xml:space="preserve"> Оновлена конкурентоспроможна економіка</w:t>
            </w:r>
          </w:p>
        </w:tc>
        <w:tc>
          <w:tcPr>
            <w:tcW w:w="2444" w:type="dxa"/>
            <w:hideMark/>
          </w:tcPr>
          <w:p w14:paraId="6281EFAB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Style w:val="a7"/>
                <w:i w:val="0"/>
                <w:iCs/>
                <w:w w:val="90"/>
              </w:rPr>
            </w:pPr>
            <w:r w:rsidRPr="00FA79D6">
              <w:rPr>
                <w:rStyle w:val="a7"/>
                <w:iCs/>
                <w:w w:val="90"/>
              </w:rPr>
              <w:t xml:space="preserve">2. </w:t>
            </w:r>
            <w:r w:rsidRPr="00FA79D6">
              <w:rPr>
                <w:w w:val="90"/>
              </w:rPr>
              <w:t>Якість життя та людський розвиток</w:t>
            </w:r>
          </w:p>
        </w:tc>
        <w:tc>
          <w:tcPr>
            <w:tcW w:w="2444" w:type="dxa"/>
            <w:shd w:val="clear" w:color="auto" w:fill="auto"/>
            <w:hideMark/>
          </w:tcPr>
          <w:p w14:paraId="2DD45C2C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Style w:val="a7"/>
                <w:i w:val="0"/>
                <w:iCs/>
                <w:w w:val="90"/>
              </w:rPr>
            </w:pPr>
            <w:r w:rsidRPr="00FA79D6">
              <w:rPr>
                <w:rStyle w:val="a7"/>
                <w:iCs/>
                <w:w w:val="90"/>
              </w:rPr>
              <w:t xml:space="preserve">3. </w:t>
            </w:r>
            <w:r w:rsidRPr="00FA79D6">
              <w:rPr>
                <w:w w:val="90"/>
              </w:rPr>
              <w:t>Ефективне управління та безпека в умовах зовнішніх і внутрішніх викликів</w:t>
            </w:r>
          </w:p>
        </w:tc>
        <w:tc>
          <w:tcPr>
            <w:tcW w:w="2444" w:type="dxa"/>
            <w:shd w:val="clear" w:color="auto" w:fill="auto"/>
            <w:hideMark/>
          </w:tcPr>
          <w:p w14:paraId="46E0D0C9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Style w:val="a7"/>
                <w:i w:val="0"/>
                <w:iCs/>
                <w:w w:val="90"/>
              </w:rPr>
            </w:pPr>
            <w:r w:rsidRPr="00FA79D6">
              <w:rPr>
                <w:w w:val="90"/>
              </w:rPr>
              <w:t>4. Екологічна безпека та збалансоване природокористування</w:t>
            </w:r>
          </w:p>
        </w:tc>
      </w:tr>
      <w:tr w:rsidR="006B4BFC" w:rsidRPr="00FA79D6" w14:paraId="60E8E570" w14:textId="77777777" w:rsidTr="000076AD">
        <w:trPr>
          <w:trHeight w:val="231"/>
        </w:trPr>
        <w:tc>
          <w:tcPr>
            <w:tcW w:w="9776" w:type="dxa"/>
            <w:gridSpan w:val="4"/>
            <w:hideMark/>
          </w:tcPr>
          <w:p w14:paraId="2BB88591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Style w:val="a7"/>
                <w:b/>
                <w:i w:val="0"/>
                <w:iCs/>
                <w:w w:val="90"/>
              </w:rPr>
            </w:pPr>
            <w:r w:rsidRPr="00FA79D6">
              <w:rPr>
                <w:rStyle w:val="a7"/>
                <w:b/>
                <w:iCs/>
                <w:w w:val="90"/>
              </w:rPr>
              <w:t>Операційні цілі Стратегії – напрями Плану заходів</w:t>
            </w:r>
          </w:p>
        </w:tc>
      </w:tr>
      <w:tr w:rsidR="006B4BFC" w:rsidRPr="00FA79D6" w14:paraId="58D71D4D" w14:textId="77777777" w:rsidTr="000076AD">
        <w:tc>
          <w:tcPr>
            <w:tcW w:w="2444" w:type="dxa"/>
            <w:hideMark/>
          </w:tcPr>
          <w:p w14:paraId="61B6EAC1" w14:textId="77777777" w:rsidR="006B4BFC" w:rsidRPr="00FA79D6" w:rsidRDefault="006B4BFC" w:rsidP="000076AD">
            <w:pPr>
              <w:pStyle w:val="TableParagraph"/>
              <w:keepNext/>
              <w:ind w:right="26"/>
              <w:jc w:val="center"/>
              <w:rPr>
                <w:rStyle w:val="a7"/>
                <w:iCs/>
                <w:w w:val="90"/>
                <w:sz w:val="24"/>
                <w:szCs w:val="24"/>
                <w:lang w:val="uk-UA"/>
              </w:rPr>
            </w:pPr>
            <w:r w:rsidRPr="00FA79D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1.1. Кваліфіковані кадри, продуктивна зайнятість та гідна праця</w:t>
            </w:r>
          </w:p>
        </w:tc>
        <w:tc>
          <w:tcPr>
            <w:tcW w:w="2444" w:type="dxa"/>
            <w:hideMark/>
          </w:tcPr>
          <w:p w14:paraId="4158CBA0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>2.1. Всебічний розвиток дівчат і хлопців</w:t>
            </w:r>
          </w:p>
        </w:tc>
        <w:tc>
          <w:tcPr>
            <w:tcW w:w="2444" w:type="dxa"/>
            <w:hideMark/>
          </w:tcPr>
          <w:p w14:paraId="068886FB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>3.1. Безпека населення та територій</w:t>
            </w:r>
          </w:p>
        </w:tc>
        <w:tc>
          <w:tcPr>
            <w:tcW w:w="2444" w:type="dxa"/>
            <w:hideMark/>
          </w:tcPr>
          <w:p w14:paraId="3EAEF418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Fonts w:eastAsia="Arial Unicode MS"/>
                <w:w w:val="90"/>
              </w:rPr>
            </w:pPr>
            <w:r w:rsidRPr="00FA79D6">
              <w:rPr>
                <w:w w:val="90"/>
              </w:rPr>
              <w:t>4.1. Безпечний стан довкілля</w:t>
            </w:r>
          </w:p>
        </w:tc>
      </w:tr>
      <w:tr w:rsidR="006B4BFC" w:rsidRPr="00FA79D6" w14:paraId="293260F9" w14:textId="77777777" w:rsidTr="000076AD">
        <w:trPr>
          <w:trHeight w:val="1361"/>
        </w:trPr>
        <w:tc>
          <w:tcPr>
            <w:tcW w:w="2444" w:type="dxa"/>
            <w:hideMark/>
          </w:tcPr>
          <w:p w14:paraId="4F8BF1FB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ind w:firstLine="30"/>
              <w:jc w:val="center"/>
              <w:rPr>
                <w:w w:val="90"/>
              </w:rPr>
            </w:pPr>
            <w:r w:rsidRPr="00FA79D6">
              <w:rPr>
                <w:w w:val="90"/>
              </w:rPr>
              <w:t>1.2. Розумна спеціалізація, заснована на знаннях та інноваціях</w:t>
            </w:r>
          </w:p>
        </w:tc>
        <w:tc>
          <w:tcPr>
            <w:tcW w:w="2444" w:type="dxa"/>
            <w:hideMark/>
          </w:tcPr>
          <w:p w14:paraId="46CF1050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>2.2. Турбота про здоров’я населення</w:t>
            </w:r>
          </w:p>
        </w:tc>
        <w:tc>
          <w:tcPr>
            <w:tcW w:w="2444" w:type="dxa"/>
            <w:hideMark/>
          </w:tcPr>
          <w:p w14:paraId="10B196A5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rFonts w:eastAsia="Arial Unicode MS"/>
                <w:w w:val="90"/>
              </w:rPr>
              <w:t>3.2. Рівний доступ населення до базових соціальних, адміністративних та комунальних послуг</w:t>
            </w:r>
          </w:p>
        </w:tc>
        <w:tc>
          <w:tcPr>
            <w:tcW w:w="2444" w:type="dxa"/>
            <w:hideMark/>
          </w:tcPr>
          <w:p w14:paraId="07ECF9A8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Fonts w:eastAsia="Arial Unicode MS"/>
                <w:w w:val="90"/>
              </w:rPr>
            </w:pPr>
            <w:r w:rsidRPr="00FA79D6">
              <w:rPr>
                <w:w w:val="90"/>
              </w:rPr>
              <w:t>4.2. Стале управління відходами та небезпечними хімічними речовинами</w:t>
            </w:r>
          </w:p>
        </w:tc>
      </w:tr>
      <w:tr w:rsidR="006B4BFC" w:rsidRPr="00FA79D6" w14:paraId="5D3A930B" w14:textId="77777777" w:rsidTr="000076AD">
        <w:trPr>
          <w:trHeight w:val="1075"/>
        </w:trPr>
        <w:tc>
          <w:tcPr>
            <w:tcW w:w="2444" w:type="dxa"/>
            <w:hideMark/>
          </w:tcPr>
          <w:p w14:paraId="0CBEFA1D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>1.3. Транспортна доступність та просторове сполучення</w:t>
            </w:r>
          </w:p>
        </w:tc>
        <w:tc>
          <w:tcPr>
            <w:tcW w:w="2444" w:type="dxa"/>
            <w:hideMark/>
          </w:tcPr>
          <w:p w14:paraId="158DF338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ind w:right="-99"/>
              <w:jc w:val="center"/>
              <w:rPr>
                <w:w w:val="90"/>
              </w:rPr>
            </w:pPr>
            <w:r w:rsidRPr="00FA79D6">
              <w:rPr>
                <w:w w:val="90"/>
              </w:rPr>
              <w:t>2.3. Гармонійний фізичний та духовний розвиток людини</w:t>
            </w:r>
          </w:p>
        </w:tc>
        <w:tc>
          <w:tcPr>
            <w:tcW w:w="2444" w:type="dxa"/>
            <w:hideMark/>
          </w:tcPr>
          <w:p w14:paraId="01B8662B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>3.3. Ефективне управління територіальним розвитком</w:t>
            </w:r>
          </w:p>
        </w:tc>
        <w:tc>
          <w:tcPr>
            <w:tcW w:w="2444" w:type="dxa"/>
            <w:hideMark/>
          </w:tcPr>
          <w:p w14:paraId="1A34234A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ind w:left="-103"/>
              <w:jc w:val="center"/>
              <w:rPr>
                <w:rFonts w:eastAsia="Palatino Linotype"/>
                <w:w w:val="90"/>
              </w:rPr>
            </w:pPr>
            <w:r w:rsidRPr="00FA79D6">
              <w:rPr>
                <w:w w:val="90"/>
              </w:rPr>
              <w:t xml:space="preserve">4.3. Енергетична безпека та розвиток альтернативної енергетики </w:t>
            </w:r>
          </w:p>
        </w:tc>
      </w:tr>
      <w:tr w:rsidR="006B4BFC" w:rsidRPr="00FA79D6" w14:paraId="1D353B61" w14:textId="77777777" w:rsidTr="000076AD">
        <w:tc>
          <w:tcPr>
            <w:tcW w:w="2444" w:type="dxa"/>
          </w:tcPr>
          <w:p w14:paraId="2B27F094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</w:p>
        </w:tc>
        <w:tc>
          <w:tcPr>
            <w:tcW w:w="2444" w:type="dxa"/>
          </w:tcPr>
          <w:p w14:paraId="3645209A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iCs/>
                <w:w w:val="90"/>
              </w:rPr>
            </w:pPr>
          </w:p>
        </w:tc>
        <w:tc>
          <w:tcPr>
            <w:tcW w:w="2444" w:type="dxa"/>
            <w:hideMark/>
          </w:tcPr>
          <w:p w14:paraId="15008EB0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w w:val="90"/>
              </w:rPr>
            </w:pPr>
            <w:r w:rsidRPr="00FA79D6">
              <w:rPr>
                <w:w w:val="90"/>
              </w:rPr>
              <w:t xml:space="preserve">3.4. Інформатизація та </w:t>
            </w:r>
            <w:proofErr w:type="spellStart"/>
            <w:r w:rsidRPr="00FA79D6">
              <w:rPr>
                <w:w w:val="90"/>
              </w:rPr>
              <w:t>цифровізація</w:t>
            </w:r>
            <w:proofErr w:type="spellEnd"/>
            <w:r w:rsidRPr="00FA79D6">
              <w:rPr>
                <w:w w:val="90"/>
              </w:rPr>
              <w:t xml:space="preserve"> публічних послуг</w:t>
            </w:r>
          </w:p>
        </w:tc>
        <w:tc>
          <w:tcPr>
            <w:tcW w:w="2444" w:type="dxa"/>
            <w:hideMark/>
          </w:tcPr>
          <w:p w14:paraId="516EA824" w14:textId="77777777" w:rsidR="006B4BFC" w:rsidRPr="00FA79D6" w:rsidRDefault="006B4BFC" w:rsidP="000076AD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Fonts w:eastAsia="Palatino Linotype"/>
                <w:w w:val="90"/>
              </w:rPr>
            </w:pPr>
          </w:p>
        </w:tc>
      </w:tr>
    </w:tbl>
    <w:p w14:paraId="1E33CAF6" w14:textId="77777777" w:rsidR="006B4BFC" w:rsidRPr="00FA79D6" w:rsidRDefault="006B4BFC" w:rsidP="006B4B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9D6">
        <w:rPr>
          <w:rFonts w:ascii="Times New Roman" w:hAnsi="Times New Roman" w:cs="Times New Roman"/>
          <w:sz w:val="24"/>
          <w:szCs w:val="24"/>
        </w:rPr>
        <w:t xml:space="preserve">План заходів узгоджено з наявними та передбачуваними джерелами фінансування і можливостями для реалізації </w:t>
      </w:r>
      <w:proofErr w:type="spellStart"/>
      <w:r w:rsidRPr="00FA79D6">
        <w:rPr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Pr="00FA79D6">
        <w:rPr>
          <w:rFonts w:ascii="Times New Roman" w:hAnsi="Times New Roman" w:cs="Times New Roman"/>
          <w:sz w:val="24"/>
          <w:szCs w:val="24"/>
        </w:rPr>
        <w:t xml:space="preserve"> ідей, а безпосередньо </w:t>
      </w:r>
      <w:proofErr w:type="spellStart"/>
      <w:r w:rsidRPr="00FA79D6">
        <w:rPr>
          <w:rFonts w:ascii="Times New Roman" w:hAnsi="Times New Roman" w:cs="Times New Roman"/>
          <w:sz w:val="24"/>
          <w:szCs w:val="24"/>
        </w:rPr>
        <w:t>проєктні</w:t>
      </w:r>
      <w:proofErr w:type="spellEnd"/>
      <w:r w:rsidRPr="00FA79D6">
        <w:rPr>
          <w:rFonts w:ascii="Times New Roman" w:hAnsi="Times New Roman" w:cs="Times New Roman"/>
          <w:sz w:val="24"/>
          <w:szCs w:val="24"/>
        </w:rPr>
        <w:t xml:space="preserve"> ідеї перевірено на предмет відповідності Стратегії. </w:t>
      </w:r>
    </w:p>
    <w:p w14:paraId="6643AC30" w14:textId="3FCAB44D" w:rsidR="00D702DB" w:rsidRPr="00FA79D6" w:rsidRDefault="00D702DB" w:rsidP="00D702DB">
      <w:pPr>
        <w:tabs>
          <w:tab w:val="center" w:pos="957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A79D6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З метою забезпечення цілісності системи планування регіонального розвитку проєкт Програми враховує положення програмних документів, які діють на державному та регіональному рівнях та </w:t>
      </w:r>
      <w:proofErr w:type="spellStart"/>
      <w:r w:rsidRPr="00FA79D6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екосистемний</w:t>
      </w:r>
      <w:proofErr w:type="spellEnd"/>
      <w:r w:rsidRPr="00FA79D6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підхід та удосконалення системи інтегрованого екологічного управління та врахування екологічної складової під час розроблення та затвердження документів державного планування.</w:t>
      </w:r>
    </w:p>
    <w:p w14:paraId="272D5E1A" w14:textId="77777777" w:rsidR="00BC0C7E" w:rsidRPr="00FA79D6" w:rsidRDefault="00BC0C7E" w:rsidP="007C424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6"/>
          <w:bCs w:val="0"/>
          <w:bdr w:val="none" w:sz="0" w:space="0" w:color="auto" w:frame="1"/>
        </w:rPr>
      </w:pPr>
    </w:p>
    <w:p w14:paraId="5A0AF38A" w14:textId="58148B35" w:rsidR="000A6F53" w:rsidRPr="00FA79D6" w:rsidRDefault="000A6F53" w:rsidP="007C424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6"/>
          <w:bdr w:val="none" w:sz="0" w:space="0" w:color="auto" w:frame="1"/>
        </w:rPr>
      </w:pPr>
      <w:r w:rsidRPr="00FA79D6">
        <w:rPr>
          <w:rStyle w:val="a6"/>
          <w:bCs w:val="0"/>
          <w:bdr w:val="none" w:sz="0" w:space="0" w:color="auto" w:frame="1"/>
        </w:rPr>
        <w:t>2.</w:t>
      </w:r>
      <w:r w:rsidRPr="00FA79D6">
        <w:rPr>
          <w:rStyle w:val="a6"/>
          <w:bdr w:val="none" w:sz="0" w:space="0" w:color="auto" w:frame="1"/>
        </w:rPr>
        <w:t xml:space="preserve"> </w:t>
      </w:r>
      <w:r w:rsidR="00AE4C2C" w:rsidRPr="00FA79D6">
        <w:rPr>
          <w:rStyle w:val="a6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</w:p>
    <w:p w14:paraId="0BFC03FB" w14:textId="6A4A88CE" w:rsidR="00AE4C2C" w:rsidRPr="00FA79D6" w:rsidRDefault="00FE072F" w:rsidP="007C424D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FA79D6">
        <w:t xml:space="preserve">Департамент економіки </w:t>
      </w:r>
      <w:r w:rsidR="00AE4C2C" w:rsidRPr="00FA79D6">
        <w:t>Донецьк</w:t>
      </w:r>
      <w:r w:rsidRPr="00FA79D6">
        <w:t>ої</w:t>
      </w:r>
      <w:r w:rsidR="00AE4C2C" w:rsidRPr="00FA79D6">
        <w:t xml:space="preserve"> обласн</w:t>
      </w:r>
      <w:r w:rsidRPr="00FA79D6">
        <w:t>ої</w:t>
      </w:r>
      <w:r w:rsidR="00AE4C2C" w:rsidRPr="00FA79D6">
        <w:t xml:space="preserve"> державн</w:t>
      </w:r>
      <w:r w:rsidRPr="00FA79D6">
        <w:t>ої</w:t>
      </w:r>
      <w:r w:rsidR="00AE4C2C" w:rsidRPr="00FA79D6">
        <w:t xml:space="preserve"> адміністраці</w:t>
      </w:r>
      <w:r w:rsidRPr="00FA79D6">
        <w:t>ї</w:t>
      </w:r>
      <w:r w:rsidR="0013481C" w:rsidRPr="00FA79D6">
        <w:t>.</w:t>
      </w:r>
    </w:p>
    <w:p w14:paraId="7B3DE93A" w14:textId="77777777" w:rsidR="00FA79D6" w:rsidRPr="00FA79D6" w:rsidRDefault="00FA79D6" w:rsidP="007C424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6"/>
          <w:bCs w:val="0"/>
          <w:bdr w:val="none" w:sz="0" w:space="0" w:color="auto" w:frame="1"/>
        </w:rPr>
      </w:pPr>
    </w:p>
    <w:p w14:paraId="0AE1131D" w14:textId="127FC9DD" w:rsidR="000A6F53" w:rsidRPr="00FA79D6" w:rsidRDefault="000A6F53" w:rsidP="007C424D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FA79D6">
        <w:rPr>
          <w:rStyle w:val="a6"/>
          <w:bCs w:val="0"/>
          <w:bdr w:val="none" w:sz="0" w:space="0" w:color="auto" w:frame="1"/>
        </w:rPr>
        <w:t>3.</w:t>
      </w:r>
      <w:r w:rsidRPr="00FA79D6">
        <w:rPr>
          <w:rStyle w:val="a6"/>
          <w:bdr w:val="none" w:sz="0" w:space="0" w:color="auto" w:frame="1"/>
        </w:rPr>
        <w:t xml:space="preserve"> </w:t>
      </w:r>
      <w:r w:rsidR="00AE4C2C" w:rsidRPr="00FA79D6">
        <w:rPr>
          <w:rStyle w:val="a6"/>
          <w:bdr w:val="none" w:sz="0" w:space="0" w:color="auto" w:frame="1"/>
        </w:rPr>
        <w:t>Передбачувана процедура громадського обговорення</w:t>
      </w:r>
      <w:r w:rsidR="00AE4C2C" w:rsidRPr="00FA79D6">
        <w:t xml:space="preserve"> </w:t>
      </w:r>
    </w:p>
    <w:p w14:paraId="3FB1CCB9" w14:textId="2577266D" w:rsidR="001E61FD" w:rsidRPr="00FA79D6" w:rsidRDefault="0059734F" w:rsidP="007C424D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FA79D6">
        <w:rPr>
          <w:i/>
        </w:rPr>
        <w:lastRenderedPageBreak/>
        <w:t>Форма:</w:t>
      </w:r>
      <w:r w:rsidRPr="00FA79D6">
        <w:t xml:space="preserve"> </w:t>
      </w:r>
      <w:r w:rsidR="000A6F53" w:rsidRPr="00FA79D6">
        <w:t>Е</w:t>
      </w:r>
      <w:r w:rsidR="00E12BBE" w:rsidRPr="00FA79D6">
        <w:t>лектронні</w:t>
      </w:r>
      <w:r w:rsidR="000A6F53" w:rsidRPr="00FA79D6">
        <w:t xml:space="preserve"> консультації з громадськістю</w:t>
      </w:r>
    </w:p>
    <w:p w14:paraId="776827D1" w14:textId="6D72E746" w:rsidR="000A6F53" w:rsidRPr="00FA79D6" w:rsidRDefault="000A6F53" w:rsidP="007C424D">
      <w:pPr>
        <w:pStyle w:val="11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 w:rsidRPr="00FA79D6">
        <w:rPr>
          <w:i/>
          <w:color w:val="000000"/>
          <w:sz w:val="24"/>
          <w:szCs w:val="24"/>
          <w:shd w:val="clear" w:color="auto" w:fill="FFFFFF"/>
        </w:rPr>
        <w:t xml:space="preserve">Дата початку: </w:t>
      </w:r>
      <w:r w:rsidR="006B4BFC" w:rsidRPr="00FA79D6">
        <w:rPr>
          <w:b/>
          <w:color w:val="000000"/>
          <w:sz w:val="24"/>
          <w:szCs w:val="24"/>
          <w:shd w:val="clear" w:color="auto" w:fill="FFFFFF"/>
        </w:rPr>
        <w:t>31</w:t>
      </w:r>
      <w:r w:rsidRPr="00FA79D6">
        <w:rPr>
          <w:b/>
          <w:color w:val="000000"/>
          <w:sz w:val="24"/>
          <w:szCs w:val="24"/>
          <w:shd w:val="clear" w:color="auto" w:fill="FFFFFF"/>
        </w:rPr>
        <w:t>.</w:t>
      </w:r>
      <w:r w:rsidR="000979AC" w:rsidRPr="00FA79D6">
        <w:rPr>
          <w:b/>
          <w:color w:val="000000"/>
          <w:sz w:val="24"/>
          <w:szCs w:val="24"/>
          <w:shd w:val="clear" w:color="auto" w:fill="FFFFFF"/>
        </w:rPr>
        <w:t>0</w:t>
      </w:r>
      <w:r w:rsidR="006B4BFC" w:rsidRPr="00FA79D6">
        <w:rPr>
          <w:b/>
          <w:color w:val="000000"/>
          <w:sz w:val="24"/>
          <w:szCs w:val="24"/>
          <w:shd w:val="clear" w:color="auto" w:fill="FFFFFF"/>
        </w:rPr>
        <w:t>3</w:t>
      </w:r>
      <w:r w:rsidRPr="00FA79D6">
        <w:rPr>
          <w:b/>
          <w:color w:val="000000"/>
          <w:sz w:val="24"/>
          <w:szCs w:val="24"/>
          <w:shd w:val="clear" w:color="auto" w:fill="FFFFFF"/>
        </w:rPr>
        <w:t>.20</w:t>
      </w:r>
      <w:r w:rsidR="000979AC" w:rsidRPr="00FA79D6">
        <w:rPr>
          <w:b/>
          <w:color w:val="000000"/>
          <w:sz w:val="24"/>
          <w:szCs w:val="24"/>
          <w:shd w:val="clear" w:color="auto" w:fill="FFFFFF"/>
        </w:rPr>
        <w:t>2</w:t>
      </w:r>
      <w:r w:rsidR="006B4BFC" w:rsidRPr="00FA79D6">
        <w:rPr>
          <w:b/>
          <w:color w:val="000000"/>
          <w:sz w:val="24"/>
          <w:szCs w:val="24"/>
          <w:shd w:val="clear" w:color="auto" w:fill="FFFFFF"/>
        </w:rPr>
        <w:t>1</w:t>
      </w:r>
      <w:r w:rsidRPr="00FA79D6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993D8C5" w14:textId="6D67B7B6" w:rsidR="000A6F53" w:rsidRPr="00FA79D6" w:rsidRDefault="000A6F53" w:rsidP="007C424D">
      <w:pPr>
        <w:pStyle w:val="11"/>
        <w:spacing w:before="0"/>
        <w:ind w:firstLine="709"/>
        <w:rPr>
          <w:sz w:val="24"/>
          <w:szCs w:val="24"/>
        </w:rPr>
      </w:pPr>
      <w:r w:rsidRPr="00FA79D6">
        <w:rPr>
          <w:i/>
          <w:color w:val="000000"/>
          <w:sz w:val="24"/>
          <w:szCs w:val="24"/>
          <w:shd w:val="clear" w:color="auto" w:fill="FFFFFF"/>
        </w:rPr>
        <w:t xml:space="preserve">Строки здійснення процедури: </w:t>
      </w:r>
      <w:r w:rsidRPr="00FA79D6">
        <w:rPr>
          <w:sz w:val="24"/>
          <w:szCs w:val="24"/>
        </w:rPr>
        <w:t xml:space="preserve">30 календарних днів </w:t>
      </w:r>
    </w:p>
    <w:p w14:paraId="29FABDB4" w14:textId="11293ED3" w:rsidR="00AE4C2C" w:rsidRPr="00FA79D6" w:rsidRDefault="0059734F" w:rsidP="007C424D">
      <w:pPr>
        <w:pStyle w:val="11"/>
        <w:spacing w:before="0"/>
        <w:ind w:firstLine="709"/>
        <w:rPr>
          <w:i/>
          <w:sz w:val="24"/>
          <w:szCs w:val="24"/>
        </w:rPr>
      </w:pPr>
      <w:r w:rsidRPr="00FA79D6">
        <w:rPr>
          <w:i/>
          <w:color w:val="000000"/>
          <w:sz w:val="24"/>
          <w:szCs w:val="24"/>
          <w:shd w:val="clear" w:color="auto" w:fill="FFFFFF"/>
        </w:rPr>
        <w:t>С</w:t>
      </w:r>
      <w:r w:rsidR="000A6F53" w:rsidRPr="00FA79D6">
        <w:rPr>
          <w:i/>
          <w:color w:val="000000"/>
          <w:sz w:val="24"/>
          <w:szCs w:val="24"/>
          <w:shd w:val="clear" w:color="auto" w:fill="FFFFFF"/>
        </w:rPr>
        <w:t>пособи участі громадськості</w:t>
      </w:r>
      <w:r w:rsidRPr="00FA79D6">
        <w:rPr>
          <w:i/>
          <w:color w:val="000000"/>
          <w:sz w:val="24"/>
          <w:szCs w:val="24"/>
          <w:shd w:val="clear" w:color="auto" w:fill="FFFFFF"/>
        </w:rPr>
        <w:t xml:space="preserve">: </w:t>
      </w:r>
      <w:r w:rsidR="000A6F53" w:rsidRPr="00FA79D6">
        <w:rPr>
          <w:i/>
          <w:color w:val="000000"/>
          <w:sz w:val="24"/>
          <w:szCs w:val="24"/>
          <w:shd w:val="clear" w:color="auto" w:fill="FFFFFF"/>
        </w:rPr>
        <w:t> </w:t>
      </w:r>
      <w:r w:rsidR="00AE4C2C" w:rsidRPr="00FA79D6">
        <w:rPr>
          <w:sz w:val="24"/>
          <w:szCs w:val="24"/>
        </w:rPr>
        <w:t>под</w:t>
      </w:r>
      <w:r w:rsidRPr="00FA79D6">
        <w:rPr>
          <w:sz w:val="24"/>
          <w:szCs w:val="24"/>
        </w:rPr>
        <w:t>ання пропозицій та зауважень до  звіту про стратегічну екологічну оцінку</w:t>
      </w:r>
      <w:r w:rsidR="00CC49C5" w:rsidRPr="00FA79D6">
        <w:rPr>
          <w:sz w:val="24"/>
          <w:szCs w:val="24"/>
          <w:lang w:val="ru-RU"/>
        </w:rPr>
        <w:t xml:space="preserve"> та проекту </w:t>
      </w:r>
      <w:r w:rsidR="00CC49C5" w:rsidRPr="00FA79D6">
        <w:rPr>
          <w:sz w:val="24"/>
          <w:szCs w:val="24"/>
        </w:rPr>
        <w:t xml:space="preserve">внесення </w:t>
      </w:r>
      <w:r w:rsidR="00CC49C5" w:rsidRPr="00FA79D6">
        <w:rPr>
          <w:bCs/>
          <w:sz w:val="24"/>
          <w:szCs w:val="24"/>
        </w:rPr>
        <w:t>змін до П</w:t>
      </w:r>
      <w:r w:rsidR="006B4BFC" w:rsidRPr="00FA79D6">
        <w:rPr>
          <w:bCs/>
          <w:sz w:val="24"/>
          <w:szCs w:val="24"/>
        </w:rPr>
        <w:t xml:space="preserve">лану заходів </w:t>
      </w:r>
      <w:r w:rsidR="00AE4C2C" w:rsidRPr="00FA79D6">
        <w:rPr>
          <w:b/>
          <w:sz w:val="24"/>
          <w:szCs w:val="24"/>
          <w:u w:val="single"/>
        </w:rPr>
        <w:t>в електронному вигляді</w:t>
      </w:r>
      <w:r w:rsidR="00FE072F" w:rsidRPr="00FA79D6">
        <w:rPr>
          <w:b/>
          <w:sz w:val="24"/>
          <w:szCs w:val="24"/>
          <w:u w:val="single"/>
        </w:rPr>
        <w:t>.</w:t>
      </w:r>
      <w:r w:rsidRPr="00FA79D6">
        <w:rPr>
          <w:b/>
          <w:sz w:val="24"/>
          <w:szCs w:val="24"/>
          <w:u w:val="single"/>
        </w:rPr>
        <w:t xml:space="preserve"> </w:t>
      </w:r>
    </w:p>
    <w:p w14:paraId="0B361E8D" w14:textId="5A21EEF1" w:rsidR="0077471A" w:rsidRPr="00FA79D6" w:rsidRDefault="0059734F" w:rsidP="0077471A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FA79D6">
        <w:rPr>
          <w:i/>
          <w:color w:val="000000"/>
          <w:shd w:val="clear" w:color="auto" w:fill="FFFFFF"/>
        </w:rPr>
        <w:t>Ознайомитися з про</w:t>
      </w:r>
      <w:r w:rsidR="00FE072F" w:rsidRPr="00FA79D6">
        <w:rPr>
          <w:i/>
          <w:color w:val="000000"/>
          <w:shd w:val="clear" w:color="auto" w:fill="FFFFFF"/>
        </w:rPr>
        <w:t>є</w:t>
      </w:r>
      <w:r w:rsidRPr="00FA79D6">
        <w:rPr>
          <w:i/>
          <w:color w:val="000000"/>
          <w:shd w:val="clear" w:color="auto" w:fill="FFFFFF"/>
        </w:rPr>
        <w:t xml:space="preserve">ктом </w:t>
      </w:r>
      <w:r w:rsidR="000979AC" w:rsidRPr="00FA79D6">
        <w:rPr>
          <w:i/>
          <w:color w:val="000000"/>
          <w:shd w:val="clear" w:color="auto" w:fill="FFFFFF"/>
        </w:rPr>
        <w:t>П</w:t>
      </w:r>
      <w:r w:rsidR="006B4BFC" w:rsidRPr="00FA79D6">
        <w:rPr>
          <w:i/>
          <w:color w:val="000000"/>
          <w:shd w:val="clear" w:color="auto" w:fill="FFFFFF"/>
        </w:rPr>
        <w:t>лану заходів</w:t>
      </w:r>
      <w:r w:rsidR="000979AC" w:rsidRPr="00FA79D6">
        <w:rPr>
          <w:i/>
          <w:color w:val="000000"/>
          <w:shd w:val="clear" w:color="auto" w:fill="FFFFFF"/>
        </w:rPr>
        <w:t xml:space="preserve"> </w:t>
      </w:r>
      <w:r w:rsidRPr="00FA79D6">
        <w:rPr>
          <w:i/>
          <w:color w:val="000000"/>
          <w:shd w:val="clear" w:color="auto" w:fill="FFFFFF"/>
        </w:rPr>
        <w:t xml:space="preserve">та </w:t>
      </w:r>
      <w:r w:rsidR="0013481C" w:rsidRPr="00FA79D6">
        <w:rPr>
          <w:i/>
          <w:color w:val="000000"/>
          <w:shd w:val="clear" w:color="auto" w:fill="FFFFFF"/>
        </w:rPr>
        <w:t>З</w:t>
      </w:r>
      <w:r w:rsidRPr="00FA79D6">
        <w:rPr>
          <w:i/>
          <w:color w:val="000000"/>
          <w:shd w:val="clear" w:color="auto" w:fill="FFFFFF"/>
        </w:rPr>
        <w:t>вітом про стратегічну екологічну оцінку, а також отримати додаткову інформацію</w:t>
      </w:r>
      <w:r w:rsidRPr="00FA79D6">
        <w:rPr>
          <w:b/>
        </w:rPr>
        <w:t xml:space="preserve"> </w:t>
      </w:r>
      <w:r w:rsidRPr="00FA79D6">
        <w:t xml:space="preserve">можна </w:t>
      </w:r>
      <w:r w:rsidR="00354DB6" w:rsidRPr="00FA79D6">
        <w:rPr>
          <w:color w:val="333333"/>
        </w:rPr>
        <w:t xml:space="preserve">за посиланням </w:t>
      </w:r>
      <w:hyperlink r:id="rId6" w:tgtFrame="_blank" w:history="1">
        <w:r w:rsidR="0081168D" w:rsidRPr="00FA79D6">
          <w:rPr>
            <w:rFonts w:eastAsiaTheme="minorHAnsi"/>
            <w:color w:val="FF0000"/>
            <w:u w:val="single"/>
            <w:shd w:val="clear" w:color="auto" w:fill="FFFFFF"/>
          </w:rPr>
          <w:t>https://dn.gov.ua/ua/news/povidomlennya-pro-oprilyudnennya-proyektu-280820?v=5f47a3704050c</w:t>
        </w:r>
      </w:hyperlink>
      <w:r w:rsidR="0081168D" w:rsidRPr="00FA79D6">
        <w:rPr>
          <w:rFonts w:eastAsiaTheme="minorHAnsi"/>
          <w:color w:val="FF0000"/>
          <w:shd w:val="clear" w:color="auto" w:fill="FFFFFF"/>
        </w:rPr>
        <w:t> </w:t>
      </w:r>
      <w:r w:rsidR="0077471A" w:rsidRPr="00FA79D6">
        <w:rPr>
          <w:color w:val="FF0000"/>
        </w:rPr>
        <w:t>.</w:t>
      </w:r>
    </w:p>
    <w:p w14:paraId="4147635C" w14:textId="765BD5BA" w:rsidR="000979AC" w:rsidRPr="00FA79D6" w:rsidRDefault="00AE4C2C" w:rsidP="0077471A">
      <w:pPr>
        <w:pStyle w:val="a4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 w:rsidRPr="00FA79D6">
        <w:rPr>
          <w:i/>
        </w:rPr>
        <w:t>Зауваження і пропозиції подаються</w:t>
      </w:r>
      <w:r w:rsidRPr="00FA79D6">
        <w:rPr>
          <w:b/>
        </w:rPr>
        <w:t xml:space="preserve"> </w:t>
      </w:r>
      <w:r w:rsidR="000979AC" w:rsidRPr="00FA79D6">
        <w:t>до департаменту економіки Донецької облдержадміністрації у письмовій формі на електронну адресу 00277@dn.gov.ua з темою листа «До Звіту про СЕО до П</w:t>
      </w:r>
      <w:r w:rsidR="006B4BFC" w:rsidRPr="00FA79D6">
        <w:t>лану заходів</w:t>
      </w:r>
      <w:r w:rsidR="000979AC" w:rsidRPr="00FA79D6">
        <w:t>» у термін до 2</w:t>
      </w:r>
      <w:r w:rsidR="006B4BFC" w:rsidRPr="00FA79D6">
        <w:t>9 квіт</w:t>
      </w:r>
      <w:r w:rsidR="000979AC" w:rsidRPr="00FA79D6">
        <w:t>ня 202</w:t>
      </w:r>
      <w:r w:rsidR="006B4BFC" w:rsidRPr="00FA79D6">
        <w:t>1</w:t>
      </w:r>
      <w:r w:rsidR="000979AC" w:rsidRPr="00FA79D6">
        <w:t xml:space="preserve"> року.</w:t>
      </w:r>
    </w:p>
    <w:p w14:paraId="49732A3D" w14:textId="5565E678" w:rsidR="00AE4C2C" w:rsidRPr="00FA79D6" w:rsidRDefault="00AE4C2C" w:rsidP="007C424D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FA79D6">
        <w:t>Пропозиції та зауваження, подані після встановленого строку, не розглядаються.</w:t>
      </w:r>
    </w:p>
    <w:p w14:paraId="4DDE13D0" w14:textId="77777777" w:rsidR="00BC0C7E" w:rsidRPr="00FA79D6" w:rsidRDefault="00BC0C7E" w:rsidP="007C42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13298B38" w14:textId="1E521436" w:rsidR="00B578BD" w:rsidRPr="00FA79D6" w:rsidRDefault="00B578BD" w:rsidP="007C424D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FA79D6">
        <w:rPr>
          <w:b/>
        </w:rPr>
        <w:t>4. Необхідність п</w:t>
      </w:r>
      <w:r w:rsidR="001E61FD" w:rsidRPr="00FA79D6">
        <w:rPr>
          <w:b/>
        </w:rPr>
        <w:t>роведення транскордонних консультацій</w:t>
      </w:r>
    </w:p>
    <w:p w14:paraId="18E9DDDE" w14:textId="07D11B5C" w:rsidR="001E61FD" w:rsidRPr="00FA79D6" w:rsidRDefault="00B578BD" w:rsidP="007C424D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FA79D6">
        <w:t>Відсутня</w:t>
      </w:r>
    </w:p>
    <w:sectPr w:rsidR="001E61FD" w:rsidRPr="00FA79D6" w:rsidSect="00923F19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38C"/>
    <w:multiLevelType w:val="hybridMultilevel"/>
    <w:tmpl w:val="5DDAE6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B50"/>
    <w:multiLevelType w:val="hybridMultilevel"/>
    <w:tmpl w:val="B7DE6704"/>
    <w:lvl w:ilvl="0" w:tplc="2DEC1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79A7"/>
    <w:multiLevelType w:val="hybridMultilevel"/>
    <w:tmpl w:val="D728D372"/>
    <w:lvl w:ilvl="0" w:tplc="C24E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A9"/>
    <w:rsid w:val="000979AC"/>
    <w:rsid w:val="000A6F53"/>
    <w:rsid w:val="00101B38"/>
    <w:rsid w:val="0013481C"/>
    <w:rsid w:val="001437EA"/>
    <w:rsid w:val="001E61FD"/>
    <w:rsid w:val="00205B8A"/>
    <w:rsid w:val="002337A9"/>
    <w:rsid w:val="00266102"/>
    <w:rsid w:val="002918F5"/>
    <w:rsid w:val="002B0B97"/>
    <w:rsid w:val="00354DB6"/>
    <w:rsid w:val="003E157E"/>
    <w:rsid w:val="004F7F1C"/>
    <w:rsid w:val="0059734F"/>
    <w:rsid w:val="00600E32"/>
    <w:rsid w:val="006B4BFC"/>
    <w:rsid w:val="006D32A6"/>
    <w:rsid w:val="007456AB"/>
    <w:rsid w:val="0075535D"/>
    <w:rsid w:val="0077471A"/>
    <w:rsid w:val="00774A4C"/>
    <w:rsid w:val="007C424D"/>
    <w:rsid w:val="007C54FA"/>
    <w:rsid w:val="00805022"/>
    <w:rsid w:val="0081168D"/>
    <w:rsid w:val="008C6A12"/>
    <w:rsid w:val="00923F19"/>
    <w:rsid w:val="009F7E1E"/>
    <w:rsid w:val="00AB4F72"/>
    <w:rsid w:val="00AE4C2C"/>
    <w:rsid w:val="00B05C00"/>
    <w:rsid w:val="00B578BD"/>
    <w:rsid w:val="00BC0C7E"/>
    <w:rsid w:val="00BE5AB0"/>
    <w:rsid w:val="00CC49C5"/>
    <w:rsid w:val="00D27539"/>
    <w:rsid w:val="00D35615"/>
    <w:rsid w:val="00D37344"/>
    <w:rsid w:val="00D702DB"/>
    <w:rsid w:val="00D93575"/>
    <w:rsid w:val="00DD5B45"/>
    <w:rsid w:val="00E12BBE"/>
    <w:rsid w:val="00E71EAC"/>
    <w:rsid w:val="00EA3317"/>
    <w:rsid w:val="00F12D98"/>
    <w:rsid w:val="00F96801"/>
    <w:rsid w:val="00FA79D6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4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E4C2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4C2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05C00"/>
    <w:rPr>
      <w:color w:val="605E5C"/>
      <w:shd w:val="clear" w:color="auto" w:fill="E1DFDD"/>
    </w:rPr>
  </w:style>
  <w:style w:type="paragraph" w:customStyle="1" w:styleId="11">
    <w:name w:val="Стиль1"/>
    <w:basedOn w:val="a4"/>
    <w:link w:val="12"/>
    <w:qFormat/>
    <w:rsid w:val="007456AB"/>
    <w:pPr>
      <w:spacing w:before="120" w:beforeAutospacing="0" w:after="0" w:afterAutospacing="0"/>
      <w:jc w:val="both"/>
      <w:textAlignment w:val="baseline"/>
    </w:pPr>
    <w:rPr>
      <w:sz w:val="28"/>
      <w:szCs w:val="28"/>
    </w:rPr>
  </w:style>
  <w:style w:type="paragraph" w:customStyle="1" w:styleId="51">
    <w:name w:val="Стиль5"/>
    <w:basedOn w:val="a"/>
    <w:link w:val="52"/>
    <w:qFormat/>
    <w:rsid w:val="0026610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Обычный (веб) Знак"/>
    <w:basedOn w:val="a0"/>
    <w:link w:val="a4"/>
    <w:uiPriority w:val="99"/>
    <w:rsid w:val="007456AB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5"/>
    <w:link w:val="11"/>
    <w:rsid w:val="007456A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2">
    <w:name w:val="Стиль5 Знак"/>
    <w:basedOn w:val="a0"/>
    <w:link w:val="51"/>
    <w:rsid w:val="0026610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B4BF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7">
    <w:name w:val="Emphasis"/>
    <w:uiPriority w:val="20"/>
    <w:qFormat/>
    <w:rsid w:val="006B4BFC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6B4BFC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39"/>
    <w:rsid w:val="006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4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E4C2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4C2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05C00"/>
    <w:rPr>
      <w:color w:val="605E5C"/>
      <w:shd w:val="clear" w:color="auto" w:fill="E1DFDD"/>
    </w:rPr>
  </w:style>
  <w:style w:type="paragraph" w:customStyle="1" w:styleId="11">
    <w:name w:val="Стиль1"/>
    <w:basedOn w:val="a4"/>
    <w:link w:val="12"/>
    <w:qFormat/>
    <w:rsid w:val="007456AB"/>
    <w:pPr>
      <w:spacing w:before="120" w:beforeAutospacing="0" w:after="0" w:afterAutospacing="0"/>
      <w:jc w:val="both"/>
      <w:textAlignment w:val="baseline"/>
    </w:pPr>
    <w:rPr>
      <w:sz w:val="28"/>
      <w:szCs w:val="28"/>
    </w:rPr>
  </w:style>
  <w:style w:type="paragraph" w:customStyle="1" w:styleId="51">
    <w:name w:val="Стиль5"/>
    <w:basedOn w:val="a"/>
    <w:link w:val="52"/>
    <w:qFormat/>
    <w:rsid w:val="0026610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Обычный (веб) Знак"/>
    <w:basedOn w:val="a0"/>
    <w:link w:val="a4"/>
    <w:uiPriority w:val="99"/>
    <w:rsid w:val="007456AB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5"/>
    <w:link w:val="11"/>
    <w:rsid w:val="007456A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2">
    <w:name w:val="Стиль5 Знак"/>
    <w:basedOn w:val="a0"/>
    <w:link w:val="51"/>
    <w:rsid w:val="0026610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B4BF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7">
    <w:name w:val="Emphasis"/>
    <w:uiPriority w:val="20"/>
    <w:qFormat/>
    <w:rsid w:val="006B4BFC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6B4BFC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39"/>
    <w:rsid w:val="006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.gov.ua/ua/news/povidomlennya-pro-oprilyudnennya-proyektu-280820?v=5f47a370405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ODA</dc:creator>
  <cp:lastModifiedBy>Кулик Олег Федорович</cp:lastModifiedBy>
  <cp:revision>2</cp:revision>
  <cp:lastPrinted>2020-08-27T12:26:00Z</cp:lastPrinted>
  <dcterms:created xsi:type="dcterms:W3CDTF">2021-04-21T13:45:00Z</dcterms:created>
  <dcterms:modified xsi:type="dcterms:W3CDTF">2021-04-21T13:45:00Z</dcterms:modified>
</cp:coreProperties>
</file>