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7F" w:rsidRPr="006D5306" w:rsidRDefault="00DD476E" w:rsidP="00312B7F">
      <w:pPr>
        <w:spacing w:after="0" w:line="240" w:lineRule="auto"/>
        <w:jc w:val="center"/>
        <w:rPr>
          <w:rFonts w:ascii="Times New Roman" w:eastAsia="Times New Roman" w:hAnsi="Times New Roman" w:cs="Times New Roman"/>
          <w:b/>
          <w:bCs/>
          <w:kern w:val="36"/>
          <w:sz w:val="28"/>
          <w:szCs w:val="28"/>
          <w:lang w:val="ru-RU" w:eastAsia="uk-UA"/>
        </w:rPr>
      </w:pPr>
      <w:r w:rsidRPr="0070368F">
        <w:rPr>
          <w:rFonts w:ascii="Times New Roman" w:eastAsia="Times New Roman" w:hAnsi="Times New Roman" w:cs="Times New Roman"/>
          <w:b/>
          <w:bCs/>
          <w:kern w:val="36"/>
          <w:sz w:val="28"/>
          <w:szCs w:val="28"/>
          <w:lang w:eastAsia="uk-UA"/>
        </w:rPr>
        <w:t>П</w:t>
      </w:r>
      <w:r w:rsidR="00EF1FB2">
        <w:rPr>
          <w:rFonts w:ascii="Times New Roman" w:eastAsia="Times New Roman" w:hAnsi="Times New Roman" w:cs="Times New Roman"/>
          <w:b/>
          <w:bCs/>
          <w:kern w:val="36"/>
          <w:sz w:val="28"/>
          <w:szCs w:val="28"/>
          <w:lang w:eastAsia="uk-UA"/>
        </w:rPr>
        <w:t xml:space="preserve">овідомлення про оприлюднення </w:t>
      </w:r>
      <w:proofErr w:type="spellStart"/>
      <w:r w:rsidR="00EF1FB2">
        <w:rPr>
          <w:rFonts w:ascii="Times New Roman" w:eastAsia="Times New Roman" w:hAnsi="Times New Roman" w:cs="Times New Roman"/>
          <w:b/>
          <w:bCs/>
          <w:kern w:val="36"/>
          <w:sz w:val="28"/>
          <w:szCs w:val="28"/>
          <w:lang w:eastAsia="uk-UA"/>
        </w:rPr>
        <w:t>п</w:t>
      </w:r>
      <w:r w:rsidRPr="0070368F">
        <w:rPr>
          <w:rFonts w:ascii="Times New Roman" w:eastAsia="Times New Roman" w:hAnsi="Times New Roman" w:cs="Times New Roman"/>
          <w:b/>
          <w:bCs/>
          <w:kern w:val="36"/>
          <w:sz w:val="28"/>
          <w:szCs w:val="28"/>
          <w:lang w:eastAsia="uk-UA"/>
        </w:rPr>
        <w:t>роєкт</w:t>
      </w:r>
      <w:r w:rsidR="00EF1FB2">
        <w:rPr>
          <w:rFonts w:ascii="Times New Roman" w:eastAsia="Times New Roman" w:hAnsi="Times New Roman" w:cs="Times New Roman"/>
          <w:b/>
          <w:bCs/>
          <w:kern w:val="36"/>
          <w:sz w:val="28"/>
          <w:szCs w:val="28"/>
          <w:lang w:eastAsia="uk-UA"/>
        </w:rPr>
        <w:t>у</w:t>
      </w:r>
      <w:proofErr w:type="spellEnd"/>
      <w:r w:rsidRPr="0070368F">
        <w:rPr>
          <w:rFonts w:ascii="Times New Roman" w:eastAsia="Times New Roman" w:hAnsi="Times New Roman" w:cs="Times New Roman"/>
          <w:b/>
          <w:bCs/>
          <w:kern w:val="36"/>
          <w:sz w:val="28"/>
          <w:szCs w:val="28"/>
          <w:lang w:eastAsia="uk-UA"/>
        </w:rPr>
        <w:t xml:space="preserve"> Національного кадастру </w:t>
      </w:r>
    </w:p>
    <w:p w:rsidR="00312B7F" w:rsidRPr="00312B7F" w:rsidRDefault="00DD476E" w:rsidP="00312B7F">
      <w:pPr>
        <w:spacing w:after="0" w:line="240" w:lineRule="auto"/>
        <w:jc w:val="center"/>
        <w:rPr>
          <w:rFonts w:ascii="Times New Roman" w:eastAsia="Times New Roman" w:hAnsi="Times New Roman" w:cs="Times New Roman"/>
          <w:b/>
          <w:bCs/>
          <w:kern w:val="36"/>
          <w:sz w:val="28"/>
          <w:szCs w:val="28"/>
          <w:lang w:val="ru-RU" w:eastAsia="uk-UA"/>
        </w:rPr>
      </w:pPr>
      <w:r w:rsidRPr="0070368F">
        <w:rPr>
          <w:rFonts w:ascii="Times New Roman" w:eastAsia="Times New Roman" w:hAnsi="Times New Roman" w:cs="Times New Roman"/>
          <w:b/>
          <w:bCs/>
          <w:kern w:val="36"/>
          <w:sz w:val="28"/>
          <w:szCs w:val="28"/>
          <w:lang w:eastAsia="uk-UA"/>
        </w:rPr>
        <w:t xml:space="preserve">антропогенних викидів із джерел та абсорбції поглиначами </w:t>
      </w:r>
    </w:p>
    <w:p w:rsidR="00DD476E" w:rsidRPr="0070368F" w:rsidRDefault="00DD476E" w:rsidP="00312B7F">
      <w:pPr>
        <w:spacing w:after="0" w:line="240" w:lineRule="auto"/>
        <w:jc w:val="center"/>
        <w:rPr>
          <w:rFonts w:ascii="Times New Roman" w:hAnsi="Times New Roman" w:cs="Times New Roman"/>
          <w:sz w:val="28"/>
          <w:szCs w:val="28"/>
        </w:rPr>
      </w:pPr>
      <w:r w:rsidRPr="0070368F">
        <w:rPr>
          <w:rFonts w:ascii="Times New Roman" w:eastAsia="Times New Roman" w:hAnsi="Times New Roman" w:cs="Times New Roman"/>
          <w:b/>
          <w:bCs/>
          <w:kern w:val="36"/>
          <w:sz w:val="28"/>
          <w:szCs w:val="28"/>
          <w:lang w:eastAsia="uk-UA"/>
        </w:rPr>
        <w:t>парникових газів в Україні за 1990-202</w:t>
      </w:r>
      <w:r w:rsidR="007410A7">
        <w:rPr>
          <w:rFonts w:ascii="Times New Roman" w:eastAsia="Times New Roman" w:hAnsi="Times New Roman" w:cs="Times New Roman"/>
          <w:b/>
          <w:bCs/>
          <w:kern w:val="36"/>
          <w:sz w:val="28"/>
          <w:szCs w:val="28"/>
          <w:lang w:eastAsia="uk-UA"/>
        </w:rPr>
        <w:t>1</w:t>
      </w:r>
      <w:r w:rsidRPr="0070368F">
        <w:rPr>
          <w:rFonts w:ascii="Times New Roman" w:eastAsia="Times New Roman" w:hAnsi="Times New Roman" w:cs="Times New Roman"/>
          <w:b/>
          <w:bCs/>
          <w:kern w:val="36"/>
          <w:sz w:val="28"/>
          <w:szCs w:val="28"/>
          <w:lang w:eastAsia="uk-UA"/>
        </w:rPr>
        <w:t xml:space="preserve"> роки для публічного ознайомлення та отримання зауважень і пропозицій</w:t>
      </w:r>
    </w:p>
    <w:p w:rsidR="00DD476E" w:rsidRPr="0070368F" w:rsidRDefault="00DD476E" w:rsidP="007F117D">
      <w:pPr>
        <w:spacing w:after="0" w:line="240" w:lineRule="auto"/>
        <w:jc w:val="both"/>
        <w:rPr>
          <w:rFonts w:ascii="Times New Roman" w:hAnsi="Times New Roman" w:cs="Times New Roman"/>
          <w:sz w:val="24"/>
          <w:szCs w:val="24"/>
        </w:rPr>
      </w:pPr>
    </w:p>
    <w:p w:rsidR="00874665" w:rsidRPr="0070368F" w:rsidRDefault="00874665" w:rsidP="00A90BFC">
      <w:pPr>
        <w:pStyle w:val="a3"/>
        <w:shd w:val="clear" w:color="auto" w:fill="FFFFFF"/>
        <w:spacing w:before="0" w:beforeAutospacing="0" w:after="0" w:afterAutospacing="0" w:line="276" w:lineRule="auto"/>
        <w:ind w:firstLine="567"/>
        <w:jc w:val="both"/>
      </w:pPr>
      <w:proofErr w:type="spellStart"/>
      <w:r w:rsidRPr="0070368F">
        <w:t>Міндовкілля</w:t>
      </w:r>
      <w:proofErr w:type="spellEnd"/>
      <w:r w:rsidRPr="0070368F">
        <w:t xml:space="preserve"> оприлюднило </w:t>
      </w:r>
      <w:proofErr w:type="spellStart"/>
      <w:r w:rsidRPr="0070368F">
        <w:t>проєкт</w:t>
      </w:r>
      <w:proofErr w:type="spellEnd"/>
      <w:r w:rsidRPr="0070368F">
        <w:t xml:space="preserve"> Національного кадастру антропогенних викидів із джерел та абсорбції поглиначами парникових газів в Україні за 1990-202</w:t>
      </w:r>
      <w:r w:rsidR="007410A7">
        <w:t>1</w:t>
      </w:r>
      <w:r w:rsidRPr="0070368F">
        <w:t xml:space="preserve"> роки (англійською мовою відповідно до вимог Секретаріату Рамкової конвенції ООН про зміну клімату) для публічного ознайомлення та отримання зауважень і пропозицій.</w:t>
      </w:r>
    </w:p>
    <w:p w:rsidR="00874665" w:rsidRPr="00A90BFC" w:rsidRDefault="00874665" w:rsidP="00A90BFC">
      <w:pPr>
        <w:pStyle w:val="a3"/>
        <w:shd w:val="clear" w:color="auto" w:fill="FFFFFF"/>
        <w:spacing w:before="0" w:beforeAutospacing="0" w:after="0" w:afterAutospacing="0" w:line="276" w:lineRule="auto"/>
        <w:ind w:firstLine="567"/>
        <w:jc w:val="both"/>
      </w:pPr>
      <w:r w:rsidRPr="00A90BFC">
        <w:t xml:space="preserve">Зауваження та пропозиції просимо надсилати </w:t>
      </w:r>
      <w:r w:rsidR="00A90BFC" w:rsidRPr="00A90BFC">
        <w:t xml:space="preserve">у друкованій та електронній формах </w:t>
      </w:r>
      <w:r w:rsidR="00A90BFC" w:rsidRPr="00A90BFC">
        <w:rPr>
          <w:lang w:val="ru-RU"/>
        </w:rPr>
        <w:t>(</w:t>
      </w:r>
      <w:hyperlink r:id="rId6" w:history="1">
        <w:r w:rsidR="00A90BFC" w:rsidRPr="00A90BFC">
          <w:rPr>
            <w:rStyle w:val="a4"/>
            <w:color w:val="auto"/>
            <w:shd w:val="clear" w:color="auto" w:fill="FFFFFF"/>
            <w:lang w:val="en-US"/>
          </w:rPr>
          <w:t>chyzhenko</w:t>
        </w:r>
        <w:r w:rsidR="00A90BFC" w:rsidRPr="00A90BFC">
          <w:rPr>
            <w:rStyle w:val="a4"/>
            <w:color w:val="auto"/>
            <w:shd w:val="clear" w:color="auto" w:fill="FFFFFF"/>
            <w:lang w:val="ru-RU"/>
          </w:rPr>
          <w:t>@</w:t>
        </w:r>
        <w:r w:rsidR="00A90BFC" w:rsidRPr="00A90BFC">
          <w:rPr>
            <w:rStyle w:val="a4"/>
            <w:color w:val="auto"/>
            <w:shd w:val="clear" w:color="auto" w:fill="FFFFFF"/>
            <w:lang w:val="en-US"/>
          </w:rPr>
          <w:t>mepr</w:t>
        </w:r>
        <w:r w:rsidR="00A90BFC" w:rsidRPr="00A90BFC">
          <w:rPr>
            <w:rStyle w:val="a4"/>
            <w:color w:val="auto"/>
            <w:shd w:val="clear" w:color="auto" w:fill="FFFFFF"/>
            <w:lang w:val="ru-RU"/>
          </w:rPr>
          <w:t>.</w:t>
        </w:r>
        <w:r w:rsidR="00A90BFC" w:rsidRPr="00A90BFC">
          <w:rPr>
            <w:rStyle w:val="a4"/>
            <w:color w:val="auto"/>
            <w:shd w:val="clear" w:color="auto" w:fill="FFFFFF"/>
            <w:lang w:val="en-US"/>
          </w:rPr>
          <w:t>gov</w:t>
        </w:r>
        <w:r w:rsidR="00A90BFC" w:rsidRPr="00A90BFC">
          <w:rPr>
            <w:rStyle w:val="a4"/>
            <w:color w:val="auto"/>
            <w:shd w:val="clear" w:color="auto" w:fill="FFFFFF"/>
            <w:lang w:val="ru-RU"/>
          </w:rPr>
          <w:t>.</w:t>
        </w:r>
        <w:r w:rsidR="00A90BFC" w:rsidRPr="00A90BFC">
          <w:rPr>
            <w:rStyle w:val="a4"/>
            <w:color w:val="auto"/>
            <w:shd w:val="clear" w:color="auto" w:fill="FFFFFF"/>
            <w:lang w:val="en-US"/>
          </w:rPr>
          <w:t>ua</w:t>
        </w:r>
      </w:hyperlink>
      <w:r w:rsidR="00A90BFC" w:rsidRPr="00A90BFC">
        <w:rPr>
          <w:lang w:val="ru-RU"/>
        </w:rPr>
        <w:t>,</w:t>
      </w:r>
      <w:r w:rsidR="00A90BFC">
        <w:rPr>
          <w:lang w:val="ru-RU"/>
        </w:rPr>
        <w:t xml:space="preserve"> </w:t>
      </w:r>
      <w:r w:rsidR="00A90BFC" w:rsidRPr="00A90BFC">
        <w:rPr>
          <w:u w:val="single"/>
          <w:lang w:val="ru-RU"/>
        </w:rPr>
        <w:t>chyzhenko@gmail.</w:t>
      </w:r>
      <w:r w:rsidR="00A90BFC" w:rsidRPr="00A90BFC">
        <w:rPr>
          <w:u w:val="single"/>
          <w:lang w:val="en-US"/>
        </w:rPr>
        <w:t>com</w:t>
      </w:r>
      <w:r w:rsidR="00A90BFC" w:rsidRPr="00A90BFC">
        <w:rPr>
          <w:lang w:val="ru-RU"/>
        </w:rPr>
        <w:t xml:space="preserve">, </w:t>
      </w:r>
      <w:hyperlink r:id="rId7" w:history="1">
        <w:r w:rsidR="00A90BFC" w:rsidRPr="00A90BFC">
          <w:rPr>
            <w:rStyle w:val="a4"/>
            <w:color w:val="auto"/>
            <w:shd w:val="clear" w:color="auto" w:fill="FFFFFF"/>
            <w:lang w:val="en-US"/>
          </w:rPr>
          <w:t>gsg</w:t>
        </w:r>
        <w:r w:rsidR="00A90BFC" w:rsidRPr="00A90BFC">
          <w:rPr>
            <w:rStyle w:val="a4"/>
            <w:color w:val="auto"/>
            <w:shd w:val="clear" w:color="auto" w:fill="FFFFFF"/>
            <w:lang w:val="ru-RU"/>
          </w:rPr>
          <w:t>@</w:t>
        </w:r>
        <w:r w:rsidR="00A90BFC" w:rsidRPr="00A90BFC">
          <w:rPr>
            <w:rStyle w:val="a4"/>
            <w:color w:val="auto"/>
            <w:shd w:val="clear" w:color="auto" w:fill="FFFFFF"/>
            <w:lang w:val="en-US"/>
          </w:rPr>
          <w:t>nci</w:t>
        </w:r>
        <w:r w:rsidR="00A90BFC" w:rsidRPr="00A90BFC">
          <w:rPr>
            <w:rStyle w:val="a4"/>
            <w:color w:val="auto"/>
            <w:shd w:val="clear" w:color="auto" w:fill="FFFFFF"/>
            <w:lang w:val="ru-RU"/>
          </w:rPr>
          <w:t>.</w:t>
        </w:r>
        <w:r w:rsidR="00A90BFC" w:rsidRPr="00A90BFC">
          <w:rPr>
            <w:rStyle w:val="a4"/>
            <w:color w:val="auto"/>
            <w:shd w:val="clear" w:color="auto" w:fill="FFFFFF"/>
            <w:lang w:val="en-US"/>
          </w:rPr>
          <w:t>org</w:t>
        </w:r>
        <w:r w:rsidR="00A90BFC" w:rsidRPr="00A90BFC">
          <w:rPr>
            <w:rStyle w:val="a4"/>
            <w:color w:val="auto"/>
            <w:shd w:val="clear" w:color="auto" w:fill="FFFFFF"/>
            <w:lang w:val="ru-RU"/>
          </w:rPr>
          <w:t>.</w:t>
        </w:r>
        <w:r w:rsidR="00A90BFC" w:rsidRPr="00A90BFC">
          <w:rPr>
            <w:rStyle w:val="a4"/>
            <w:color w:val="auto"/>
            <w:shd w:val="clear" w:color="auto" w:fill="FFFFFF"/>
            <w:lang w:val="en-US"/>
          </w:rPr>
          <w:t>ua</w:t>
        </w:r>
      </w:hyperlink>
      <w:r w:rsidR="00A90BFC" w:rsidRPr="00A90BFC">
        <w:rPr>
          <w:lang w:val="ru-RU"/>
        </w:rPr>
        <w:t>) до</w:t>
      </w:r>
      <w:r w:rsidRPr="00A90BFC">
        <w:t xml:space="preserve"> </w:t>
      </w:r>
      <w:r w:rsidR="00312B7F" w:rsidRPr="00A90BFC">
        <w:rPr>
          <w:lang w:val="ru-RU"/>
        </w:rPr>
        <w:t>___</w:t>
      </w:r>
      <w:r w:rsidRPr="00A90BFC">
        <w:t>квітня 202</w:t>
      </w:r>
      <w:r w:rsidR="007410A7" w:rsidRPr="00A90BFC">
        <w:t>3</w:t>
      </w:r>
      <w:r w:rsidR="00A90BFC">
        <w:t xml:space="preserve"> року.</w:t>
      </w:r>
    </w:p>
    <w:p w:rsidR="00874665" w:rsidRPr="0070368F" w:rsidRDefault="00874665" w:rsidP="007F117D">
      <w:pPr>
        <w:spacing w:after="0" w:line="240" w:lineRule="auto"/>
        <w:jc w:val="both"/>
        <w:rPr>
          <w:rFonts w:ascii="Times New Roman" w:hAnsi="Times New Roman" w:cs="Times New Roman"/>
          <w:sz w:val="24"/>
          <w:szCs w:val="24"/>
        </w:rPr>
      </w:pPr>
    </w:p>
    <w:p w:rsidR="00312B7F" w:rsidRPr="00EF1FB2" w:rsidRDefault="00B6399D" w:rsidP="00312B7F">
      <w:pPr>
        <w:spacing w:after="0" w:line="240" w:lineRule="auto"/>
        <w:jc w:val="center"/>
        <w:rPr>
          <w:rStyle w:val="a5"/>
          <w:rFonts w:ascii="Times New Roman" w:hAnsi="Times New Roman" w:cs="Times New Roman"/>
          <w:sz w:val="24"/>
          <w:szCs w:val="24"/>
          <w:bdr w:val="none" w:sz="0" w:space="0" w:color="auto" w:frame="1"/>
          <w:shd w:val="clear" w:color="auto" w:fill="FFFFFF"/>
          <w:lang w:val="ru-RU"/>
        </w:rPr>
      </w:pPr>
      <w:r w:rsidRPr="0070368F">
        <w:rPr>
          <w:rStyle w:val="a5"/>
          <w:rFonts w:ascii="Times New Roman" w:hAnsi="Times New Roman" w:cs="Times New Roman"/>
          <w:sz w:val="24"/>
          <w:szCs w:val="24"/>
          <w:bdr w:val="none" w:sz="0" w:space="0" w:color="auto" w:frame="1"/>
          <w:shd w:val="clear" w:color="auto" w:fill="FFFFFF"/>
        </w:rPr>
        <w:t xml:space="preserve">Резюме </w:t>
      </w:r>
      <w:proofErr w:type="spellStart"/>
      <w:r w:rsidRPr="0070368F">
        <w:rPr>
          <w:rStyle w:val="a5"/>
          <w:rFonts w:ascii="Times New Roman" w:hAnsi="Times New Roman" w:cs="Times New Roman"/>
          <w:sz w:val="24"/>
          <w:szCs w:val="24"/>
          <w:bdr w:val="none" w:sz="0" w:space="0" w:color="auto" w:frame="1"/>
          <w:shd w:val="clear" w:color="auto" w:fill="FFFFFF"/>
        </w:rPr>
        <w:t>проєкту</w:t>
      </w:r>
      <w:proofErr w:type="spellEnd"/>
      <w:r w:rsidRPr="0070368F">
        <w:rPr>
          <w:rStyle w:val="a5"/>
          <w:rFonts w:ascii="Times New Roman" w:hAnsi="Times New Roman" w:cs="Times New Roman"/>
          <w:sz w:val="24"/>
          <w:szCs w:val="24"/>
          <w:bdr w:val="none" w:sz="0" w:space="0" w:color="auto" w:frame="1"/>
          <w:shd w:val="clear" w:color="auto" w:fill="FFFFFF"/>
        </w:rPr>
        <w:t xml:space="preserve"> Національного кадастру антропогенних викидів </w:t>
      </w:r>
    </w:p>
    <w:p w:rsidR="00874665" w:rsidRPr="00EF1FB2" w:rsidRDefault="00B6399D" w:rsidP="00312B7F">
      <w:pPr>
        <w:spacing w:after="0" w:line="240" w:lineRule="auto"/>
        <w:jc w:val="center"/>
        <w:rPr>
          <w:rStyle w:val="a5"/>
          <w:rFonts w:ascii="Times New Roman" w:hAnsi="Times New Roman" w:cs="Times New Roman"/>
          <w:sz w:val="24"/>
          <w:szCs w:val="24"/>
          <w:bdr w:val="none" w:sz="0" w:space="0" w:color="auto" w:frame="1"/>
          <w:shd w:val="clear" w:color="auto" w:fill="FFFFFF"/>
          <w:lang w:val="ru-RU"/>
        </w:rPr>
      </w:pPr>
      <w:r w:rsidRPr="0070368F">
        <w:rPr>
          <w:rStyle w:val="a5"/>
          <w:rFonts w:ascii="Times New Roman" w:hAnsi="Times New Roman" w:cs="Times New Roman"/>
          <w:sz w:val="24"/>
          <w:szCs w:val="24"/>
          <w:bdr w:val="none" w:sz="0" w:space="0" w:color="auto" w:frame="1"/>
          <w:shd w:val="clear" w:color="auto" w:fill="FFFFFF"/>
        </w:rPr>
        <w:t>із джерел та абсорбції поглиначами парникових газів в Україні за 1990-202</w:t>
      </w:r>
      <w:r w:rsidR="00983339">
        <w:rPr>
          <w:rStyle w:val="a5"/>
          <w:rFonts w:ascii="Times New Roman" w:hAnsi="Times New Roman" w:cs="Times New Roman"/>
          <w:sz w:val="24"/>
          <w:szCs w:val="24"/>
          <w:bdr w:val="none" w:sz="0" w:space="0" w:color="auto" w:frame="1"/>
          <w:shd w:val="clear" w:color="auto" w:fill="FFFFFF"/>
        </w:rPr>
        <w:t>1</w:t>
      </w:r>
      <w:r w:rsidRPr="0070368F">
        <w:rPr>
          <w:rStyle w:val="a5"/>
          <w:rFonts w:ascii="Times New Roman" w:hAnsi="Times New Roman" w:cs="Times New Roman"/>
          <w:sz w:val="24"/>
          <w:szCs w:val="24"/>
          <w:bdr w:val="none" w:sz="0" w:space="0" w:color="auto" w:frame="1"/>
          <w:shd w:val="clear" w:color="auto" w:fill="FFFFFF"/>
        </w:rPr>
        <w:t xml:space="preserve"> роки</w:t>
      </w:r>
    </w:p>
    <w:p w:rsidR="00312B7F" w:rsidRPr="00EF1FB2" w:rsidRDefault="00312B7F" w:rsidP="00312B7F">
      <w:pPr>
        <w:spacing w:after="0" w:line="240" w:lineRule="auto"/>
        <w:jc w:val="center"/>
        <w:rPr>
          <w:rFonts w:ascii="Times New Roman" w:hAnsi="Times New Roman" w:cs="Times New Roman"/>
          <w:sz w:val="24"/>
          <w:szCs w:val="24"/>
          <w:lang w:val="ru-RU"/>
        </w:rPr>
      </w:pPr>
    </w:p>
    <w:p w:rsidR="00874665" w:rsidRPr="0070368F" w:rsidRDefault="000409E2" w:rsidP="005D5CF0">
      <w:pPr>
        <w:spacing w:after="0" w:line="276" w:lineRule="auto"/>
        <w:ind w:firstLine="567"/>
        <w:jc w:val="both"/>
        <w:rPr>
          <w:rFonts w:ascii="Times New Roman" w:hAnsi="Times New Roman" w:cs="Times New Roman"/>
          <w:sz w:val="24"/>
          <w:szCs w:val="24"/>
        </w:rPr>
      </w:pPr>
      <w:r w:rsidRPr="0070368F">
        <w:rPr>
          <w:rFonts w:ascii="Times New Roman" w:hAnsi="Times New Roman" w:cs="Times New Roman"/>
          <w:sz w:val="24"/>
          <w:szCs w:val="24"/>
          <w:shd w:val="clear" w:color="auto" w:fill="FFFFFF"/>
        </w:rPr>
        <w:t xml:space="preserve">За даними </w:t>
      </w:r>
      <w:proofErr w:type="spellStart"/>
      <w:r w:rsidRPr="0070368F">
        <w:rPr>
          <w:rFonts w:ascii="Times New Roman" w:hAnsi="Times New Roman" w:cs="Times New Roman"/>
          <w:sz w:val="24"/>
          <w:szCs w:val="24"/>
          <w:shd w:val="clear" w:color="auto" w:fill="FFFFFF"/>
        </w:rPr>
        <w:t>проєкту</w:t>
      </w:r>
      <w:proofErr w:type="spellEnd"/>
      <w:r w:rsidRPr="0070368F">
        <w:rPr>
          <w:rFonts w:ascii="Times New Roman" w:hAnsi="Times New Roman" w:cs="Times New Roman"/>
          <w:sz w:val="24"/>
          <w:szCs w:val="24"/>
          <w:shd w:val="clear" w:color="auto" w:fill="FFFFFF"/>
        </w:rPr>
        <w:t xml:space="preserve"> Національного кадастру антропогенних викидів із джерел </w:t>
      </w:r>
      <w:r w:rsidR="007959C2" w:rsidRPr="00EF1FB2">
        <w:rPr>
          <w:rFonts w:ascii="Times New Roman" w:hAnsi="Times New Roman" w:cs="Times New Roman"/>
          <w:sz w:val="24"/>
          <w:szCs w:val="24"/>
          <w:shd w:val="clear" w:color="auto" w:fill="FFFFFF"/>
          <w:lang w:val="ru-RU"/>
        </w:rPr>
        <w:t xml:space="preserve">                   </w:t>
      </w:r>
      <w:r w:rsidRPr="0070368F">
        <w:rPr>
          <w:rFonts w:ascii="Times New Roman" w:hAnsi="Times New Roman" w:cs="Times New Roman"/>
          <w:sz w:val="24"/>
          <w:szCs w:val="24"/>
          <w:shd w:val="clear" w:color="auto" w:fill="FFFFFF"/>
        </w:rPr>
        <w:t>та абсорбції поглиначами парникових газів викиди парникових газів (</w:t>
      </w:r>
      <w:proofErr w:type="spellStart"/>
      <w:r w:rsidR="007959C2" w:rsidRPr="00EF1FB2">
        <w:rPr>
          <w:rFonts w:ascii="Times New Roman" w:hAnsi="Times New Roman" w:cs="Times New Roman"/>
          <w:sz w:val="24"/>
          <w:szCs w:val="24"/>
          <w:shd w:val="clear" w:color="auto" w:fill="FFFFFF"/>
          <w:lang w:val="ru-RU"/>
        </w:rPr>
        <w:t>далі</w:t>
      </w:r>
      <w:proofErr w:type="spellEnd"/>
      <w:r w:rsidR="007959C2" w:rsidRPr="00EF1FB2">
        <w:rPr>
          <w:rFonts w:ascii="Times New Roman" w:hAnsi="Times New Roman" w:cs="Times New Roman"/>
          <w:sz w:val="24"/>
          <w:szCs w:val="24"/>
          <w:shd w:val="clear" w:color="auto" w:fill="FFFFFF"/>
          <w:lang w:val="ru-RU"/>
        </w:rPr>
        <w:t xml:space="preserve"> - </w:t>
      </w:r>
      <w:proofErr w:type="spellStart"/>
      <w:r w:rsidRPr="0070368F">
        <w:rPr>
          <w:rFonts w:ascii="Times New Roman" w:hAnsi="Times New Roman" w:cs="Times New Roman"/>
          <w:sz w:val="24"/>
          <w:szCs w:val="24"/>
          <w:shd w:val="clear" w:color="auto" w:fill="FFFFFF"/>
        </w:rPr>
        <w:t>ПГ</w:t>
      </w:r>
      <w:proofErr w:type="spellEnd"/>
      <w:r w:rsidRPr="0070368F">
        <w:rPr>
          <w:rFonts w:ascii="Times New Roman" w:hAnsi="Times New Roman" w:cs="Times New Roman"/>
          <w:sz w:val="24"/>
          <w:szCs w:val="24"/>
          <w:shd w:val="clear" w:color="auto" w:fill="FFFFFF"/>
        </w:rPr>
        <w:t xml:space="preserve">) в Україні </w:t>
      </w:r>
      <w:r w:rsidR="007959C2" w:rsidRPr="00EF1FB2">
        <w:rPr>
          <w:rFonts w:ascii="Times New Roman" w:hAnsi="Times New Roman" w:cs="Times New Roman"/>
          <w:sz w:val="24"/>
          <w:szCs w:val="24"/>
          <w:shd w:val="clear" w:color="auto" w:fill="FFFFFF"/>
          <w:lang w:val="ru-RU"/>
        </w:rPr>
        <w:t xml:space="preserve">                  </w:t>
      </w:r>
      <w:r w:rsidRPr="0070368F">
        <w:rPr>
          <w:rFonts w:ascii="Times New Roman" w:hAnsi="Times New Roman" w:cs="Times New Roman"/>
          <w:sz w:val="24"/>
          <w:szCs w:val="24"/>
          <w:shd w:val="clear" w:color="auto" w:fill="FFFFFF"/>
        </w:rPr>
        <w:t xml:space="preserve">у </w:t>
      </w:r>
      <w:r w:rsidR="007959C2" w:rsidRPr="00EF1FB2">
        <w:rPr>
          <w:rFonts w:ascii="Times New Roman" w:hAnsi="Times New Roman" w:cs="Times New Roman"/>
          <w:sz w:val="24"/>
          <w:szCs w:val="24"/>
          <w:shd w:val="clear" w:color="auto" w:fill="FFFFFF"/>
          <w:lang w:val="ru-RU"/>
        </w:rPr>
        <w:t>2021</w:t>
      </w:r>
      <w:r w:rsidRPr="0070368F">
        <w:rPr>
          <w:rFonts w:ascii="Times New Roman" w:hAnsi="Times New Roman" w:cs="Times New Roman"/>
          <w:sz w:val="24"/>
          <w:szCs w:val="24"/>
          <w:shd w:val="clear" w:color="auto" w:fill="FFFFFF"/>
        </w:rPr>
        <w:t xml:space="preserve"> році склали </w:t>
      </w:r>
      <w:r w:rsidR="00196B9B">
        <w:rPr>
          <w:rFonts w:ascii="Times New Roman" w:hAnsi="Times New Roman" w:cs="Times New Roman"/>
          <w:sz w:val="24"/>
          <w:szCs w:val="24"/>
          <w:shd w:val="clear" w:color="auto" w:fill="FFFFFF"/>
        </w:rPr>
        <w:t>344</w:t>
      </w:r>
      <w:r w:rsidRPr="0070368F">
        <w:rPr>
          <w:rFonts w:ascii="Times New Roman" w:hAnsi="Times New Roman" w:cs="Times New Roman"/>
          <w:sz w:val="24"/>
          <w:szCs w:val="24"/>
          <w:shd w:val="clear" w:color="auto" w:fill="FFFFFF"/>
        </w:rPr>
        <w:t>,</w:t>
      </w:r>
      <w:r w:rsidR="00196B9B">
        <w:rPr>
          <w:rFonts w:ascii="Times New Roman" w:hAnsi="Times New Roman" w:cs="Times New Roman"/>
          <w:sz w:val="24"/>
          <w:szCs w:val="24"/>
          <w:shd w:val="clear" w:color="auto" w:fill="FFFFFF"/>
        </w:rPr>
        <w:t>6</w:t>
      </w:r>
      <w:r w:rsidR="00B9792F" w:rsidRPr="0070368F">
        <w:rPr>
          <w:rFonts w:ascii="Times New Roman" w:hAnsi="Times New Roman" w:cs="Times New Roman"/>
          <w:sz w:val="24"/>
          <w:szCs w:val="24"/>
          <w:shd w:val="clear" w:color="auto" w:fill="FFFFFF"/>
          <w:lang w:val="en-US"/>
        </w:rPr>
        <w:t> </w:t>
      </w:r>
      <w:r w:rsidRPr="0070368F">
        <w:rPr>
          <w:rFonts w:ascii="Times New Roman" w:hAnsi="Times New Roman" w:cs="Times New Roman"/>
          <w:sz w:val="24"/>
          <w:szCs w:val="24"/>
          <w:shd w:val="clear" w:color="auto" w:fill="FFFFFF"/>
        </w:rPr>
        <w:t>млн.</w:t>
      </w:r>
      <w:r w:rsidR="00B9792F" w:rsidRPr="0070368F">
        <w:rPr>
          <w:rFonts w:ascii="Times New Roman" w:hAnsi="Times New Roman" w:cs="Times New Roman"/>
          <w:sz w:val="24"/>
          <w:szCs w:val="24"/>
          <w:shd w:val="clear" w:color="auto" w:fill="FFFFFF"/>
          <w:lang w:val="en-US"/>
        </w:rPr>
        <w:t> </w:t>
      </w:r>
      <w:r w:rsidRPr="0070368F">
        <w:rPr>
          <w:rFonts w:ascii="Times New Roman" w:hAnsi="Times New Roman" w:cs="Times New Roman"/>
          <w:sz w:val="24"/>
          <w:szCs w:val="24"/>
          <w:shd w:val="clear" w:color="auto" w:fill="FFFFFF"/>
        </w:rPr>
        <w:t>т</w:t>
      </w:r>
      <w:r w:rsidR="00B9792F" w:rsidRPr="0070368F">
        <w:rPr>
          <w:rFonts w:ascii="Times New Roman" w:hAnsi="Times New Roman" w:cs="Times New Roman"/>
          <w:sz w:val="24"/>
          <w:szCs w:val="24"/>
          <w:shd w:val="clear" w:color="auto" w:fill="FFFFFF"/>
          <w:lang w:val="en-US"/>
        </w:rPr>
        <w:t> </w:t>
      </w:r>
      <w:r w:rsidRPr="0070368F">
        <w:rPr>
          <w:rFonts w:ascii="Times New Roman" w:hAnsi="Times New Roman" w:cs="Times New Roman"/>
          <w:sz w:val="24"/>
          <w:szCs w:val="24"/>
          <w:shd w:val="clear" w:color="auto" w:fill="FFFFFF"/>
        </w:rPr>
        <w:t>СО</w:t>
      </w:r>
      <w:r w:rsidRPr="0070368F">
        <w:rPr>
          <w:rFonts w:ascii="Times New Roman" w:hAnsi="Times New Roman" w:cs="Times New Roman"/>
          <w:sz w:val="24"/>
          <w:szCs w:val="24"/>
          <w:bdr w:val="none" w:sz="0" w:space="0" w:color="auto" w:frame="1"/>
          <w:shd w:val="clear" w:color="auto" w:fill="FFFFFF"/>
          <w:vertAlign w:val="subscript"/>
        </w:rPr>
        <w:t>2</w:t>
      </w:r>
      <w:r w:rsidRPr="00196B9B">
        <w:rPr>
          <w:rFonts w:ascii="Times New Roman" w:hAnsi="Times New Roman" w:cs="Times New Roman"/>
          <w:sz w:val="24"/>
          <w:szCs w:val="24"/>
          <w:shd w:val="clear" w:color="auto" w:fill="FFFFFF"/>
        </w:rPr>
        <w:t>-</w:t>
      </w:r>
      <w:r w:rsidRPr="007410A7">
        <w:rPr>
          <w:rFonts w:ascii="Times New Roman" w:hAnsi="Times New Roman" w:cs="Times New Roman"/>
          <w:sz w:val="24"/>
          <w:szCs w:val="24"/>
          <w:shd w:val="clear" w:color="auto" w:fill="FFFFFF"/>
        </w:rPr>
        <w:t>еквіваленту</w:t>
      </w:r>
      <w:r w:rsidRPr="0070368F">
        <w:rPr>
          <w:rFonts w:ascii="Times New Roman" w:hAnsi="Times New Roman" w:cs="Times New Roman"/>
          <w:sz w:val="24"/>
          <w:szCs w:val="24"/>
          <w:shd w:val="clear" w:color="auto" w:fill="FFFFFF"/>
        </w:rPr>
        <w:t xml:space="preserve"> (з урахуванням сектору «Землекористування, зміни в землекористуванні та лісове господарство» (</w:t>
      </w:r>
      <w:r w:rsidR="007959C2">
        <w:rPr>
          <w:rFonts w:ascii="Times New Roman" w:hAnsi="Times New Roman" w:cs="Times New Roman"/>
          <w:sz w:val="24"/>
          <w:szCs w:val="24"/>
          <w:shd w:val="clear" w:color="auto" w:fill="FFFFFF"/>
        </w:rPr>
        <w:t xml:space="preserve">далі - </w:t>
      </w:r>
      <w:r w:rsidRPr="0070368F">
        <w:rPr>
          <w:rFonts w:ascii="Times New Roman" w:hAnsi="Times New Roman" w:cs="Times New Roman"/>
          <w:sz w:val="24"/>
          <w:szCs w:val="24"/>
          <w:shd w:val="clear" w:color="auto" w:fill="FFFFFF"/>
        </w:rPr>
        <w:t xml:space="preserve">ЗЗЗЛГ)) або </w:t>
      </w:r>
      <w:r w:rsidR="00196B9B">
        <w:rPr>
          <w:rFonts w:ascii="Times New Roman" w:hAnsi="Times New Roman" w:cs="Times New Roman"/>
          <w:sz w:val="24"/>
          <w:szCs w:val="24"/>
          <w:shd w:val="clear" w:color="auto" w:fill="FFFFFF"/>
        </w:rPr>
        <w:t>330</w:t>
      </w:r>
      <w:r w:rsidRPr="0070368F">
        <w:rPr>
          <w:rFonts w:ascii="Times New Roman" w:hAnsi="Times New Roman" w:cs="Times New Roman"/>
          <w:sz w:val="24"/>
          <w:szCs w:val="24"/>
          <w:shd w:val="clear" w:color="auto" w:fill="FFFFFF"/>
        </w:rPr>
        <w:t>,</w:t>
      </w:r>
      <w:r w:rsidR="00196B9B">
        <w:rPr>
          <w:rFonts w:ascii="Times New Roman" w:hAnsi="Times New Roman" w:cs="Times New Roman"/>
          <w:sz w:val="24"/>
          <w:szCs w:val="24"/>
          <w:shd w:val="clear" w:color="auto" w:fill="FFFFFF"/>
        </w:rPr>
        <w:t>4</w:t>
      </w:r>
      <w:r w:rsidR="00B9792F" w:rsidRPr="0070368F">
        <w:rPr>
          <w:rFonts w:ascii="Times New Roman" w:hAnsi="Times New Roman" w:cs="Times New Roman"/>
          <w:sz w:val="24"/>
          <w:szCs w:val="24"/>
          <w:shd w:val="clear" w:color="auto" w:fill="FFFFFF"/>
        </w:rPr>
        <w:t xml:space="preserve"> </w:t>
      </w:r>
      <w:r w:rsidR="00B9792F" w:rsidRPr="0070368F">
        <w:rPr>
          <w:rFonts w:ascii="Times New Roman" w:hAnsi="Times New Roman" w:cs="Times New Roman"/>
          <w:sz w:val="24"/>
          <w:szCs w:val="24"/>
          <w:shd w:val="clear" w:color="auto" w:fill="FFFFFF"/>
          <w:lang w:val="en-US"/>
        </w:rPr>
        <w:t> </w:t>
      </w:r>
      <w:r w:rsidR="00B9792F" w:rsidRPr="0070368F">
        <w:rPr>
          <w:rFonts w:ascii="Times New Roman" w:hAnsi="Times New Roman" w:cs="Times New Roman"/>
          <w:sz w:val="24"/>
          <w:szCs w:val="24"/>
          <w:shd w:val="clear" w:color="auto" w:fill="FFFFFF"/>
        </w:rPr>
        <w:t>млн.</w:t>
      </w:r>
      <w:r w:rsidR="00B9792F" w:rsidRPr="0070368F">
        <w:rPr>
          <w:rFonts w:ascii="Times New Roman" w:hAnsi="Times New Roman" w:cs="Times New Roman"/>
          <w:sz w:val="24"/>
          <w:szCs w:val="24"/>
          <w:shd w:val="clear" w:color="auto" w:fill="FFFFFF"/>
          <w:lang w:val="en-US"/>
        </w:rPr>
        <w:t> </w:t>
      </w:r>
      <w:r w:rsidR="00B9792F" w:rsidRPr="0070368F">
        <w:rPr>
          <w:rFonts w:ascii="Times New Roman" w:hAnsi="Times New Roman" w:cs="Times New Roman"/>
          <w:sz w:val="24"/>
          <w:szCs w:val="24"/>
          <w:shd w:val="clear" w:color="auto" w:fill="FFFFFF"/>
        </w:rPr>
        <w:t>т</w:t>
      </w:r>
      <w:r w:rsidR="00B9792F" w:rsidRPr="0070368F">
        <w:rPr>
          <w:rFonts w:ascii="Times New Roman" w:hAnsi="Times New Roman" w:cs="Times New Roman"/>
          <w:sz w:val="24"/>
          <w:szCs w:val="24"/>
          <w:shd w:val="clear" w:color="auto" w:fill="FFFFFF"/>
          <w:lang w:val="en-US"/>
        </w:rPr>
        <w:t> </w:t>
      </w:r>
      <w:r w:rsidR="00B9792F" w:rsidRPr="0070368F">
        <w:rPr>
          <w:rFonts w:ascii="Times New Roman" w:hAnsi="Times New Roman" w:cs="Times New Roman"/>
          <w:sz w:val="24"/>
          <w:szCs w:val="24"/>
          <w:shd w:val="clear" w:color="auto" w:fill="FFFFFF"/>
        </w:rPr>
        <w:t>СО</w:t>
      </w:r>
      <w:r w:rsidR="00B9792F" w:rsidRPr="0070368F">
        <w:rPr>
          <w:rFonts w:ascii="Times New Roman" w:hAnsi="Times New Roman" w:cs="Times New Roman"/>
          <w:sz w:val="24"/>
          <w:szCs w:val="24"/>
          <w:bdr w:val="none" w:sz="0" w:space="0" w:color="auto" w:frame="1"/>
          <w:shd w:val="clear" w:color="auto" w:fill="FFFFFF"/>
          <w:vertAlign w:val="subscript"/>
        </w:rPr>
        <w:t>2</w:t>
      </w:r>
      <w:r w:rsidR="00B9792F" w:rsidRPr="00196B9B">
        <w:rPr>
          <w:rFonts w:ascii="Times New Roman" w:hAnsi="Times New Roman" w:cs="Times New Roman"/>
          <w:sz w:val="24"/>
          <w:szCs w:val="24"/>
          <w:shd w:val="clear" w:color="auto" w:fill="FFFFFF"/>
        </w:rPr>
        <w:t>-</w:t>
      </w:r>
      <w:r w:rsidR="00B9792F" w:rsidRPr="00983339">
        <w:rPr>
          <w:rFonts w:ascii="Times New Roman" w:hAnsi="Times New Roman" w:cs="Times New Roman"/>
          <w:sz w:val="24"/>
          <w:szCs w:val="24"/>
          <w:shd w:val="clear" w:color="auto" w:fill="FFFFFF"/>
        </w:rPr>
        <w:t>еквіваленту</w:t>
      </w:r>
      <w:r w:rsidRPr="0070368F">
        <w:rPr>
          <w:rFonts w:ascii="Times New Roman" w:hAnsi="Times New Roman" w:cs="Times New Roman"/>
          <w:sz w:val="24"/>
          <w:szCs w:val="24"/>
          <w:shd w:val="clear" w:color="auto" w:fill="FFFFFF"/>
        </w:rPr>
        <w:t xml:space="preserve"> (без урахування ЗЗЗЛГ). У порівнянні із 1990 роком сумарні викиди і поглинання </w:t>
      </w:r>
      <w:proofErr w:type="spellStart"/>
      <w:r w:rsidRPr="0070368F">
        <w:rPr>
          <w:rFonts w:ascii="Times New Roman" w:hAnsi="Times New Roman" w:cs="Times New Roman"/>
          <w:sz w:val="24"/>
          <w:szCs w:val="24"/>
          <w:shd w:val="clear" w:color="auto" w:fill="FFFFFF"/>
        </w:rPr>
        <w:t>ПГ</w:t>
      </w:r>
      <w:proofErr w:type="spellEnd"/>
      <w:r w:rsidRPr="0070368F">
        <w:rPr>
          <w:rFonts w:ascii="Times New Roman" w:hAnsi="Times New Roman" w:cs="Times New Roman"/>
          <w:sz w:val="24"/>
          <w:szCs w:val="24"/>
          <w:shd w:val="clear" w:color="auto" w:fill="FFFFFF"/>
        </w:rPr>
        <w:t xml:space="preserve"> у 20</w:t>
      </w:r>
      <w:r w:rsidR="00B9792F" w:rsidRPr="0070368F">
        <w:rPr>
          <w:rFonts w:ascii="Times New Roman" w:hAnsi="Times New Roman" w:cs="Times New Roman"/>
          <w:sz w:val="24"/>
          <w:szCs w:val="24"/>
          <w:shd w:val="clear" w:color="auto" w:fill="FFFFFF"/>
          <w:lang w:val="ru-RU"/>
        </w:rPr>
        <w:t>2</w:t>
      </w:r>
      <w:r w:rsidR="00196B9B">
        <w:rPr>
          <w:rFonts w:ascii="Times New Roman" w:hAnsi="Times New Roman" w:cs="Times New Roman"/>
          <w:sz w:val="24"/>
          <w:szCs w:val="24"/>
          <w:shd w:val="clear" w:color="auto" w:fill="FFFFFF"/>
          <w:lang w:val="ru-RU"/>
        </w:rPr>
        <w:t>1</w:t>
      </w:r>
      <w:r w:rsidRPr="0070368F">
        <w:rPr>
          <w:rFonts w:ascii="Times New Roman" w:hAnsi="Times New Roman" w:cs="Times New Roman"/>
          <w:sz w:val="24"/>
          <w:szCs w:val="24"/>
          <w:shd w:val="clear" w:color="auto" w:fill="FFFFFF"/>
        </w:rPr>
        <w:t xml:space="preserve"> році скоротилися на </w:t>
      </w:r>
      <w:r w:rsidR="00196B9B">
        <w:rPr>
          <w:rFonts w:ascii="Times New Roman" w:hAnsi="Times New Roman" w:cs="Times New Roman"/>
          <w:sz w:val="24"/>
          <w:szCs w:val="24"/>
          <w:shd w:val="clear" w:color="auto" w:fill="FFFFFF"/>
        </w:rPr>
        <w:t>62</w:t>
      </w:r>
      <w:r w:rsidR="009E4F38" w:rsidRPr="0070368F">
        <w:rPr>
          <w:rFonts w:ascii="Times New Roman" w:hAnsi="Times New Roman" w:cs="Times New Roman"/>
          <w:sz w:val="24"/>
          <w:szCs w:val="24"/>
          <w:shd w:val="clear" w:color="auto" w:fill="FFFFFF"/>
          <w:lang w:val="ru-RU"/>
        </w:rPr>
        <w:t>,</w:t>
      </w:r>
      <w:r w:rsidR="00196B9B">
        <w:rPr>
          <w:rFonts w:ascii="Times New Roman" w:hAnsi="Times New Roman" w:cs="Times New Roman"/>
          <w:sz w:val="24"/>
          <w:szCs w:val="24"/>
          <w:shd w:val="clear" w:color="auto" w:fill="FFFFFF"/>
          <w:lang w:val="ru-RU"/>
        </w:rPr>
        <w:t>2</w:t>
      </w:r>
      <w:r w:rsidRPr="0070368F">
        <w:rPr>
          <w:rFonts w:ascii="Times New Roman" w:hAnsi="Times New Roman" w:cs="Times New Roman"/>
          <w:sz w:val="24"/>
          <w:szCs w:val="24"/>
          <w:shd w:val="clear" w:color="auto" w:fill="FFFFFF"/>
        </w:rPr>
        <w:t> %</w:t>
      </w:r>
      <w:r w:rsidR="00196B9B">
        <w:rPr>
          <w:rFonts w:ascii="Times New Roman" w:hAnsi="Times New Roman" w:cs="Times New Roman"/>
          <w:sz w:val="24"/>
          <w:szCs w:val="24"/>
          <w:shd w:val="clear" w:color="auto" w:fill="FFFFFF"/>
        </w:rPr>
        <w:t>, однак</w:t>
      </w:r>
      <w:r w:rsidR="007959C2">
        <w:rPr>
          <w:rFonts w:ascii="Times New Roman" w:hAnsi="Times New Roman" w:cs="Times New Roman"/>
          <w:sz w:val="24"/>
          <w:szCs w:val="24"/>
          <w:shd w:val="clear" w:color="auto" w:fill="FFFFFF"/>
        </w:rPr>
        <w:t xml:space="preserve"> </w:t>
      </w:r>
      <w:r w:rsidR="007959C2" w:rsidRPr="0070368F">
        <w:rPr>
          <w:rFonts w:ascii="Times New Roman" w:hAnsi="Times New Roman" w:cs="Times New Roman"/>
          <w:sz w:val="24"/>
          <w:szCs w:val="24"/>
          <w:shd w:val="clear" w:color="auto" w:fill="FFFFFF"/>
        </w:rPr>
        <w:t>відносно 20</w:t>
      </w:r>
      <w:r w:rsidR="007959C2">
        <w:rPr>
          <w:rFonts w:ascii="Times New Roman" w:hAnsi="Times New Roman" w:cs="Times New Roman"/>
          <w:sz w:val="24"/>
          <w:szCs w:val="24"/>
          <w:shd w:val="clear" w:color="auto" w:fill="FFFFFF"/>
        </w:rPr>
        <w:t>20</w:t>
      </w:r>
      <w:r w:rsidR="007959C2" w:rsidRPr="0070368F">
        <w:rPr>
          <w:rFonts w:ascii="Times New Roman" w:hAnsi="Times New Roman" w:cs="Times New Roman"/>
          <w:sz w:val="24"/>
          <w:szCs w:val="24"/>
          <w:shd w:val="clear" w:color="auto" w:fill="FFFFFF"/>
        </w:rPr>
        <w:t xml:space="preserve"> року</w:t>
      </w:r>
      <w:r w:rsidR="007959C2">
        <w:rPr>
          <w:rFonts w:ascii="Times New Roman" w:hAnsi="Times New Roman" w:cs="Times New Roman"/>
          <w:sz w:val="24"/>
          <w:szCs w:val="24"/>
          <w:shd w:val="clear" w:color="auto" w:fill="FFFFFF"/>
        </w:rPr>
        <w:t xml:space="preserve"> -</w:t>
      </w:r>
      <w:r w:rsidR="00196B9B">
        <w:rPr>
          <w:rFonts w:ascii="Times New Roman" w:hAnsi="Times New Roman" w:cs="Times New Roman"/>
          <w:sz w:val="24"/>
          <w:szCs w:val="24"/>
          <w:shd w:val="clear" w:color="auto" w:fill="FFFFFF"/>
        </w:rPr>
        <w:t xml:space="preserve"> збільшилися</w:t>
      </w:r>
      <w:r w:rsidR="00B9792F" w:rsidRPr="0070368F">
        <w:rPr>
          <w:rFonts w:ascii="Times New Roman" w:hAnsi="Times New Roman" w:cs="Times New Roman"/>
          <w:sz w:val="24"/>
          <w:szCs w:val="24"/>
          <w:shd w:val="clear" w:color="auto" w:fill="FFFFFF"/>
          <w:lang w:val="ru-RU"/>
        </w:rPr>
        <w:t xml:space="preserve"> </w:t>
      </w:r>
      <w:r w:rsidR="00B9792F" w:rsidRPr="0070368F">
        <w:rPr>
          <w:rFonts w:ascii="Times New Roman" w:hAnsi="Times New Roman" w:cs="Times New Roman"/>
          <w:sz w:val="24"/>
          <w:szCs w:val="24"/>
          <w:shd w:val="clear" w:color="auto" w:fill="FFFFFF"/>
        </w:rPr>
        <w:t xml:space="preserve">на </w:t>
      </w:r>
      <w:r w:rsidR="00196B9B">
        <w:rPr>
          <w:rFonts w:ascii="Times New Roman" w:hAnsi="Times New Roman" w:cs="Times New Roman"/>
          <w:sz w:val="24"/>
          <w:szCs w:val="24"/>
          <w:shd w:val="clear" w:color="auto" w:fill="FFFFFF"/>
        </w:rPr>
        <w:t>8</w:t>
      </w:r>
      <w:r w:rsidR="009E4F38" w:rsidRPr="0070368F">
        <w:rPr>
          <w:rFonts w:ascii="Times New Roman" w:hAnsi="Times New Roman" w:cs="Times New Roman"/>
          <w:sz w:val="24"/>
          <w:szCs w:val="24"/>
          <w:shd w:val="clear" w:color="auto" w:fill="FFFFFF"/>
        </w:rPr>
        <w:t>,</w:t>
      </w:r>
      <w:r w:rsidR="00196B9B">
        <w:rPr>
          <w:rFonts w:ascii="Times New Roman" w:hAnsi="Times New Roman" w:cs="Times New Roman"/>
          <w:sz w:val="24"/>
          <w:szCs w:val="24"/>
          <w:shd w:val="clear" w:color="auto" w:fill="FFFFFF"/>
        </w:rPr>
        <w:t>5</w:t>
      </w:r>
      <w:r w:rsidR="00B9792F" w:rsidRPr="0070368F">
        <w:rPr>
          <w:rFonts w:ascii="Times New Roman" w:hAnsi="Times New Roman" w:cs="Times New Roman"/>
          <w:sz w:val="24"/>
          <w:szCs w:val="24"/>
          <w:shd w:val="clear" w:color="auto" w:fill="FFFFFF"/>
        </w:rPr>
        <w:t> %</w:t>
      </w:r>
      <w:r w:rsidRPr="0070368F">
        <w:rPr>
          <w:rFonts w:ascii="Times New Roman" w:hAnsi="Times New Roman" w:cs="Times New Roman"/>
          <w:sz w:val="24"/>
          <w:szCs w:val="24"/>
          <w:shd w:val="clear" w:color="auto" w:fill="FFFFFF"/>
        </w:rPr>
        <w:t>.</w:t>
      </w:r>
    </w:p>
    <w:p w:rsidR="00874665" w:rsidRDefault="0055388B" w:rsidP="005D5CF0">
      <w:pPr>
        <w:spacing w:after="0" w:line="276" w:lineRule="auto"/>
        <w:ind w:firstLine="567"/>
        <w:jc w:val="both"/>
        <w:rPr>
          <w:rFonts w:ascii="Times New Roman" w:hAnsi="Times New Roman" w:cs="Times New Roman"/>
          <w:sz w:val="24"/>
          <w:szCs w:val="24"/>
          <w:shd w:val="clear" w:color="auto" w:fill="FFFFFF"/>
        </w:rPr>
      </w:pPr>
      <w:r w:rsidRPr="0070368F">
        <w:rPr>
          <w:rFonts w:ascii="Times New Roman" w:hAnsi="Times New Roman" w:cs="Times New Roman"/>
          <w:sz w:val="24"/>
          <w:szCs w:val="24"/>
          <w:shd w:val="clear" w:color="auto" w:fill="FFFFFF"/>
        </w:rPr>
        <w:t>У Таблиці 1</w:t>
      </w:r>
      <w:r w:rsidR="009B2350">
        <w:rPr>
          <w:rFonts w:ascii="Times New Roman" w:hAnsi="Times New Roman" w:cs="Times New Roman"/>
          <w:sz w:val="24"/>
          <w:szCs w:val="24"/>
          <w:shd w:val="clear" w:color="auto" w:fill="FFFFFF"/>
        </w:rPr>
        <w:t xml:space="preserve"> та Рис. 1</w:t>
      </w:r>
      <w:r w:rsidRPr="0070368F">
        <w:rPr>
          <w:rFonts w:ascii="Times New Roman" w:hAnsi="Times New Roman" w:cs="Times New Roman"/>
          <w:sz w:val="24"/>
          <w:szCs w:val="24"/>
          <w:shd w:val="clear" w:color="auto" w:fill="FFFFFF"/>
        </w:rPr>
        <w:t xml:space="preserve"> наведені дані про </w:t>
      </w:r>
      <w:r w:rsidR="009B2350">
        <w:rPr>
          <w:rFonts w:ascii="Times New Roman" w:hAnsi="Times New Roman" w:cs="Times New Roman"/>
          <w:sz w:val="24"/>
          <w:szCs w:val="24"/>
          <w:shd w:val="clear" w:color="auto" w:fill="FFFFFF"/>
        </w:rPr>
        <w:t xml:space="preserve">тенденції </w:t>
      </w:r>
      <w:r w:rsidRPr="0070368F">
        <w:rPr>
          <w:rFonts w:ascii="Times New Roman" w:hAnsi="Times New Roman" w:cs="Times New Roman"/>
          <w:sz w:val="24"/>
          <w:szCs w:val="24"/>
          <w:shd w:val="clear" w:color="auto" w:fill="FFFFFF"/>
        </w:rPr>
        <w:t>викид</w:t>
      </w:r>
      <w:r w:rsidR="009B2350">
        <w:rPr>
          <w:rFonts w:ascii="Times New Roman" w:hAnsi="Times New Roman" w:cs="Times New Roman"/>
          <w:sz w:val="24"/>
          <w:szCs w:val="24"/>
          <w:shd w:val="clear" w:color="auto" w:fill="FFFFFF"/>
        </w:rPr>
        <w:t>ів</w:t>
      </w:r>
      <w:r w:rsidRPr="0070368F">
        <w:rPr>
          <w:rFonts w:ascii="Times New Roman" w:hAnsi="Times New Roman" w:cs="Times New Roman"/>
          <w:sz w:val="24"/>
          <w:szCs w:val="24"/>
          <w:shd w:val="clear" w:color="auto" w:fill="FFFFFF"/>
        </w:rPr>
        <w:t xml:space="preserve"> та поглинан</w:t>
      </w:r>
      <w:r w:rsidR="009B2350">
        <w:rPr>
          <w:rFonts w:ascii="Times New Roman" w:hAnsi="Times New Roman" w:cs="Times New Roman"/>
          <w:sz w:val="24"/>
          <w:szCs w:val="24"/>
          <w:shd w:val="clear" w:color="auto" w:fill="FFFFFF"/>
        </w:rPr>
        <w:t>ь</w:t>
      </w:r>
      <w:r w:rsidRPr="0070368F">
        <w:rPr>
          <w:rFonts w:ascii="Times New Roman" w:hAnsi="Times New Roman" w:cs="Times New Roman"/>
          <w:sz w:val="24"/>
          <w:szCs w:val="24"/>
          <w:shd w:val="clear" w:color="auto" w:fill="FFFFFF"/>
        </w:rPr>
        <w:t xml:space="preserve"> </w:t>
      </w:r>
      <w:proofErr w:type="spellStart"/>
      <w:r w:rsidRPr="0070368F">
        <w:rPr>
          <w:rFonts w:ascii="Times New Roman" w:hAnsi="Times New Roman" w:cs="Times New Roman"/>
          <w:sz w:val="24"/>
          <w:szCs w:val="24"/>
          <w:shd w:val="clear" w:color="auto" w:fill="FFFFFF"/>
        </w:rPr>
        <w:t>ПГ</w:t>
      </w:r>
      <w:proofErr w:type="spellEnd"/>
      <w:r w:rsidRPr="0070368F">
        <w:rPr>
          <w:rFonts w:ascii="Times New Roman" w:hAnsi="Times New Roman" w:cs="Times New Roman"/>
          <w:sz w:val="24"/>
          <w:szCs w:val="24"/>
          <w:shd w:val="clear" w:color="auto" w:fill="FFFFFF"/>
        </w:rPr>
        <w:t xml:space="preserve"> </w:t>
      </w:r>
      <w:r w:rsidR="009B2350">
        <w:rPr>
          <w:rFonts w:ascii="Times New Roman" w:hAnsi="Times New Roman" w:cs="Times New Roman"/>
          <w:sz w:val="24"/>
          <w:szCs w:val="24"/>
          <w:shd w:val="clear" w:color="auto" w:fill="FFFFFF"/>
        </w:rPr>
        <w:t xml:space="preserve">в Україні за часовим рядом з 1990 року </w:t>
      </w:r>
      <w:r w:rsidRPr="0070368F">
        <w:rPr>
          <w:rFonts w:ascii="Times New Roman" w:hAnsi="Times New Roman" w:cs="Times New Roman"/>
          <w:sz w:val="24"/>
          <w:szCs w:val="24"/>
          <w:shd w:val="clear" w:color="auto" w:fill="FFFFFF"/>
        </w:rPr>
        <w:t>за секторами.</w:t>
      </w:r>
    </w:p>
    <w:p w:rsidR="007959C2" w:rsidRPr="0070368F" w:rsidRDefault="007959C2" w:rsidP="007959C2">
      <w:pPr>
        <w:spacing w:after="0" w:line="240" w:lineRule="auto"/>
        <w:ind w:firstLine="567"/>
        <w:jc w:val="both"/>
        <w:rPr>
          <w:rFonts w:ascii="Times New Roman" w:hAnsi="Times New Roman" w:cs="Times New Roman"/>
          <w:sz w:val="24"/>
          <w:szCs w:val="24"/>
        </w:rPr>
      </w:pPr>
    </w:p>
    <w:p w:rsidR="000409E2" w:rsidRPr="0070368F" w:rsidRDefault="0055388B" w:rsidP="007F117D">
      <w:pPr>
        <w:spacing w:after="0"/>
        <w:jc w:val="center"/>
        <w:rPr>
          <w:rFonts w:ascii="Times New Roman" w:hAnsi="Times New Roman" w:cs="Times New Roman"/>
          <w:sz w:val="24"/>
          <w:szCs w:val="24"/>
        </w:rPr>
      </w:pPr>
      <w:r w:rsidRPr="0070368F">
        <w:rPr>
          <w:rStyle w:val="a5"/>
          <w:rFonts w:ascii="Times New Roman" w:hAnsi="Times New Roman" w:cs="Times New Roman"/>
          <w:sz w:val="24"/>
          <w:szCs w:val="24"/>
          <w:bdr w:val="none" w:sz="0" w:space="0" w:color="auto" w:frame="1"/>
          <w:shd w:val="clear" w:color="auto" w:fill="FFFFFF"/>
        </w:rPr>
        <w:t xml:space="preserve">Таблиця 1. Викиди та поглинання </w:t>
      </w:r>
      <w:proofErr w:type="spellStart"/>
      <w:r w:rsidRPr="0070368F">
        <w:rPr>
          <w:rStyle w:val="a5"/>
          <w:rFonts w:ascii="Times New Roman" w:hAnsi="Times New Roman" w:cs="Times New Roman"/>
          <w:sz w:val="24"/>
          <w:szCs w:val="24"/>
          <w:bdr w:val="none" w:sz="0" w:space="0" w:color="auto" w:frame="1"/>
          <w:shd w:val="clear" w:color="auto" w:fill="FFFFFF"/>
        </w:rPr>
        <w:t>ПГ</w:t>
      </w:r>
      <w:proofErr w:type="spellEnd"/>
      <w:r w:rsidRPr="0070368F">
        <w:rPr>
          <w:rStyle w:val="a5"/>
          <w:rFonts w:ascii="Times New Roman" w:hAnsi="Times New Roman" w:cs="Times New Roman"/>
          <w:sz w:val="24"/>
          <w:szCs w:val="24"/>
          <w:bdr w:val="none" w:sz="0" w:space="0" w:color="auto" w:frame="1"/>
          <w:shd w:val="clear" w:color="auto" w:fill="FFFFFF"/>
        </w:rPr>
        <w:t xml:space="preserve"> у 1990 та 2015-202</w:t>
      </w:r>
      <w:r w:rsidR="00196B9B">
        <w:rPr>
          <w:rStyle w:val="a5"/>
          <w:rFonts w:ascii="Times New Roman" w:hAnsi="Times New Roman" w:cs="Times New Roman"/>
          <w:sz w:val="24"/>
          <w:szCs w:val="24"/>
          <w:bdr w:val="none" w:sz="0" w:space="0" w:color="auto" w:frame="1"/>
          <w:shd w:val="clear" w:color="auto" w:fill="FFFFFF"/>
        </w:rPr>
        <w:t>1</w:t>
      </w:r>
      <w:r w:rsidRPr="0070368F">
        <w:rPr>
          <w:rStyle w:val="a5"/>
          <w:rFonts w:ascii="Times New Roman" w:hAnsi="Times New Roman" w:cs="Times New Roman"/>
          <w:sz w:val="24"/>
          <w:szCs w:val="24"/>
          <w:bdr w:val="none" w:sz="0" w:space="0" w:color="auto" w:frame="1"/>
          <w:shd w:val="clear" w:color="auto" w:fill="FFFFFF"/>
        </w:rPr>
        <w:t xml:space="preserve"> роках</w:t>
      </w:r>
    </w:p>
    <w:tbl>
      <w:tblPr>
        <w:tblStyle w:val="a6"/>
        <w:tblW w:w="5092" w:type="pct"/>
        <w:tblInd w:w="-176" w:type="dxa"/>
        <w:tblLook w:val="04A0"/>
      </w:tblPr>
      <w:tblGrid>
        <w:gridCol w:w="1742"/>
        <w:gridCol w:w="722"/>
        <w:gridCol w:w="777"/>
        <w:gridCol w:w="777"/>
        <w:gridCol w:w="777"/>
        <w:gridCol w:w="777"/>
        <w:gridCol w:w="777"/>
        <w:gridCol w:w="777"/>
        <w:gridCol w:w="777"/>
        <w:gridCol w:w="922"/>
        <w:gridCol w:w="922"/>
      </w:tblGrid>
      <w:tr w:rsidR="007959C2" w:rsidRPr="007410A7" w:rsidTr="00D804D2">
        <w:trPr>
          <w:trHeight w:val="1599"/>
        </w:trPr>
        <w:tc>
          <w:tcPr>
            <w:tcW w:w="1742" w:type="dxa"/>
            <w:vMerge w:val="restart"/>
            <w:vAlign w:val="center"/>
          </w:tcPr>
          <w:p w:rsidR="007959C2" w:rsidRPr="007410A7" w:rsidRDefault="007959C2" w:rsidP="007F117D">
            <w:pPr>
              <w:jc w:val="center"/>
              <w:rPr>
                <w:rFonts w:ascii="Times New Roman" w:hAnsi="Times New Roman" w:cs="Times New Roman"/>
                <w:sz w:val="20"/>
                <w:szCs w:val="20"/>
              </w:rPr>
            </w:pPr>
            <w:r w:rsidRPr="007410A7">
              <w:rPr>
                <w:rFonts w:ascii="Times New Roman" w:hAnsi="Times New Roman" w:cs="Times New Roman"/>
                <w:sz w:val="20"/>
                <w:szCs w:val="20"/>
              </w:rPr>
              <w:t>Сектор</w:t>
            </w:r>
          </w:p>
        </w:tc>
        <w:tc>
          <w:tcPr>
            <w:tcW w:w="6161" w:type="dxa"/>
            <w:gridSpan w:val="8"/>
            <w:vAlign w:val="center"/>
          </w:tcPr>
          <w:p w:rsidR="007959C2" w:rsidRPr="007410A7" w:rsidRDefault="007959C2" w:rsidP="007F117D">
            <w:pPr>
              <w:ind w:left="113" w:right="113"/>
              <w:jc w:val="center"/>
              <w:rPr>
                <w:rFonts w:ascii="Times New Roman" w:hAnsi="Times New Roman" w:cs="Times New Roman"/>
                <w:sz w:val="20"/>
                <w:szCs w:val="20"/>
              </w:rPr>
            </w:pPr>
            <w:r w:rsidRPr="007410A7">
              <w:rPr>
                <w:rFonts w:ascii="Times New Roman" w:hAnsi="Times New Roman" w:cs="Times New Roman"/>
                <w:sz w:val="20"/>
                <w:szCs w:val="20"/>
              </w:rPr>
              <w:t xml:space="preserve">Викиди і поглинання </w:t>
            </w:r>
            <w:proofErr w:type="spellStart"/>
            <w:r w:rsidRPr="007410A7">
              <w:rPr>
                <w:rFonts w:ascii="Times New Roman" w:hAnsi="Times New Roman" w:cs="Times New Roman"/>
                <w:sz w:val="20"/>
                <w:szCs w:val="20"/>
              </w:rPr>
              <w:t>ПГ</w:t>
            </w:r>
            <w:proofErr w:type="spellEnd"/>
            <w:r w:rsidRPr="007410A7">
              <w:rPr>
                <w:rFonts w:ascii="Times New Roman" w:hAnsi="Times New Roman" w:cs="Times New Roman"/>
                <w:sz w:val="20"/>
                <w:szCs w:val="20"/>
              </w:rPr>
              <w:t>, тис. т СО</w:t>
            </w:r>
            <w:r w:rsidRPr="007410A7">
              <w:rPr>
                <w:rFonts w:ascii="Times New Roman" w:hAnsi="Times New Roman" w:cs="Times New Roman"/>
                <w:sz w:val="20"/>
                <w:szCs w:val="20"/>
                <w:vertAlign w:val="subscript"/>
              </w:rPr>
              <w:t>2-екв</w:t>
            </w:r>
          </w:p>
        </w:tc>
        <w:tc>
          <w:tcPr>
            <w:tcW w:w="922" w:type="dxa"/>
            <w:vMerge w:val="restart"/>
            <w:vAlign w:val="center"/>
          </w:tcPr>
          <w:p w:rsidR="007959C2" w:rsidRPr="007410A7" w:rsidRDefault="007959C2" w:rsidP="007959C2">
            <w:pPr>
              <w:jc w:val="center"/>
              <w:rPr>
                <w:rFonts w:ascii="Times New Roman" w:hAnsi="Times New Roman" w:cs="Times New Roman"/>
                <w:sz w:val="20"/>
                <w:szCs w:val="20"/>
              </w:rPr>
            </w:pPr>
            <w:r w:rsidRPr="007410A7">
              <w:rPr>
                <w:rFonts w:ascii="Times New Roman" w:hAnsi="Times New Roman" w:cs="Times New Roman"/>
                <w:sz w:val="20"/>
                <w:szCs w:val="20"/>
              </w:rPr>
              <w:t xml:space="preserve">Зміна викидів </w:t>
            </w:r>
            <w:proofErr w:type="spellStart"/>
            <w:r w:rsidRPr="007410A7">
              <w:rPr>
                <w:rFonts w:ascii="Times New Roman" w:hAnsi="Times New Roman" w:cs="Times New Roman"/>
                <w:sz w:val="20"/>
                <w:szCs w:val="20"/>
              </w:rPr>
              <w:t>ПГ</w:t>
            </w:r>
            <w:proofErr w:type="spellEnd"/>
            <w:r w:rsidRPr="007410A7">
              <w:rPr>
                <w:rFonts w:ascii="Times New Roman" w:hAnsi="Times New Roman" w:cs="Times New Roman"/>
                <w:sz w:val="20"/>
                <w:szCs w:val="20"/>
              </w:rPr>
              <w:t xml:space="preserve"> </w:t>
            </w:r>
            <w:r>
              <w:rPr>
                <w:rFonts w:ascii="Times New Roman" w:hAnsi="Times New Roman" w:cs="Times New Roman"/>
                <w:sz w:val="20"/>
                <w:szCs w:val="20"/>
              </w:rPr>
              <w:t>відносно</w:t>
            </w:r>
            <w:r w:rsidRPr="007410A7">
              <w:rPr>
                <w:rFonts w:ascii="Times New Roman" w:hAnsi="Times New Roman" w:cs="Times New Roman"/>
                <w:sz w:val="20"/>
                <w:szCs w:val="20"/>
              </w:rPr>
              <w:t xml:space="preserve"> 1990 року, %</w:t>
            </w:r>
          </w:p>
        </w:tc>
        <w:tc>
          <w:tcPr>
            <w:tcW w:w="922" w:type="dxa"/>
            <w:vMerge w:val="restart"/>
            <w:vAlign w:val="center"/>
          </w:tcPr>
          <w:p w:rsidR="007959C2" w:rsidRPr="007410A7" w:rsidRDefault="007959C2" w:rsidP="000B5841">
            <w:pPr>
              <w:jc w:val="center"/>
              <w:rPr>
                <w:rFonts w:ascii="Times New Roman" w:hAnsi="Times New Roman" w:cs="Times New Roman"/>
                <w:sz w:val="20"/>
                <w:szCs w:val="20"/>
              </w:rPr>
            </w:pPr>
            <w:r w:rsidRPr="007410A7">
              <w:rPr>
                <w:rFonts w:ascii="Times New Roman" w:hAnsi="Times New Roman" w:cs="Times New Roman"/>
                <w:sz w:val="20"/>
                <w:szCs w:val="20"/>
              </w:rPr>
              <w:t xml:space="preserve">Зміна викидів </w:t>
            </w:r>
            <w:proofErr w:type="spellStart"/>
            <w:r w:rsidRPr="007410A7">
              <w:rPr>
                <w:rFonts w:ascii="Times New Roman" w:hAnsi="Times New Roman" w:cs="Times New Roman"/>
                <w:sz w:val="20"/>
                <w:szCs w:val="20"/>
              </w:rPr>
              <w:t>ПГ</w:t>
            </w:r>
            <w:proofErr w:type="spellEnd"/>
            <w:r w:rsidRPr="007410A7">
              <w:rPr>
                <w:rFonts w:ascii="Times New Roman" w:hAnsi="Times New Roman" w:cs="Times New Roman"/>
                <w:sz w:val="20"/>
                <w:szCs w:val="20"/>
              </w:rPr>
              <w:t xml:space="preserve"> </w:t>
            </w:r>
            <w:r>
              <w:rPr>
                <w:rFonts w:ascii="Times New Roman" w:hAnsi="Times New Roman" w:cs="Times New Roman"/>
                <w:sz w:val="20"/>
                <w:szCs w:val="20"/>
              </w:rPr>
              <w:t>відносно 2020</w:t>
            </w:r>
            <w:r w:rsidRPr="007410A7">
              <w:rPr>
                <w:rFonts w:ascii="Times New Roman" w:hAnsi="Times New Roman" w:cs="Times New Roman"/>
                <w:sz w:val="20"/>
                <w:szCs w:val="20"/>
              </w:rPr>
              <w:t xml:space="preserve"> року, %</w:t>
            </w:r>
          </w:p>
        </w:tc>
      </w:tr>
      <w:tr w:rsidR="00D804D2" w:rsidRPr="007410A7" w:rsidTr="00D804D2">
        <w:tc>
          <w:tcPr>
            <w:tcW w:w="1742" w:type="dxa"/>
            <w:vMerge/>
            <w:vAlign w:val="center"/>
          </w:tcPr>
          <w:p w:rsidR="007959C2" w:rsidRPr="007410A7" w:rsidRDefault="007959C2" w:rsidP="007F117D">
            <w:pPr>
              <w:jc w:val="center"/>
              <w:rPr>
                <w:rFonts w:ascii="Times New Roman" w:hAnsi="Times New Roman" w:cs="Times New Roman"/>
                <w:sz w:val="20"/>
                <w:szCs w:val="20"/>
              </w:rPr>
            </w:pPr>
          </w:p>
        </w:tc>
        <w:tc>
          <w:tcPr>
            <w:tcW w:w="722" w:type="dxa"/>
            <w:vAlign w:val="center"/>
          </w:tcPr>
          <w:p w:rsidR="007959C2" w:rsidRPr="007410A7" w:rsidRDefault="007959C2" w:rsidP="007F117D">
            <w:pPr>
              <w:jc w:val="center"/>
              <w:rPr>
                <w:rFonts w:ascii="Times New Roman" w:hAnsi="Times New Roman" w:cs="Times New Roman"/>
                <w:sz w:val="20"/>
                <w:szCs w:val="20"/>
              </w:rPr>
            </w:pPr>
            <w:r w:rsidRPr="007410A7">
              <w:rPr>
                <w:rFonts w:ascii="Times New Roman" w:hAnsi="Times New Roman" w:cs="Times New Roman"/>
                <w:sz w:val="20"/>
                <w:szCs w:val="20"/>
              </w:rPr>
              <w:t>1990</w:t>
            </w:r>
          </w:p>
        </w:tc>
        <w:tc>
          <w:tcPr>
            <w:tcW w:w="777" w:type="dxa"/>
            <w:vAlign w:val="center"/>
          </w:tcPr>
          <w:p w:rsidR="007959C2" w:rsidRPr="007410A7" w:rsidRDefault="007959C2" w:rsidP="007F117D">
            <w:pPr>
              <w:jc w:val="center"/>
              <w:rPr>
                <w:rFonts w:ascii="Times New Roman" w:hAnsi="Times New Roman" w:cs="Times New Roman"/>
                <w:sz w:val="20"/>
                <w:szCs w:val="20"/>
              </w:rPr>
            </w:pPr>
            <w:r w:rsidRPr="007410A7">
              <w:rPr>
                <w:rFonts w:ascii="Times New Roman" w:hAnsi="Times New Roman" w:cs="Times New Roman"/>
                <w:sz w:val="20"/>
                <w:szCs w:val="20"/>
              </w:rPr>
              <w:t>2015</w:t>
            </w:r>
          </w:p>
        </w:tc>
        <w:tc>
          <w:tcPr>
            <w:tcW w:w="777" w:type="dxa"/>
            <w:vAlign w:val="center"/>
          </w:tcPr>
          <w:p w:rsidR="007959C2" w:rsidRPr="007410A7" w:rsidRDefault="007959C2" w:rsidP="007F117D">
            <w:pPr>
              <w:jc w:val="center"/>
              <w:rPr>
                <w:rFonts w:ascii="Times New Roman" w:hAnsi="Times New Roman" w:cs="Times New Roman"/>
                <w:sz w:val="20"/>
                <w:szCs w:val="20"/>
              </w:rPr>
            </w:pPr>
            <w:r w:rsidRPr="007410A7">
              <w:rPr>
                <w:rFonts w:ascii="Times New Roman" w:hAnsi="Times New Roman" w:cs="Times New Roman"/>
                <w:sz w:val="20"/>
                <w:szCs w:val="20"/>
              </w:rPr>
              <w:t>2016</w:t>
            </w:r>
          </w:p>
        </w:tc>
        <w:tc>
          <w:tcPr>
            <w:tcW w:w="777" w:type="dxa"/>
            <w:vAlign w:val="center"/>
          </w:tcPr>
          <w:p w:rsidR="007959C2" w:rsidRPr="007410A7" w:rsidRDefault="007959C2" w:rsidP="007F117D">
            <w:pPr>
              <w:jc w:val="center"/>
              <w:rPr>
                <w:rFonts w:ascii="Times New Roman" w:hAnsi="Times New Roman" w:cs="Times New Roman"/>
                <w:sz w:val="20"/>
                <w:szCs w:val="20"/>
              </w:rPr>
            </w:pPr>
            <w:r w:rsidRPr="007410A7">
              <w:rPr>
                <w:rFonts w:ascii="Times New Roman" w:hAnsi="Times New Roman" w:cs="Times New Roman"/>
                <w:sz w:val="20"/>
                <w:szCs w:val="20"/>
              </w:rPr>
              <w:t>2017</w:t>
            </w:r>
          </w:p>
        </w:tc>
        <w:tc>
          <w:tcPr>
            <w:tcW w:w="777" w:type="dxa"/>
            <w:vAlign w:val="center"/>
          </w:tcPr>
          <w:p w:rsidR="007959C2" w:rsidRPr="007410A7" w:rsidRDefault="007959C2" w:rsidP="007F117D">
            <w:pPr>
              <w:jc w:val="center"/>
              <w:rPr>
                <w:rFonts w:ascii="Times New Roman" w:hAnsi="Times New Roman" w:cs="Times New Roman"/>
                <w:sz w:val="20"/>
                <w:szCs w:val="20"/>
              </w:rPr>
            </w:pPr>
            <w:r w:rsidRPr="007410A7">
              <w:rPr>
                <w:rFonts w:ascii="Times New Roman" w:hAnsi="Times New Roman" w:cs="Times New Roman"/>
                <w:sz w:val="20"/>
                <w:szCs w:val="20"/>
              </w:rPr>
              <w:t>2018</w:t>
            </w:r>
          </w:p>
        </w:tc>
        <w:tc>
          <w:tcPr>
            <w:tcW w:w="777" w:type="dxa"/>
            <w:vAlign w:val="center"/>
          </w:tcPr>
          <w:p w:rsidR="007959C2" w:rsidRPr="007410A7" w:rsidRDefault="007959C2" w:rsidP="007F117D">
            <w:pPr>
              <w:jc w:val="center"/>
              <w:rPr>
                <w:rFonts w:ascii="Times New Roman" w:hAnsi="Times New Roman" w:cs="Times New Roman"/>
                <w:sz w:val="20"/>
                <w:szCs w:val="20"/>
              </w:rPr>
            </w:pPr>
            <w:r w:rsidRPr="007410A7">
              <w:rPr>
                <w:rFonts w:ascii="Times New Roman" w:hAnsi="Times New Roman" w:cs="Times New Roman"/>
                <w:sz w:val="20"/>
                <w:szCs w:val="20"/>
              </w:rPr>
              <w:t>2019</w:t>
            </w:r>
          </w:p>
        </w:tc>
        <w:tc>
          <w:tcPr>
            <w:tcW w:w="777" w:type="dxa"/>
            <w:vAlign w:val="center"/>
          </w:tcPr>
          <w:p w:rsidR="007959C2" w:rsidRPr="007410A7" w:rsidRDefault="007959C2" w:rsidP="007F117D">
            <w:pPr>
              <w:jc w:val="center"/>
              <w:rPr>
                <w:rFonts w:ascii="Times New Roman" w:hAnsi="Times New Roman" w:cs="Times New Roman"/>
                <w:sz w:val="20"/>
                <w:szCs w:val="20"/>
              </w:rPr>
            </w:pPr>
            <w:r w:rsidRPr="007410A7">
              <w:rPr>
                <w:rFonts w:ascii="Times New Roman" w:hAnsi="Times New Roman" w:cs="Times New Roman"/>
                <w:sz w:val="20"/>
                <w:szCs w:val="20"/>
              </w:rPr>
              <w:t>2020</w:t>
            </w:r>
          </w:p>
        </w:tc>
        <w:tc>
          <w:tcPr>
            <w:tcW w:w="777" w:type="dxa"/>
          </w:tcPr>
          <w:p w:rsidR="007959C2" w:rsidRPr="007410A7" w:rsidRDefault="007959C2" w:rsidP="007F117D">
            <w:pPr>
              <w:jc w:val="center"/>
              <w:rPr>
                <w:rFonts w:ascii="Times New Roman" w:hAnsi="Times New Roman" w:cs="Times New Roman"/>
                <w:sz w:val="20"/>
                <w:szCs w:val="20"/>
              </w:rPr>
            </w:pPr>
            <w:r>
              <w:rPr>
                <w:rFonts w:ascii="Times New Roman" w:hAnsi="Times New Roman" w:cs="Times New Roman"/>
                <w:sz w:val="20"/>
                <w:szCs w:val="20"/>
              </w:rPr>
              <w:t>2021</w:t>
            </w:r>
          </w:p>
        </w:tc>
        <w:tc>
          <w:tcPr>
            <w:tcW w:w="922" w:type="dxa"/>
            <w:vMerge/>
            <w:vAlign w:val="center"/>
          </w:tcPr>
          <w:p w:rsidR="007959C2" w:rsidRPr="007410A7" w:rsidRDefault="007959C2" w:rsidP="007F117D">
            <w:pPr>
              <w:jc w:val="center"/>
              <w:rPr>
                <w:rFonts w:ascii="Times New Roman" w:hAnsi="Times New Roman" w:cs="Times New Roman"/>
                <w:sz w:val="20"/>
                <w:szCs w:val="20"/>
              </w:rPr>
            </w:pPr>
          </w:p>
        </w:tc>
        <w:tc>
          <w:tcPr>
            <w:tcW w:w="922" w:type="dxa"/>
            <w:vMerge/>
            <w:vAlign w:val="center"/>
          </w:tcPr>
          <w:p w:rsidR="007959C2" w:rsidRPr="007410A7" w:rsidRDefault="007959C2" w:rsidP="007F117D">
            <w:pPr>
              <w:jc w:val="center"/>
              <w:rPr>
                <w:rFonts w:ascii="Times New Roman" w:hAnsi="Times New Roman" w:cs="Times New Roman"/>
                <w:sz w:val="20"/>
                <w:szCs w:val="20"/>
              </w:rPr>
            </w:pPr>
          </w:p>
        </w:tc>
      </w:tr>
      <w:tr w:rsidR="000B5841" w:rsidRPr="007410A7" w:rsidTr="00D804D2">
        <w:tc>
          <w:tcPr>
            <w:tcW w:w="1742" w:type="dxa"/>
            <w:vAlign w:val="center"/>
          </w:tcPr>
          <w:p w:rsidR="00983339" w:rsidRPr="007410A7" w:rsidRDefault="00983339" w:rsidP="007959C2">
            <w:pPr>
              <w:ind w:right="-92"/>
              <w:rPr>
                <w:rFonts w:ascii="Times New Roman" w:hAnsi="Times New Roman" w:cs="Times New Roman"/>
                <w:sz w:val="20"/>
                <w:szCs w:val="20"/>
              </w:rPr>
            </w:pPr>
            <w:r w:rsidRPr="007410A7">
              <w:rPr>
                <w:rFonts w:ascii="Times New Roman" w:hAnsi="Times New Roman" w:cs="Times New Roman"/>
                <w:sz w:val="20"/>
                <w:szCs w:val="20"/>
              </w:rPr>
              <w:t>Енергетика</w:t>
            </w:r>
          </w:p>
        </w:tc>
        <w:tc>
          <w:tcPr>
            <w:tcW w:w="722" w:type="dxa"/>
            <w:vAlign w:val="center"/>
          </w:tcPr>
          <w:p w:rsidR="00983339" w:rsidRPr="00D804D2" w:rsidRDefault="00983339" w:rsidP="007959C2">
            <w:pPr>
              <w:ind w:hanging="59"/>
              <w:jc w:val="center"/>
              <w:rPr>
                <w:rFonts w:ascii="Times New Roman" w:hAnsi="Times New Roman" w:cs="Times New Roman"/>
                <w:sz w:val="20"/>
                <w:szCs w:val="20"/>
              </w:rPr>
            </w:pPr>
            <w:r w:rsidRPr="00D804D2">
              <w:rPr>
                <w:rFonts w:ascii="Times New Roman" w:hAnsi="Times New Roman" w:cs="Times New Roman"/>
                <w:sz w:val="20"/>
                <w:szCs w:val="20"/>
              </w:rPr>
              <w:t>725319</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210825</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224765</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217753</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226285</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219173</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207988</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209744</w:t>
            </w:r>
          </w:p>
        </w:tc>
        <w:tc>
          <w:tcPr>
            <w:tcW w:w="922" w:type="dxa"/>
            <w:vAlign w:val="center"/>
          </w:tcPr>
          <w:p w:rsidR="00983339" w:rsidRPr="00983339" w:rsidRDefault="00983339" w:rsidP="00983339">
            <w:pPr>
              <w:jc w:val="center"/>
              <w:rPr>
                <w:rFonts w:ascii="Times New Roman" w:hAnsi="Times New Roman" w:cs="Times New Roman"/>
                <w:sz w:val="20"/>
                <w:szCs w:val="20"/>
              </w:rPr>
            </w:pPr>
            <w:r w:rsidRPr="00983339">
              <w:rPr>
                <w:rFonts w:ascii="Times New Roman" w:hAnsi="Times New Roman" w:cs="Times New Roman"/>
                <w:sz w:val="20"/>
                <w:szCs w:val="20"/>
              </w:rPr>
              <w:t>-71,1</w:t>
            </w:r>
          </w:p>
        </w:tc>
        <w:tc>
          <w:tcPr>
            <w:tcW w:w="922" w:type="dxa"/>
            <w:vAlign w:val="center"/>
          </w:tcPr>
          <w:p w:rsidR="00983339" w:rsidRPr="007410A7" w:rsidRDefault="00983339" w:rsidP="00983339">
            <w:pPr>
              <w:jc w:val="center"/>
              <w:rPr>
                <w:rFonts w:ascii="Times New Roman" w:hAnsi="Times New Roman" w:cs="Times New Roman"/>
                <w:sz w:val="20"/>
                <w:szCs w:val="20"/>
              </w:rPr>
            </w:pPr>
            <w:r w:rsidRPr="00983339">
              <w:rPr>
                <w:rFonts w:ascii="Times New Roman" w:hAnsi="Times New Roman" w:cs="Times New Roman"/>
                <w:sz w:val="20"/>
                <w:szCs w:val="20"/>
              </w:rPr>
              <w:t>0,8</w:t>
            </w:r>
          </w:p>
        </w:tc>
      </w:tr>
      <w:tr w:rsidR="000B5841" w:rsidRPr="007410A7" w:rsidTr="00D804D2">
        <w:tc>
          <w:tcPr>
            <w:tcW w:w="1742" w:type="dxa"/>
            <w:vAlign w:val="center"/>
          </w:tcPr>
          <w:p w:rsidR="00983339" w:rsidRPr="007410A7" w:rsidRDefault="00983339" w:rsidP="007959C2">
            <w:pPr>
              <w:ind w:right="-92"/>
              <w:rPr>
                <w:rFonts w:ascii="Times New Roman" w:hAnsi="Times New Roman" w:cs="Times New Roman"/>
                <w:sz w:val="20"/>
                <w:szCs w:val="20"/>
              </w:rPr>
            </w:pPr>
            <w:r w:rsidRPr="007410A7">
              <w:rPr>
                <w:rFonts w:ascii="Times New Roman" w:hAnsi="Times New Roman" w:cs="Times New Roman"/>
                <w:sz w:val="20"/>
                <w:szCs w:val="20"/>
              </w:rPr>
              <w:t>Промислові процеси і використання продуктів</w:t>
            </w:r>
          </w:p>
        </w:tc>
        <w:tc>
          <w:tcPr>
            <w:tcW w:w="722" w:type="dxa"/>
            <w:vAlign w:val="center"/>
          </w:tcPr>
          <w:p w:rsidR="00983339" w:rsidRPr="00D804D2" w:rsidRDefault="00983339" w:rsidP="007959C2">
            <w:pPr>
              <w:ind w:hanging="59"/>
              <w:jc w:val="center"/>
              <w:rPr>
                <w:rFonts w:ascii="Times New Roman" w:hAnsi="Times New Roman" w:cs="Times New Roman"/>
                <w:sz w:val="20"/>
                <w:szCs w:val="20"/>
              </w:rPr>
            </w:pPr>
            <w:r w:rsidRPr="00D804D2">
              <w:rPr>
                <w:rFonts w:ascii="Times New Roman" w:hAnsi="Times New Roman" w:cs="Times New Roman"/>
                <w:sz w:val="20"/>
                <w:szCs w:val="20"/>
              </w:rPr>
              <w:t>118199</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56415</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58087</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51879</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56478</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57597</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55998</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61490</w:t>
            </w:r>
          </w:p>
        </w:tc>
        <w:tc>
          <w:tcPr>
            <w:tcW w:w="922" w:type="dxa"/>
            <w:vAlign w:val="center"/>
          </w:tcPr>
          <w:p w:rsidR="00983339" w:rsidRPr="00983339" w:rsidRDefault="00983339" w:rsidP="00983339">
            <w:pPr>
              <w:jc w:val="center"/>
              <w:rPr>
                <w:rFonts w:ascii="Times New Roman" w:hAnsi="Times New Roman" w:cs="Times New Roman"/>
                <w:sz w:val="20"/>
                <w:szCs w:val="20"/>
              </w:rPr>
            </w:pPr>
            <w:r w:rsidRPr="00983339">
              <w:rPr>
                <w:rFonts w:ascii="Times New Roman" w:hAnsi="Times New Roman" w:cs="Times New Roman"/>
                <w:sz w:val="20"/>
                <w:szCs w:val="20"/>
              </w:rPr>
              <w:t>-48,0</w:t>
            </w:r>
          </w:p>
        </w:tc>
        <w:tc>
          <w:tcPr>
            <w:tcW w:w="922" w:type="dxa"/>
            <w:vAlign w:val="center"/>
          </w:tcPr>
          <w:p w:rsidR="00983339" w:rsidRPr="007410A7" w:rsidRDefault="00983339" w:rsidP="00983339">
            <w:pPr>
              <w:jc w:val="center"/>
              <w:rPr>
                <w:rFonts w:ascii="Times New Roman" w:hAnsi="Times New Roman" w:cs="Times New Roman"/>
                <w:sz w:val="20"/>
                <w:szCs w:val="20"/>
              </w:rPr>
            </w:pPr>
            <w:r w:rsidRPr="00983339">
              <w:rPr>
                <w:rFonts w:ascii="Times New Roman" w:hAnsi="Times New Roman" w:cs="Times New Roman"/>
                <w:sz w:val="20"/>
                <w:szCs w:val="20"/>
              </w:rPr>
              <w:t>9,8</w:t>
            </w:r>
          </w:p>
        </w:tc>
      </w:tr>
      <w:tr w:rsidR="000B5841" w:rsidRPr="007410A7" w:rsidTr="00D804D2">
        <w:tc>
          <w:tcPr>
            <w:tcW w:w="1742" w:type="dxa"/>
            <w:vAlign w:val="center"/>
          </w:tcPr>
          <w:p w:rsidR="00983339" w:rsidRPr="007410A7" w:rsidRDefault="00983339" w:rsidP="007959C2">
            <w:pPr>
              <w:ind w:right="-92"/>
              <w:rPr>
                <w:rFonts w:ascii="Times New Roman" w:hAnsi="Times New Roman" w:cs="Times New Roman"/>
                <w:sz w:val="20"/>
                <w:szCs w:val="20"/>
              </w:rPr>
            </w:pPr>
            <w:r w:rsidRPr="007410A7">
              <w:rPr>
                <w:rFonts w:ascii="Times New Roman" w:hAnsi="Times New Roman" w:cs="Times New Roman"/>
                <w:sz w:val="20"/>
                <w:szCs w:val="20"/>
              </w:rPr>
              <w:t>Сільське господарство</w:t>
            </w:r>
          </w:p>
        </w:tc>
        <w:tc>
          <w:tcPr>
            <w:tcW w:w="722" w:type="dxa"/>
            <w:vAlign w:val="center"/>
          </w:tcPr>
          <w:p w:rsidR="00983339" w:rsidRPr="00D804D2" w:rsidRDefault="00983339" w:rsidP="007959C2">
            <w:pPr>
              <w:ind w:hanging="59"/>
              <w:jc w:val="center"/>
              <w:rPr>
                <w:rFonts w:ascii="Times New Roman" w:hAnsi="Times New Roman" w:cs="Times New Roman"/>
                <w:sz w:val="20"/>
                <w:szCs w:val="20"/>
              </w:rPr>
            </w:pPr>
            <w:r w:rsidRPr="00D804D2">
              <w:rPr>
                <w:rFonts w:ascii="Times New Roman" w:hAnsi="Times New Roman" w:cs="Times New Roman"/>
                <w:sz w:val="20"/>
                <w:szCs w:val="20"/>
              </w:rPr>
              <w:t>86843</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39378</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42029</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40996</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44445</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44768</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41687</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47017</w:t>
            </w:r>
          </w:p>
        </w:tc>
        <w:tc>
          <w:tcPr>
            <w:tcW w:w="922" w:type="dxa"/>
            <w:vAlign w:val="center"/>
          </w:tcPr>
          <w:p w:rsidR="00983339" w:rsidRPr="00983339" w:rsidRDefault="00983339" w:rsidP="00983339">
            <w:pPr>
              <w:jc w:val="center"/>
              <w:rPr>
                <w:rFonts w:ascii="Times New Roman" w:hAnsi="Times New Roman" w:cs="Times New Roman"/>
                <w:sz w:val="20"/>
                <w:szCs w:val="20"/>
              </w:rPr>
            </w:pPr>
            <w:r w:rsidRPr="00983339">
              <w:rPr>
                <w:rFonts w:ascii="Times New Roman" w:hAnsi="Times New Roman" w:cs="Times New Roman"/>
                <w:sz w:val="20"/>
                <w:szCs w:val="20"/>
              </w:rPr>
              <w:t>-45,9</w:t>
            </w:r>
          </w:p>
        </w:tc>
        <w:tc>
          <w:tcPr>
            <w:tcW w:w="922" w:type="dxa"/>
            <w:vAlign w:val="center"/>
          </w:tcPr>
          <w:p w:rsidR="00983339" w:rsidRPr="007410A7" w:rsidRDefault="00983339" w:rsidP="00983339">
            <w:pPr>
              <w:jc w:val="center"/>
              <w:rPr>
                <w:rFonts w:ascii="Times New Roman" w:hAnsi="Times New Roman" w:cs="Times New Roman"/>
                <w:sz w:val="20"/>
                <w:szCs w:val="20"/>
              </w:rPr>
            </w:pPr>
            <w:r w:rsidRPr="00983339">
              <w:rPr>
                <w:rFonts w:ascii="Times New Roman" w:hAnsi="Times New Roman" w:cs="Times New Roman"/>
                <w:sz w:val="20"/>
                <w:szCs w:val="20"/>
              </w:rPr>
              <w:t>12,8</w:t>
            </w:r>
          </w:p>
        </w:tc>
      </w:tr>
      <w:tr w:rsidR="000B5841" w:rsidRPr="007410A7" w:rsidTr="00D804D2">
        <w:tc>
          <w:tcPr>
            <w:tcW w:w="1742" w:type="dxa"/>
            <w:vAlign w:val="center"/>
          </w:tcPr>
          <w:p w:rsidR="00983339" w:rsidRPr="007410A7" w:rsidRDefault="00983339" w:rsidP="007959C2">
            <w:pPr>
              <w:ind w:right="-92"/>
              <w:rPr>
                <w:rFonts w:ascii="Times New Roman" w:hAnsi="Times New Roman" w:cs="Times New Roman"/>
                <w:sz w:val="20"/>
                <w:szCs w:val="20"/>
              </w:rPr>
            </w:pPr>
            <w:r w:rsidRPr="007410A7">
              <w:rPr>
                <w:rFonts w:ascii="Times New Roman" w:hAnsi="Times New Roman" w:cs="Times New Roman"/>
                <w:sz w:val="20"/>
                <w:szCs w:val="20"/>
              </w:rPr>
              <w:t>Землекористування, зміни в землекористуванні та лісове господарство</w:t>
            </w:r>
          </w:p>
        </w:tc>
        <w:tc>
          <w:tcPr>
            <w:tcW w:w="722" w:type="dxa"/>
            <w:vAlign w:val="center"/>
          </w:tcPr>
          <w:p w:rsidR="00983339" w:rsidRPr="00D804D2" w:rsidRDefault="00983339" w:rsidP="007959C2">
            <w:pPr>
              <w:ind w:hanging="59"/>
              <w:jc w:val="center"/>
              <w:rPr>
                <w:rFonts w:ascii="Times New Roman" w:hAnsi="Times New Roman" w:cs="Times New Roman"/>
                <w:sz w:val="20"/>
                <w:szCs w:val="20"/>
              </w:rPr>
            </w:pPr>
            <w:r w:rsidRPr="00D804D2">
              <w:rPr>
                <w:rFonts w:ascii="Times New Roman" w:hAnsi="Times New Roman" w:cs="Times New Roman"/>
                <w:sz w:val="20"/>
                <w:szCs w:val="20"/>
              </w:rPr>
              <w:t>-31406</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19742</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24351</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13440</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24916</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23332</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-403</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14230</w:t>
            </w:r>
          </w:p>
        </w:tc>
        <w:tc>
          <w:tcPr>
            <w:tcW w:w="922" w:type="dxa"/>
            <w:vAlign w:val="center"/>
          </w:tcPr>
          <w:p w:rsidR="00983339" w:rsidRPr="00983339" w:rsidRDefault="00983339" w:rsidP="00983339">
            <w:pPr>
              <w:jc w:val="center"/>
              <w:rPr>
                <w:rFonts w:ascii="Times New Roman" w:hAnsi="Times New Roman" w:cs="Times New Roman"/>
                <w:sz w:val="20"/>
                <w:szCs w:val="20"/>
              </w:rPr>
            </w:pPr>
            <w:r w:rsidRPr="00983339">
              <w:rPr>
                <w:rFonts w:ascii="Times New Roman" w:hAnsi="Times New Roman" w:cs="Times New Roman"/>
                <w:sz w:val="20"/>
                <w:szCs w:val="20"/>
              </w:rPr>
              <w:t>-145,3</w:t>
            </w:r>
          </w:p>
        </w:tc>
        <w:tc>
          <w:tcPr>
            <w:tcW w:w="922" w:type="dxa"/>
            <w:vAlign w:val="center"/>
          </w:tcPr>
          <w:p w:rsidR="00983339" w:rsidRPr="007410A7" w:rsidRDefault="00983339" w:rsidP="00983339">
            <w:pPr>
              <w:jc w:val="center"/>
              <w:rPr>
                <w:rFonts w:ascii="Times New Roman" w:hAnsi="Times New Roman" w:cs="Times New Roman"/>
                <w:sz w:val="20"/>
                <w:szCs w:val="20"/>
              </w:rPr>
            </w:pPr>
            <w:r w:rsidRPr="00983339">
              <w:rPr>
                <w:rFonts w:ascii="Times New Roman" w:hAnsi="Times New Roman" w:cs="Times New Roman"/>
                <w:sz w:val="20"/>
                <w:szCs w:val="20"/>
              </w:rPr>
              <w:t>-3632,0</w:t>
            </w:r>
          </w:p>
        </w:tc>
      </w:tr>
      <w:tr w:rsidR="000B5841" w:rsidRPr="007410A7" w:rsidTr="00D804D2">
        <w:tc>
          <w:tcPr>
            <w:tcW w:w="1742" w:type="dxa"/>
            <w:vAlign w:val="center"/>
          </w:tcPr>
          <w:p w:rsidR="00983339" w:rsidRPr="007410A7" w:rsidRDefault="00983339" w:rsidP="007959C2">
            <w:pPr>
              <w:ind w:right="-92"/>
              <w:rPr>
                <w:rFonts w:ascii="Times New Roman" w:hAnsi="Times New Roman" w:cs="Times New Roman"/>
                <w:sz w:val="20"/>
                <w:szCs w:val="20"/>
              </w:rPr>
            </w:pPr>
            <w:r w:rsidRPr="007410A7">
              <w:rPr>
                <w:rFonts w:ascii="Times New Roman" w:hAnsi="Times New Roman" w:cs="Times New Roman"/>
                <w:sz w:val="20"/>
                <w:szCs w:val="20"/>
              </w:rPr>
              <w:t>Відходи</w:t>
            </w:r>
          </w:p>
        </w:tc>
        <w:tc>
          <w:tcPr>
            <w:tcW w:w="722" w:type="dxa"/>
            <w:vAlign w:val="center"/>
          </w:tcPr>
          <w:p w:rsidR="00983339" w:rsidRPr="00D804D2" w:rsidRDefault="00983339" w:rsidP="007959C2">
            <w:pPr>
              <w:ind w:hanging="59"/>
              <w:jc w:val="center"/>
              <w:rPr>
                <w:rFonts w:ascii="Times New Roman" w:hAnsi="Times New Roman" w:cs="Times New Roman"/>
                <w:sz w:val="20"/>
                <w:szCs w:val="20"/>
              </w:rPr>
            </w:pPr>
            <w:r w:rsidRPr="00D804D2">
              <w:rPr>
                <w:rFonts w:ascii="Times New Roman" w:hAnsi="Times New Roman" w:cs="Times New Roman"/>
                <w:sz w:val="20"/>
                <w:szCs w:val="20"/>
              </w:rPr>
              <w:t>12447</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12564</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12750</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12667</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12613</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12581</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12366</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12160</w:t>
            </w:r>
          </w:p>
        </w:tc>
        <w:tc>
          <w:tcPr>
            <w:tcW w:w="922" w:type="dxa"/>
            <w:vAlign w:val="center"/>
          </w:tcPr>
          <w:p w:rsidR="00983339" w:rsidRPr="00983339" w:rsidRDefault="00983339" w:rsidP="00983339">
            <w:pPr>
              <w:jc w:val="center"/>
              <w:rPr>
                <w:rFonts w:ascii="Times New Roman" w:hAnsi="Times New Roman" w:cs="Times New Roman"/>
                <w:sz w:val="20"/>
                <w:szCs w:val="20"/>
              </w:rPr>
            </w:pPr>
            <w:r w:rsidRPr="00983339">
              <w:rPr>
                <w:rFonts w:ascii="Times New Roman" w:hAnsi="Times New Roman" w:cs="Times New Roman"/>
                <w:sz w:val="20"/>
                <w:szCs w:val="20"/>
              </w:rPr>
              <w:t>-2,3</w:t>
            </w:r>
          </w:p>
        </w:tc>
        <w:tc>
          <w:tcPr>
            <w:tcW w:w="922" w:type="dxa"/>
            <w:vAlign w:val="center"/>
          </w:tcPr>
          <w:p w:rsidR="00983339" w:rsidRPr="007410A7" w:rsidRDefault="00983339" w:rsidP="00983339">
            <w:pPr>
              <w:jc w:val="center"/>
              <w:rPr>
                <w:rFonts w:ascii="Times New Roman" w:hAnsi="Times New Roman" w:cs="Times New Roman"/>
                <w:sz w:val="20"/>
                <w:szCs w:val="20"/>
              </w:rPr>
            </w:pPr>
            <w:r w:rsidRPr="00983339">
              <w:rPr>
                <w:rFonts w:ascii="Times New Roman" w:hAnsi="Times New Roman" w:cs="Times New Roman"/>
                <w:sz w:val="20"/>
                <w:szCs w:val="20"/>
              </w:rPr>
              <w:t>-1,7</w:t>
            </w:r>
          </w:p>
        </w:tc>
      </w:tr>
      <w:tr w:rsidR="000B5841" w:rsidRPr="007410A7" w:rsidTr="00D804D2">
        <w:tc>
          <w:tcPr>
            <w:tcW w:w="1742" w:type="dxa"/>
            <w:vAlign w:val="center"/>
          </w:tcPr>
          <w:p w:rsidR="00983339" w:rsidRPr="007410A7" w:rsidRDefault="00983339" w:rsidP="007959C2">
            <w:pPr>
              <w:ind w:right="-92"/>
              <w:rPr>
                <w:rFonts w:ascii="Times New Roman" w:hAnsi="Times New Roman" w:cs="Times New Roman"/>
                <w:sz w:val="20"/>
                <w:szCs w:val="20"/>
              </w:rPr>
            </w:pPr>
            <w:r w:rsidRPr="007410A7">
              <w:rPr>
                <w:rFonts w:ascii="Times New Roman" w:hAnsi="Times New Roman" w:cs="Times New Roman"/>
                <w:sz w:val="20"/>
                <w:szCs w:val="20"/>
              </w:rPr>
              <w:t>Всього (</w:t>
            </w:r>
            <w:r w:rsidR="00196B9B">
              <w:rPr>
                <w:rFonts w:ascii="Times New Roman" w:hAnsi="Times New Roman" w:cs="Times New Roman"/>
                <w:sz w:val="20"/>
                <w:szCs w:val="20"/>
              </w:rPr>
              <w:t>з</w:t>
            </w:r>
            <w:r w:rsidRPr="007410A7">
              <w:rPr>
                <w:rFonts w:ascii="Times New Roman" w:hAnsi="Times New Roman" w:cs="Times New Roman"/>
                <w:sz w:val="20"/>
                <w:szCs w:val="20"/>
              </w:rPr>
              <w:t xml:space="preserve"> ЗЗЗЛГ)</w:t>
            </w:r>
          </w:p>
        </w:tc>
        <w:tc>
          <w:tcPr>
            <w:tcW w:w="722" w:type="dxa"/>
            <w:vAlign w:val="center"/>
          </w:tcPr>
          <w:p w:rsidR="00983339" w:rsidRPr="00D804D2" w:rsidRDefault="00983339" w:rsidP="007959C2">
            <w:pPr>
              <w:ind w:hanging="59"/>
              <w:jc w:val="center"/>
              <w:rPr>
                <w:rFonts w:ascii="Times New Roman" w:hAnsi="Times New Roman" w:cs="Times New Roman"/>
                <w:sz w:val="20"/>
                <w:szCs w:val="20"/>
              </w:rPr>
            </w:pPr>
            <w:r w:rsidRPr="00D804D2">
              <w:rPr>
                <w:rFonts w:ascii="Times New Roman" w:hAnsi="Times New Roman" w:cs="Times New Roman"/>
                <w:sz w:val="20"/>
                <w:szCs w:val="20"/>
              </w:rPr>
              <w:t>911401</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338925</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361982</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336734</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364738</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357451</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317636</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344642</w:t>
            </w:r>
          </w:p>
        </w:tc>
        <w:tc>
          <w:tcPr>
            <w:tcW w:w="922" w:type="dxa"/>
            <w:vAlign w:val="center"/>
          </w:tcPr>
          <w:p w:rsidR="00983339" w:rsidRPr="00983339" w:rsidRDefault="00983339" w:rsidP="00983339">
            <w:pPr>
              <w:jc w:val="center"/>
              <w:rPr>
                <w:rFonts w:ascii="Times New Roman" w:hAnsi="Times New Roman" w:cs="Times New Roman"/>
                <w:sz w:val="20"/>
                <w:szCs w:val="20"/>
              </w:rPr>
            </w:pPr>
            <w:r w:rsidRPr="00983339">
              <w:rPr>
                <w:rFonts w:ascii="Times New Roman" w:hAnsi="Times New Roman" w:cs="Times New Roman"/>
                <w:sz w:val="20"/>
                <w:szCs w:val="20"/>
              </w:rPr>
              <w:t>-62,2</w:t>
            </w:r>
          </w:p>
        </w:tc>
        <w:tc>
          <w:tcPr>
            <w:tcW w:w="922" w:type="dxa"/>
            <w:vAlign w:val="center"/>
          </w:tcPr>
          <w:p w:rsidR="00983339" w:rsidRPr="007410A7" w:rsidRDefault="00983339" w:rsidP="00983339">
            <w:pPr>
              <w:jc w:val="center"/>
              <w:rPr>
                <w:rFonts w:ascii="Times New Roman" w:hAnsi="Times New Roman" w:cs="Times New Roman"/>
                <w:sz w:val="20"/>
                <w:szCs w:val="20"/>
              </w:rPr>
            </w:pPr>
            <w:r w:rsidRPr="00983339">
              <w:rPr>
                <w:rFonts w:ascii="Times New Roman" w:hAnsi="Times New Roman" w:cs="Times New Roman"/>
                <w:sz w:val="20"/>
                <w:szCs w:val="20"/>
              </w:rPr>
              <w:t>8,5</w:t>
            </w:r>
          </w:p>
        </w:tc>
      </w:tr>
      <w:tr w:rsidR="000B5841" w:rsidRPr="007410A7" w:rsidTr="00D804D2">
        <w:tc>
          <w:tcPr>
            <w:tcW w:w="1742" w:type="dxa"/>
            <w:vAlign w:val="center"/>
          </w:tcPr>
          <w:p w:rsidR="00983339" w:rsidRPr="007410A7" w:rsidRDefault="00983339" w:rsidP="007959C2">
            <w:pPr>
              <w:ind w:right="-92"/>
              <w:rPr>
                <w:rFonts w:ascii="Times New Roman" w:hAnsi="Times New Roman" w:cs="Times New Roman"/>
                <w:sz w:val="20"/>
                <w:szCs w:val="20"/>
              </w:rPr>
            </w:pPr>
            <w:r w:rsidRPr="007410A7">
              <w:rPr>
                <w:rFonts w:ascii="Times New Roman" w:hAnsi="Times New Roman" w:cs="Times New Roman"/>
                <w:sz w:val="20"/>
                <w:szCs w:val="20"/>
              </w:rPr>
              <w:t>Всього (</w:t>
            </w:r>
            <w:r w:rsidR="00196B9B">
              <w:rPr>
                <w:rFonts w:ascii="Times New Roman" w:hAnsi="Times New Roman" w:cs="Times New Roman"/>
                <w:sz w:val="20"/>
                <w:szCs w:val="20"/>
              </w:rPr>
              <w:t>без</w:t>
            </w:r>
            <w:r w:rsidRPr="007410A7">
              <w:rPr>
                <w:rFonts w:ascii="Times New Roman" w:hAnsi="Times New Roman" w:cs="Times New Roman"/>
                <w:sz w:val="20"/>
                <w:szCs w:val="20"/>
              </w:rPr>
              <w:t xml:space="preserve"> ЗЗЗЛГ)</w:t>
            </w:r>
          </w:p>
        </w:tc>
        <w:tc>
          <w:tcPr>
            <w:tcW w:w="722" w:type="dxa"/>
            <w:vAlign w:val="center"/>
          </w:tcPr>
          <w:p w:rsidR="00983339" w:rsidRPr="00D804D2" w:rsidRDefault="00983339" w:rsidP="007959C2">
            <w:pPr>
              <w:ind w:hanging="59"/>
              <w:jc w:val="center"/>
              <w:rPr>
                <w:rFonts w:ascii="Times New Roman" w:hAnsi="Times New Roman" w:cs="Times New Roman"/>
                <w:sz w:val="20"/>
                <w:szCs w:val="20"/>
              </w:rPr>
            </w:pPr>
            <w:r w:rsidRPr="00D804D2">
              <w:rPr>
                <w:rFonts w:ascii="Times New Roman" w:hAnsi="Times New Roman" w:cs="Times New Roman"/>
                <w:sz w:val="20"/>
                <w:szCs w:val="20"/>
              </w:rPr>
              <w:t>942808</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319183</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337630</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323295</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339822</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334119</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318039</w:t>
            </w:r>
          </w:p>
        </w:tc>
        <w:tc>
          <w:tcPr>
            <w:tcW w:w="777" w:type="dxa"/>
            <w:vAlign w:val="center"/>
          </w:tcPr>
          <w:p w:rsidR="00983339" w:rsidRPr="00D804D2" w:rsidRDefault="00983339" w:rsidP="00983339">
            <w:pPr>
              <w:jc w:val="center"/>
              <w:rPr>
                <w:rFonts w:ascii="Times New Roman" w:hAnsi="Times New Roman" w:cs="Times New Roman"/>
                <w:sz w:val="20"/>
                <w:szCs w:val="20"/>
              </w:rPr>
            </w:pPr>
            <w:r w:rsidRPr="00D804D2">
              <w:rPr>
                <w:rFonts w:ascii="Times New Roman" w:hAnsi="Times New Roman" w:cs="Times New Roman"/>
                <w:sz w:val="20"/>
                <w:szCs w:val="20"/>
              </w:rPr>
              <w:t>330411</w:t>
            </w:r>
          </w:p>
        </w:tc>
        <w:tc>
          <w:tcPr>
            <w:tcW w:w="922" w:type="dxa"/>
            <w:vAlign w:val="center"/>
          </w:tcPr>
          <w:p w:rsidR="00983339" w:rsidRPr="00983339" w:rsidRDefault="00983339" w:rsidP="00983339">
            <w:pPr>
              <w:jc w:val="center"/>
              <w:rPr>
                <w:rFonts w:ascii="Times New Roman" w:hAnsi="Times New Roman" w:cs="Times New Roman"/>
                <w:sz w:val="20"/>
                <w:szCs w:val="20"/>
              </w:rPr>
            </w:pPr>
            <w:r w:rsidRPr="00983339">
              <w:rPr>
                <w:rFonts w:ascii="Times New Roman" w:hAnsi="Times New Roman" w:cs="Times New Roman"/>
                <w:sz w:val="20"/>
                <w:szCs w:val="20"/>
              </w:rPr>
              <w:t>-65,0</w:t>
            </w:r>
          </w:p>
        </w:tc>
        <w:tc>
          <w:tcPr>
            <w:tcW w:w="922" w:type="dxa"/>
            <w:vAlign w:val="center"/>
          </w:tcPr>
          <w:p w:rsidR="00983339" w:rsidRPr="007410A7" w:rsidRDefault="00983339" w:rsidP="00983339">
            <w:pPr>
              <w:jc w:val="center"/>
              <w:rPr>
                <w:rFonts w:ascii="Times New Roman" w:hAnsi="Times New Roman" w:cs="Times New Roman"/>
                <w:sz w:val="20"/>
                <w:szCs w:val="20"/>
              </w:rPr>
            </w:pPr>
            <w:r w:rsidRPr="00983339">
              <w:rPr>
                <w:rFonts w:ascii="Times New Roman" w:hAnsi="Times New Roman" w:cs="Times New Roman"/>
                <w:sz w:val="20"/>
                <w:szCs w:val="20"/>
              </w:rPr>
              <w:t>3,9</w:t>
            </w:r>
          </w:p>
        </w:tc>
      </w:tr>
    </w:tbl>
    <w:p w:rsidR="009B2350" w:rsidRPr="0070368F" w:rsidRDefault="009B2350" w:rsidP="007F117D">
      <w:pPr>
        <w:spacing w:after="0"/>
        <w:rPr>
          <w:rFonts w:ascii="Times New Roman" w:hAnsi="Times New Roman" w:cs="Times New Roman"/>
          <w:sz w:val="24"/>
          <w:szCs w:val="24"/>
        </w:rPr>
      </w:pPr>
    </w:p>
    <w:p w:rsidR="00A90BFC" w:rsidRDefault="00A90BFC" w:rsidP="007F117D">
      <w:pPr>
        <w:pStyle w:val="a3"/>
        <w:shd w:val="clear" w:color="auto" w:fill="FFFFFF"/>
        <w:spacing w:before="0" w:beforeAutospacing="0" w:after="0" w:afterAutospacing="0"/>
        <w:jc w:val="center"/>
        <w:rPr>
          <w:rStyle w:val="a5"/>
          <w:bdr w:val="none" w:sz="0" w:space="0" w:color="auto" w:frame="1"/>
        </w:rPr>
      </w:pPr>
    </w:p>
    <w:p w:rsidR="009B2350" w:rsidRPr="0070368F" w:rsidRDefault="009B2350" w:rsidP="007F117D">
      <w:pPr>
        <w:pStyle w:val="a3"/>
        <w:shd w:val="clear" w:color="auto" w:fill="FFFFFF"/>
        <w:spacing w:before="0" w:beforeAutospacing="0" w:after="0" w:afterAutospacing="0"/>
        <w:jc w:val="center"/>
      </w:pPr>
      <w:r w:rsidRPr="0070368F">
        <w:rPr>
          <w:rStyle w:val="a5"/>
          <w:bdr w:val="none" w:sz="0" w:space="0" w:color="auto" w:frame="1"/>
        </w:rPr>
        <w:lastRenderedPageBreak/>
        <w:t xml:space="preserve">Рис. 1. Тенденції викидів та поглинань </w:t>
      </w:r>
      <w:proofErr w:type="spellStart"/>
      <w:r w:rsidRPr="0070368F">
        <w:rPr>
          <w:rStyle w:val="a5"/>
          <w:bdr w:val="none" w:sz="0" w:space="0" w:color="auto" w:frame="1"/>
        </w:rPr>
        <w:t>ПГ</w:t>
      </w:r>
      <w:proofErr w:type="spellEnd"/>
      <w:r w:rsidRPr="0070368F">
        <w:rPr>
          <w:rStyle w:val="a5"/>
          <w:bdr w:val="none" w:sz="0" w:space="0" w:color="auto" w:frame="1"/>
        </w:rPr>
        <w:t xml:space="preserve"> протягом 1990-202</w:t>
      </w:r>
      <w:r w:rsidR="00196B9B">
        <w:rPr>
          <w:rStyle w:val="a5"/>
          <w:bdr w:val="none" w:sz="0" w:space="0" w:color="auto" w:frame="1"/>
        </w:rPr>
        <w:t>1</w:t>
      </w:r>
      <w:r w:rsidRPr="0070368F">
        <w:rPr>
          <w:rStyle w:val="a5"/>
          <w:bdr w:val="none" w:sz="0" w:space="0" w:color="auto" w:frame="1"/>
        </w:rPr>
        <w:t xml:space="preserve"> років</w:t>
      </w:r>
    </w:p>
    <w:p w:rsidR="009B2350" w:rsidRPr="0070368F" w:rsidRDefault="009B2350" w:rsidP="007F117D">
      <w:pPr>
        <w:spacing w:after="0"/>
        <w:rPr>
          <w:rFonts w:ascii="Times New Roman" w:hAnsi="Times New Roman" w:cs="Times New Roman"/>
          <w:sz w:val="24"/>
          <w:szCs w:val="24"/>
        </w:rPr>
      </w:pPr>
    </w:p>
    <w:p w:rsidR="009B2350" w:rsidRPr="0070368F" w:rsidRDefault="00196B9B" w:rsidP="007F117D">
      <w:pPr>
        <w:spacing w:after="0"/>
        <w:rPr>
          <w:rFonts w:ascii="Times New Roman" w:hAnsi="Times New Roman" w:cs="Times New Roman"/>
          <w:sz w:val="24"/>
          <w:szCs w:val="24"/>
        </w:rPr>
      </w:pPr>
      <w:r>
        <w:rPr>
          <w:noProof/>
          <w:lang w:eastAsia="uk-UA"/>
        </w:rPr>
        <w:drawing>
          <wp:inline distT="0" distB="0" distL="0" distR="0">
            <wp:extent cx="6143183" cy="4222143"/>
            <wp:effectExtent l="19050" t="0" r="9967" b="6957"/>
            <wp:docPr id="1"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2350" w:rsidRDefault="009B2350" w:rsidP="007F117D">
      <w:pPr>
        <w:pStyle w:val="a3"/>
        <w:shd w:val="clear" w:color="auto" w:fill="FFFFFF"/>
        <w:spacing w:before="0" w:beforeAutospacing="0" w:after="0" w:afterAutospacing="0"/>
        <w:jc w:val="both"/>
        <w:rPr>
          <w:bdr w:val="none" w:sz="0" w:space="0" w:color="auto" w:frame="1"/>
        </w:rPr>
      </w:pPr>
    </w:p>
    <w:p w:rsidR="00B2237A" w:rsidRPr="0070368F" w:rsidRDefault="009B6A64" w:rsidP="005D5CF0">
      <w:pPr>
        <w:pStyle w:val="a3"/>
        <w:shd w:val="clear" w:color="auto" w:fill="FFFFFF"/>
        <w:spacing w:before="0" w:beforeAutospacing="0" w:after="0" w:afterAutospacing="0" w:line="276" w:lineRule="auto"/>
        <w:ind w:firstLine="567"/>
        <w:jc w:val="both"/>
        <w:rPr>
          <w:shd w:val="clear" w:color="auto" w:fill="FFFFFF"/>
        </w:rPr>
      </w:pPr>
      <w:r>
        <w:rPr>
          <w:bdr w:val="none" w:sz="0" w:space="0" w:color="auto" w:frame="1"/>
        </w:rPr>
        <w:t xml:space="preserve">За останній </w:t>
      </w:r>
      <w:r w:rsidR="004D5890" w:rsidRPr="0070368F">
        <w:rPr>
          <w:bdr w:val="none" w:sz="0" w:space="0" w:color="auto" w:frame="1"/>
        </w:rPr>
        <w:t>звітн</w:t>
      </w:r>
      <w:r>
        <w:rPr>
          <w:bdr w:val="none" w:sz="0" w:space="0" w:color="auto" w:frame="1"/>
        </w:rPr>
        <w:t>ий 2021 рік</w:t>
      </w:r>
      <w:r w:rsidR="004D5890" w:rsidRPr="0070368F">
        <w:rPr>
          <w:bdr w:val="none" w:sz="0" w:space="0" w:color="auto" w:frame="1"/>
        </w:rPr>
        <w:t xml:space="preserve"> викиди </w:t>
      </w:r>
      <w:proofErr w:type="spellStart"/>
      <w:r w:rsidR="004D5890" w:rsidRPr="0070368F">
        <w:rPr>
          <w:bdr w:val="none" w:sz="0" w:space="0" w:color="auto" w:frame="1"/>
        </w:rPr>
        <w:t>ПГ</w:t>
      </w:r>
      <w:proofErr w:type="spellEnd"/>
      <w:r w:rsidR="004D5890" w:rsidRPr="0070368F">
        <w:rPr>
          <w:bdr w:val="none" w:sz="0" w:space="0" w:color="auto" w:frame="1"/>
        </w:rPr>
        <w:t xml:space="preserve"> у секторі «Енергетика» становили 20</w:t>
      </w:r>
      <w:r w:rsidR="00205D19">
        <w:rPr>
          <w:bdr w:val="none" w:sz="0" w:space="0" w:color="auto" w:frame="1"/>
        </w:rPr>
        <w:t>9</w:t>
      </w:r>
      <w:r w:rsidR="004D5890" w:rsidRPr="0070368F">
        <w:rPr>
          <w:bdr w:val="none" w:sz="0" w:space="0" w:color="auto" w:frame="1"/>
        </w:rPr>
        <w:t>,</w:t>
      </w:r>
      <w:r w:rsidR="00205D19">
        <w:rPr>
          <w:bdr w:val="none" w:sz="0" w:space="0" w:color="auto" w:frame="1"/>
        </w:rPr>
        <w:t>74</w:t>
      </w:r>
      <w:r w:rsidR="004D5890" w:rsidRPr="0070368F">
        <w:rPr>
          <w:shd w:val="clear" w:color="auto" w:fill="FFFFFF"/>
          <w:lang w:val="en-US"/>
        </w:rPr>
        <w:t> </w:t>
      </w:r>
      <w:r w:rsidR="004D5890" w:rsidRPr="0070368F">
        <w:rPr>
          <w:shd w:val="clear" w:color="auto" w:fill="FFFFFF"/>
        </w:rPr>
        <w:t>млн.</w:t>
      </w:r>
      <w:r w:rsidR="004D5890" w:rsidRPr="0070368F">
        <w:rPr>
          <w:shd w:val="clear" w:color="auto" w:fill="FFFFFF"/>
          <w:lang w:val="en-US"/>
        </w:rPr>
        <w:t> </w:t>
      </w:r>
      <w:r w:rsidR="004D5890" w:rsidRPr="0070368F">
        <w:rPr>
          <w:shd w:val="clear" w:color="auto" w:fill="FFFFFF"/>
        </w:rPr>
        <w:t>т</w:t>
      </w:r>
      <w:r w:rsidR="004D5890" w:rsidRPr="0070368F">
        <w:rPr>
          <w:shd w:val="clear" w:color="auto" w:fill="FFFFFF"/>
          <w:lang w:val="en-US"/>
        </w:rPr>
        <w:t> </w:t>
      </w:r>
      <w:r w:rsidR="00196B9B" w:rsidRPr="0070368F">
        <w:rPr>
          <w:shd w:val="clear" w:color="auto" w:fill="FFFFFF"/>
        </w:rPr>
        <w:t>млн.</w:t>
      </w:r>
      <w:r w:rsidR="00196B9B" w:rsidRPr="0070368F">
        <w:rPr>
          <w:shd w:val="clear" w:color="auto" w:fill="FFFFFF"/>
          <w:lang w:val="en-US"/>
        </w:rPr>
        <w:t> </w:t>
      </w:r>
      <w:r w:rsidR="00196B9B" w:rsidRPr="0070368F">
        <w:rPr>
          <w:shd w:val="clear" w:color="auto" w:fill="FFFFFF"/>
        </w:rPr>
        <w:t>т</w:t>
      </w:r>
      <w:r w:rsidR="00196B9B" w:rsidRPr="0070368F">
        <w:rPr>
          <w:shd w:val="clear" w:color="auto" w:fill="FFFFFF"/>
          <w:lang w:val="en-US"/>
        </w:rPr>
        <w:t> </w:t>
      </w:r>
      <w:r w:rsidR="00196B9B" w:rsidRPr="0070368F">
        <w:rPr>
          <w:shd w:val="clear" w:color="auto" w:fill="FFFFFF"/>
        </w:rPr>
        <w:t>СО</w:t>
      </w:r>
      <w:r w:rsidR="00196B9B" w:rsidRPr="0070368F">
        <w:rPr>
          <w:bdr w:val="none" w:sz="0" w:space="0" w:color="auto" w:frame="1"/>
          <w:shd w:val="clear" w:color="auto" w:fill="FFFFFF"/>
          <w:vertAlign w:val="subscript"/>
        </w:rPr>
        <w:t>2</w:t>
      </w:r>
      <w:r w:rsidR="00196B9B" w:rsidRPr="00196B9B">
        <w:rPr>
          <w:shd w:val="clear" w:color="auto" w:fill="FFFFFF"/>
        </w:rPr>
        <w:t>-</w:t>
      </w:r>
      <w:r w:rsidR="00196B9B" w:rsidRPr="008D26D7">
        <w:rPr>
          <w:shd w:val="clear" w:color="auto" w:fill="FFFFFF"/>
        </w:rPr>
        <w:t>еквіваленту</w:t>
      </w:r>
      <w:r w:rsidR="00196B9B" w:rsidRPr="0070368F">
        <w:rPr>
          <w:shd w:val="clear" w:color="auto" w:fill="FFFFFF"/>
        </w:rPr>
        <w:t xml:space="preserve"> </w:t>
      </w:r>
      <w:r w:rsidR="004D5890" w:rsidRPr="0070368F">
        <w:rPr>
          <w:shd w:val="clear" w:color="auto" w:fill="FFFFFF"/>
        </w:rPr>
        <w:t>або приблизно 6</w:t>
      </w:r>
      <w:r w:rsidR="00205D19">
        <w:rPr>
          <w:shd w:val="clear" w:color="auto" w:fill="FFFFFF"/>
        </w:rPr>
        <w:t>4</w:t>
      </w:r>
      <w:r w:rsidR="004D5890" w:rsidRPr="0070368F">
        <w:rPr>
          <w:shd w:val="clear" w:color="auto" w:fill="FFFFFF"/>
        </w:rPr>
        <w:t xml:space="preserve"> % від усіх викидів </w:t>
      </w:r>
      <w:proofErr w:type="spellStart"/>
      <w:r w:rsidR="004D5890" w:rsidRPr="0070368F">
        <w:rPr>
          <w:shd w:val="clear" w:color="auto" w:fill="FFFFFF"/>
        </w:rPr>
        <w:t>ПГ</w:t>
      </w:r>
      <w:proofErr w:type="spellEnd"/>
      <w:r w:rsidR="004D5890" w:rsidRPr="0070368F">
        <w:rPr>
          <w:shd w:val="clear" w:color="auto" w:fill="FFFFFF"/>
        </w:rPr>
        <w:t xml:space="preserve"> в Україні (без врахування ЗЗЗЛГ) і зменшилися на 71,</w:t>
      </w:r>
      <w:r w:rsidR="00205D19">
        <w:rPr>
          <w:shd w:val="clear" w:color="auto" w:fill="FFFFFF"/>
        </w:rPr>
        <w:t>1</w:t>
      </w:r>
      <w:r w:rsidR="004D5890" w:rsidRPr="0070368F">
        <w:rPr>
          <w:shd w:val="clear" w:color="auto" w:fill="FFFFFF"/>
        </w:rPr>
        <w:t> % порівняно з базовим рівнем 1990 р</w:t>
      </w:r>
      <w:r>
        <w:rPr>
          <w:shd w:val="clear" w:color="auto" w:fill="FFFFFF"/>
        </w:rPr>
        <w:t>оку</w:t>
      </w:r>
      <w:r w:rsidR="00205D19">
        <w:rPr>
          <w:shd w:val="clear" w:color="auto" w:fill="FFFFFF"/>
        </w:rPr>
        <w:t>, однак збільшилися на</w:t>
      </w:r>
      <w:r w:rsidR="004D5890" w:rsidRPr="0070368F">
        <w:rPr>
          <w:shd w:val="clear" w:color="auto" w:fill="FFFFFF"/>
        </w:rPr>
        <w:t xml:space="preserve"> </w:t>
      </w:r>
      <w:r w:rsidR="00205D19">
        <w:rPr>
          <w:shd w:val="clear" w:color="auto" w:fill="FFFFFF"/>
        </w:rPr>
        <w:t>0</w:t>
      </w:r>
      <w:r w:rsidR="004D5890" w:rsidRPr="0070368F">
        <w:rPr>
          <w:shd w:val="clear" w:color="auto" w:fill="FFFFFF"/>
        </w:rPr>
        <w:t>,</w:t>
      </w:r>
      <w:r w:rsidR="00205D19">
        <w:rPr>
          <w:shd w:val="clear" w:color="auto" w:fill="FFFFFF"/>
        </w:rPr>
        <w:t>8</w:t>
      </w:r>
      <w:r w:rsidR="004D5890" w:rsidRPr="0070368F">
        <w:rPr>
          <w:shd w:val="clear" w:color="auto" w:fill="FFFFFF"/>
        </w:rPr>
        <w:t> % порівняно з 20</w:t>
      </w:r>
      <w:r w:rsidR="00205D19">
        <w:rPr>
          <w:shd w:val="clear" w:color="auto" w:fill="FFFFFF"/>
        </w:rPr>
        <w:t>20</w:t>
      </w:r>
      <w:r w:rsidR="004D5890" w:rsidRPr="0070368F">
        <w:rPr>
          <w:shd w:val="clear" w:color="auto" w:fill="FFFFFF"/>
        </w:rPr>
        <w:t> р</w:t>
      </w:r>
      <w:r>
        <w:rPr>
          <w:shd w:val="clear" w:color="auto" w:fill="FFFFFF"/>
        </w:rPr>
        <w:t>оком</w:t>
      </w:r>
      <w:r w:rsidR="004D5890" w:rsidRPr="0070368F">
        <w:rPr>
          <w:shd w:val="clear" w:color="auto" w:fill="FFFFFF"/>
        </w:rPr>
        <w:t xml:space="preserve">. </w:t>
      </w:r>
      <w:r w:rsidR="00CD13DA" w:rsidRPr="0070368F">
        <w:rPr>
          <w:shd w:val="clear" w:color="auto" w:fill="FFFFFF"/>
        </w:rPr>
        <w:t>Категорія 1А «</w:t>
      </w:r>
      <w:r w:rsidR="00066C36" w:rsidRPr="0070368F">
        <w:rPr>
          <w:shd w:val="clear" w:color="auto" w:fill="FFFFFF"/>
        </w:rPr>
        <w:t>Спалювання палива</w:t>
      </w:r>
      <w:r w:rsidR="00CD13DA" w:rsidRPr="0070368F">
        <w:rPr>
          <w:shd w:val="clear" w:color="auto" w:fill="FFFFFF"/>
        </w:rPr>
        <w:t>»</w:t>
      </w:r>
      <w:r w:rsidR="00066C36" w:rsidRPr="0070368F">
        <w:rPr>
          <w:shd w:val="clear" w:color="auto" w:fill="FFFFFF"/>
        </w:rPr>
        <w:t xml:space="preserve"> є основним джерелом викидів </w:t>
      </w:r>
      <w:proofErr w:type="spellStart"/>
      <w:r w:rsidR="00066C36" w:rsidRPr="0070368F">
        <w:rPr>
          <w:shd w:val="clear" w:color="auto" w:fill="FFFFFF"/>
        </w:rPr>
        <w:t>ПГ</w:t>
      </w:r>
      <w:proofErr w:type="spellEnd"/>
      <w:r w:rsidR="00066C36" w:rsidRPr="0070368F">
        <w:rPr>
          <w:shd w:val="clear" w:color="auto" w:fill="FFFFFF"/>
        </w:rPr>
        <w:t>, які у 202</w:t>
      </w:r>
      <w:r w:rsidR="00205D19">
        <w:rPr>
          <w:shd w:val="clear" w:color="auto" w:fill="FFFFFF"/>
        </w:rPr>
        <w:t>1</w:t>
      </w:r>
      <w:r w:rsidR="00066C36" w:rsidRPr="0070368F">
        <w:rPr>
          <w:shd w:val="clear" w:color="auto" w:fill="FFFFFF"/>
        </w:rPr>
        <w:t> р</w:t>
      </w:r>
      <w:r>
        <w:rPr>
          <w:shd w:val="clear" w:color="auto" w:fill="FFFFFF"/>
        </w:rPr>
        <w:t>оці</w:t>
      </w:r>
      <w:r w:rsidR="00066C36" w:rsidRPr="0070368F">
        <w:rPr>
          <w:shd w:val="clear" w:color="auto" w:fill="FFFFFF"/>
        </w:rPr>
        <w:t xml:space="preserve"> </w:t>
      </w:r>
      <w:r w:rsidR="00CD13DA" w:rsidRPr="0070368F">
        <w:rPr>
          <w:shd w:val="clear" w:color="auto" w:fill="FFFFFF"/>
        </w:rPr>
        <w:t xml:space="preserve">у цій категорії </w:t>
      </w:r>
      <w:r w:rsidR="00066C36" w:rsidRPr="0070368F">
        <w:rPr>
          <w:shd w:val="clear" w:color="auto" w:fill="FFFFFF"/>
        </w:rPr>
        <w:t>скоротилися на 73,</w:t>
      </w:r>
      <w:r w:rsidR="00205D19">
        <w:rPr>
          <w:shd w:val="clear" w:color="auto" w:fill="FFFFFF"/>
        </w:rPr>
        <w:t>3</w:t>
      </w:r>
      <w:r w:rsidR="00066C36" w:rsidRPr="0070368F">
        <w:rPr>
          <w:shd w:val="clear" w:color="auto" w:fill="FFFFFF"/>
        </w:rPr>
        <w:t> %</w:t>
      </w:r>
      <w:r w:rsidR="00205D19">
        <w:rPr>
          <w:shd w:val="clear" w:color="auto" w:fill="FFFFFF"/>
        </w:rPr>
        <w:t>, але збільшилися</w:t>
      </w:r>
      <w:r w:rsidR="00066C36" w:rsidRPr="0070368F">
        <w:rPr>
          <w:shd w:val="clear" w:color="auto" w:fill="FFFFFF"/>
        </w:rPr>
        <w:t xml:space="preserve"> </w:t>
      </w:r>
      <w:r w:rsidR="00205D19">
        <w:rPr>
          <w:shd w:val="clear" w:color="auto" w:fill="FFFFFF"/>
        </w:rPr>
        <w:t>на</w:t>
      </w:r>
      <w:r w:rsidR="00066C36" w:rsidRPr="0070368F">
        <w:rPr>
          <w:shd w:val="clear" w:color="auto" w:fill="FFFFFF"/>
        </w:rPr>
        <w:t xml:space="preserve"> </w:t>
      </w:r>
      <w:r w:rsidR="00205D19">
        <w:rPr>
          <w:shd w:val="clear" w:color="auto" w:fill="FFFFFF"/>
        </w:rPr>
        <w:t>0</w:t>
      </w:r>
      <w:r w:rsidR="00066C36" w:rsidRPr="0070368F">
        <w:rPr>
          <w:shd w:val="clear" w:color="auto" w:fill="FFFFFF"/>
        </w:rPr>
        <w:t>,</w:t>
      </w:r>
      <w:r w:rsidR="00205D19">
        <w:rPr>
          <w:shd w:val="clear" w:color="auto" w:fill="FFFFFF"/>
        </w:rPr>
        <w:t>1</w:t>
      </w:r>
      <w:r w:rsidR="00066C36" w:rsidRPr="0070368F">
        <w:rPr>
          <w:shd w:val="clear" w:color="auto" w:fill="FFFFFF"/>
        </w:rPr>
        <w:t xml:space="preserve"> % відповідно до </w:t>
      </w:r>
      <w:r>
        <w:rPr>
          <w:shd w:val="clear" w:color="auto" w:fill="FFFFFF"/>
        </w:rPr>
        <w:t>2</w:t>
      </w:r>
      <w:r w:rsidR="00066C36" w:rsidRPr="0070368F">
        <w:rPr>
          <w:shd w:val="clear" w:color="auto" w:fill="FFFFFF"/>
        </w:rPr>
        <w:t>0</w:t>
      </w:r>
      <w:r w:rsidR="00205D19">
        <w:rPr>
          <w:shd w:val="clear" w:color="auto" w:fill="FFFFFF"/>
        </w:rPr>
        <w:t>20</w:t>
      </w:r>
      <w:r w:rsidR="00066C36" w:rsidRPr="0070368F">
        <w:rPr>
          <w:shd w:val="clear" w:color="auto" w:fill="FFFFFF"/>
        </w:rPr>
        <w:t> р</w:t>
      </w:r>
      <w:r>
        <w:rPr>
          <w:shd w:val="clear" w:color="auto" w:fill="FFFFFF"/>
        </w:rPr>
        <w:t>оку</w:t>
      </w:r>
      <w:r w:rsidR="00066C36" w:rsidRPr="0070368F">
        <w:rPr>
          <w:shd w:val="clear" w:color="auto" w:fill="FFFFFF"/>
        </w:rPr>
        <w:t xml:space="preserve"> і становили 15</w:t>
      </w:r>
      <w:r w:rsidR="00205D19">
        <w:rPr>
          <w:shd w:val="clear" w:color="auto" w:fill="FFFFFF"/>
        </w:rPr>
        <w:t>9</w:t>
      </w:r>
      <w:r w:rsidR="00066C36" w:rsidRPr="0070368F">
        <w:rPr>
          <w:shd w:val="clear" w:color="auto" w:fill="FFFFFF"/>
        </w:rPr>
        <w:t>,</w:t>
      </w:r>
      <w:r>
        <w:rPr>
          <w:shd w:val="clear" w:color="auto" w:fill="FFFFFF"/>
        </w:rPr>
        <w:t>4</w:t>
      </w:r>
      <w:r w:rsidR="00066C36" w:rsidRPr="0070368F">
        <w:rPr>
          <w:shd w:val="clear" w:color="auto" w:fill="FFFFFF"/>
          <w:lang w:val="en-US"/>
        </w:rPr>
        <w:t> </w:t>
      </w:r>
      <w:r w:rsidR="00196B9B" w:rsidRPr="0070368F">
        <w:rPr>
          <w:shd w:val="clear" w:color="auto" w:fill="FFFFFF"/>
        </w:rPr>
        <w:t>млн.</w:t>
      </w:r>
      <w:r w:rsidR="00196B9B" w:rsidRPr="0070368F">
        <w:rPr>
          <w:shd w:val="clear" w:color="auto" w:fill="FFFFFF"/>
          <w:lang w:val="en-US"/>
        </w:rPr>
        <w:t> </w:t>
      </w:r>
      <w:r w:rsidR="00196B9B" w:rsidRPr="0070368F">
        <w:rPr>
          <w:shd w:val="clear" w:color="auto" w:fill="FFFFFF"/>
        </w:rPr>
        <w:t>т</w:t>
      </w:r>
      <w:r w:rsidR="00196B9B" w:rsidRPr="0070368F">
        <w:rPr>
          <w:shd w:val="clear" w:color="auto" w:fill="FFFFFF"/>
          <w:lang w:val="en-US"/>
        </w:rPr>
        <w:t> </w:t>
      </w:r>
      <w:r w:rsidR="00196B9B" w:rsidRPr="0070368F">
        <w:rPr>
          <w:shd w:val="clear" w:color="auto" w:fill="FFFFFF"/>
        </w:rPr>
        <w:t>СО</w:t>
      </w:r>
      <w:r w:rsidR="00196B9B" w:rsidRPr="0070368F">
        <w:rPr>
          <w:bdr w:val="none" w:sz="0" w:space="0" w:color="auto" w:frame="1"/>
          <w:shd w:val="clear" w:color="auto" w:fill="FFFFFF"/>
          <w:vertAlign w:val="subscript"/>
        </w:rPr>
        <w:t>2</w:t>
      </w:r>
      <w:r w:rsidR="00196B9B" w:rsidRPr="00196B9B">
        <w:rPr>
          <w:shd w:val="clear" w:color="auto" w:fill="FFFFFF"/>
        </w:rPr>
        <w:t>-</w:t>
      </w:r>
      <w:r w:rsidR="00196B9B" w:rsidRPr="008D26D7">
        <w:rPr>
          <w:shd w:val="clear" w:color="auto" w:fill="FFFFFF"/>
        </w:rPr>
        <w:t>еквіваленту</w:t>
      </w:r>
      <w:r w:rsidR="00066C36" w:rsidRPr="0070368F">
        <w:rPr>
          <w:shd w:val="clear" w:color="auto" w:fill="FFFFFF"/>
        </w:rPr>
        <w:t xml:space="preserve">. </w:t>
      </w:r>
      <w:r w:rsidR="00FC0000" w:rsidRPr="0070368F">
        <w:rPr>
          <w:shd w:val="clear" w:color="auto" w:fill="FFFFFF"/>
        </w:rPr>
        <w:t xml:space="preserve">Найбільша частка викидів у цій категорії припадає на </w:t>
      </w:r>
      <w:proofErr w:type="spellStart"/>
      <w:r w:rsidR="00FC0000" w:rsidRPr="0070368F">
        <w:rPr>
          <w:shd w:val="clear" w:color="auto" w:fill="FFFFFF"/>
        </w:rPr>
        <w:t>підкатегорію</w:t>
      </w:r>
      <w:proofErr w:type="spellEnd"/>
      <w:r w:rsidR="00FC0000" w:rsidRPr="0070368F">
        <w:rPr>
          <w:shd w:val="clear" w:color="auto" w:fill="FFFFFF"/>
        </w:rPr>
        <w:t xml:space="preserve"> </w:t>
      </w:r>
      <w:r w:rsidR="00FC0000" w:rsidRPr="0070368F">
        <w:rPr>
          <w:bdr w:val="none" w:sz="0" w:space="0" w:color="auto" w:frame="1"/>
        </w:rPr>
        <w:t>1.A.1 «Енергети</w:t>
      </w:r>
      <w:r w:rsidR="00CD13DA" w:rsidRPr="0070368F">
        <w:rPr>
          <w:bdr w:val="none" w:sz="0" w:space="0" w:color="auto" w:frame="1"/>
        </w:rPr>
        <w:t>чні галузі</w:t>
      </w:r>
      <w:r w:rsidR="00FC0000" w:rsidRPr="0070368F">
        <w:rPr>
          <w:bdr w:val="none" w:sz="0" w:space="0" w:color="auto" w:frame="1"/>
        </w:rPr>
        <w:t>» (8</w:t>
      </w:r>
      <w:r w:rsidR="00205D19">
        <w:rPr>
          <w:bdr w:val="none" w:sz="0" w:space="0" w:color="auto" w:frame="1"/>
        </w:rPr>
        <w:t>5</w:t>
      </w:r>
      <w:r w:rsidR="00FC0000" w:rsidRPr="0070368F">
        <w:rPr>
          <w:bdr w:val="none" w:sz="0" w:space="0" w:color="auto" w:frame="1"/>
        </w:rPr>
        <w:t>,</w:t>
      </w:r>
      <w:r w:rsidR="00205D19">
        <w:rPr>
          <w:bdr w:val="none" w:sz="0" w:space="0" w:color="auto" w:frame="1"/>
        </w:rPr>
        <w:t>2</w:t>
      </w:r>
      <w:r w:rsidR="00FC0000" w:rsidRPr="0070368F">
        <w:rPr>
          <w:shd w:val="clear" w:color="auto" w:fill="FFFFFF"/>
          <w:lang w:val="en-US"/>
        </w:rPr>
        <w:t> </w:t>
      </w:r>
      <w:r w:rsidR="00196B9B" w:rsidRPr="0070368F">
        <w:rPr>
          <w:shd w:val="clear" w:color="auto" w:fill="FFFFFF"/>
        </w:rPr>
        <w:t>млн.</w:t>
      </w:r>
      <w:r w:rsidR="00196B9B" w:rsidRPr="0070368F">
        <w:rPr>
          <w:shd w:val="clear" w:color="auto" w:fill="FFFFFF"/>
          <w:lang w:val="en-US"/>
        </w:rPr>
        <w:t> </w:t>
      </w:r>
      <w:r w:rsidR="00196B9B" w:rsidRPr="0070368F">
        <w:rPr>
          <w:shd w:val="clear" w:color="auto" w:fill="FFFFFF"/>
        </w:rPr>
        <w:t>т</w:t>
      </w:r>
      <w:r w:rsidR="00196B9B" w:rsidRPr="0070368F">
        <w:rPr>
          <w:shd w:val="clear" w:color="auto" w:fill="FFFFFF"/>
          <w:lang w:val="en-US"/>
        </w:rPr>
        <w:t> </w:t>
      </w:r>
      <w:r w:rsidR="00196B9B" w:rsidRPr="0070368F">
        <w:rPr>
          <w:shd w:val="clear" w:color="auto" w:fill="FFFFFF"/>
        </w:rPr>
        <w:t>СО</w:t>
      </w:r>
      <w:r w:rsidR="00196B9B" w:rsidRPr="0070368F">
        <w:rPr>
          <w:bdr w:val="none" w:sz="0" w:space="0" w:color="auto" w:frame="1"/>
          <w:shd w:val="clear" w:color="auto" w:fill="FFFFFF"/>
          <w:vertAlign w:val="subscript"/>
        </w:rPr>
        <w:t>2</w:t>
      </w:r>
      <w:r w:rsidR="00196B9B" w:rsidRPr="00196B9B">
        <w:rPr>
          <w:shd w:val="clear" w:color="auto" w:fill="FFFFFF"/>
        </w:rPr>
        <w:t>-</w:t>
      </w:r>
      <w:r w:rsidR="00196B9B" w:rsidRPr="008D26D7">
        <w:rPr>
          <w:shd w:val="clear" w:color="auto" w:fill="FFFFFF"/>
        </w:rPr>
        <w:t>еквіваленту</w:t>
      </w:r>
      <w:r w:rsidR="00FC0000" w:rsidRPr="0070368F">
        <w:rPr>
          <w:bdr w:val="none" w:sz="0" w:space="0" w:color="auto" w:frame="1"/>
        </w:rPr>
        <w:t xml:space="preserve">, або близько </w:t>
      </w:r>
      <w:r w:rsidR="00205D19">
        <w:rPr>
          <w:bdr w:val="none" w:sz="0" w:space="0" w:color="auto" w:frame="1"/>
        </w:rPr>
        <w:t>42</w:t>
      </w:r>
      <w:r w:rsidR="00FC0000" w:rsidRPr="0070368F">
        <w:rPr>
          <w:bdr w:val="none" w:sz="0" w:space="0" w:color="auto" w:frame="1"/>
        </w:rPr>
        <w:t> %), у якій викиди скоротилися на 68,</w:t>
      </w:r>
      <w:r w:rsidR="00205D19">
        <w:rPr>
          <w:bdr w:val="none" w:sz="0" w:space="0" w:color="auto" w:frame="1"/>
        </w:rPr>
        <w:t>7</w:t>
      </w:r>
      <w:r w:rsidR="00FC0000" w:rsidRPr="0070368F">
        <w:rPr>
          <w:bdr w:val="none" w:sz="0" w:space="0" w:color="auto" w:frame="1"/>
        </w:rPr>
        <w:t> % порівняно з базовим 1990 р</w:t>
      </w:r>
      <w:r w:rsidR="00205D19">
        <w:rPr>
          <w:bdr w:val="none" w:sz="0" w:space="0" w:color="auto" w:frame="1"/>
        </w:rPr>
        <w:t>оком</w:t>
      </w:r>
      <w:r w:rsidR="00FC0000" w:rsidRPr="0070368F">
        <w:rPr>
          <w:bdr w:val="none" w:sz="0" w:space="0" w:color="auto" w:frame="1"/>
        </w:rPr>
        <w:t xml:space="preserve"> та на </w:t>
      </w:r>
      <w:r w:rsidR="00205D19">
        <w:rPr>
          <w:bdr w:val="none" w:sz="0" w:space="0" w:color="auto" w:frame="1"/>
        </w:rPr>
        <w:t>0</w:t>
      </w:r>
      <w:r w:rsidR="00FC0000" w:rsidRPr="0070368F">
        <w:rPr>
          <w:bdr w:val="none" w:sz="0" w:space="0" w:color="auto" w:frame="1"/>
        </w:rPr>
        <w:t>,</w:t>
      </w:r>
      <w:r w:rsidR="00205D19">
        <w:rPr>
          <w:bdr w:val="none" w:sz="0" w:space="0" w:color="auto" w:frame="1"/>
        </w:rPr>
        <w:t>1</w:t>
      </w:r>
      <w:r w:rsidR="00FC0000" w:rsidRPr="0070368F">
        <w:rPr>
          <w:bdr w:val="none" w:sz="0" w:space="0" w:color="auto" w:frame="1"/>
        </w:rPr>
        <w:t> % порівняно з 20</w:t>
      </w:r>
      <w:r w:rsidR="00205D19">
        <w:rPr>
          <w:bdr w:val="none" w:sz="0" w:space="0" w:color="auto" w:frame="1"/>
        </w:rPr>
        <w:t>20</w:t>
      </w:r>
      <w:r w:rsidR="00FC0000" w:rsidRPr="0070368F">
        <w:rPr>
          <w:bdr w:val="none" w:sz="0" w:space="0" w:color="auto" w:frame="1"/>
        </w:rPr>
        <w:t> р</w:t>
      </w:r>
      <w:r>
        <w:rPr>
          <w:bdr w:val="none" w:sz="0" w:space="0" w:color="auto" w:frame="1"/>
        </w:rPr>
        <w:t>оком</w:t>
      </w:r>
      <w:r w:rsidR="00FC0000" w:rsidRPr="0070368F">
        <w:rPr>
          <w:bdr w:val="none" w:sz="0" w:space="0" w:color="auto" w:frame="1"/>
        </w:rPr>
        <w:t xml:space="preserve">. Викиди </w:t>
      </w:r>
      <w:proofErr w:type="spellStart"/>
      <w:r w:rsidR="00FC0000" w:rsidRPr="0070368F">
        <w:rPr>
          <w:bdr w:val="none" w:sz="0" w:space="0" w:color="auto" w:frame="1"/>
        </w:rPr>
        <w:t>ПГ</w:t>
      </w:r>
      <w:proofErr w:type="spellEnd"/>
      <w:r w:rsidR="00FC0000" w:rsidRPr="0070368F">
        <w:rPr>
          <w:bdr w:val="none" w:sz="0" w:space="0" w:color="auto" w:frame="1"/>
        </w:rPr>
        <w:t xml:space="preserve"> в категорії 1.B «</w:t>
      </w:r>
      <w:r w:rsidR="00CD13DA" w:rsidRPr="0070368F">
        <w:rPr>
          <w:bdr w:val="none" w:sz="0" w:space="0" w:color="auto" w:frame="1"/>
        </w:rPr>
        <w:t>Леткі</w:t>
      </w:r>
      <w:r w:rsidR="00FC0000" w:rsidRPr="0070368F">
        <w:rPr>
          <w:bdr w:val="none" w:sz="0" w:space="0" w:color="auto" w:frame="1"/>
        </w:rPr>
        <w:t xml:space="preserve"> викиди від палива» становили близько 24 % (50,</w:t>
      </w:r>
      <w:r>
        <w:rPr>
          <w:bdr w:val="none" w:sz="0" w:space="0" w:color="auto" w:frame="1"/>
        </w:rPr>
        <w:t>4</w:t>
      </w:r>
      <w:r w:rsidR="00FC0000" w:rsidRPr="0070368F">
        <w:rPr>
          <w:shd w:val="clear" w:color="auto" w:fill="FFFFFF"/>
          <w:lang w:val="en-US"/>
        </w:rPr>
        <w:t> </w:t>
      </w:r>
      <w:r w:rsidR="00196B9B" w:rsidRPr="0070368F">
        <w:rPr>
          <w:shd w:val="clear" w:color="auto" w:fill="FFFFFF"/>
        </w:rPr>
        <w:t>млн.</w:t>
      </w:r>
      <w:r w:rsidR="00196B9B" w:rsidRPr="0070368F">
        <w:rPr>
          <w:shd w:val="clear" w:color="auto" w:fill="FFFFFF"/>
          <w:lang w:val="en-US"/>
        </w:rPr>
        <w:t> </w:t>
      </w:r>
      <w:r w:rsidR="00196B9B" w:rsidRPr="0070368F">
        <w:rPr>
          <w:shd w:val="clear" w:color="auto" w:fill="FFFFFF"/>
        </w:rPr>
        <w:t>т</w:t>
      </w:r>
      <w:r w:rsidR="00196B9B" w:rsidRPr="0070368F">
        <w:rPr>
          <w:shd w:val="clear" w:color="auto" w:fill="FFFFFF"/>
          <w:lang w:val="en-US"/>
        </w:rPr>
        <w:t> </w:t>
      </w:r>
      <w:r w:rsidR="00196B9B" w:rsidRPr="0070368F">
        <w:rPr>
          <w:shd w:val="clear" w:color="auto" w:fill="FFFFFF"/>
        </w:rPr>
        <w:t>СО</w:t>
      </w:r>
      <w:r w:rsidR="00196B9B" w:rsidRPr="0070368F">
        <w:rPr>
          <w:bdr w:val="none" w:sz="0" w:space="0" w:color="auto" w:frame="1"/>
          <w:shd w:val="clear" w:color="auto" w:fill="FFFFFF"/>
          <w:vertAlign w:val="subscript"/>
        </w:rPr>
        <w:t>2</w:t>
      </w:r>
      <w:r w:rsidR="00196B9B" w:rsidRPr="00196B9B">
        <w:rPr>
          <w:shd w:val="clear" w:color="auto" w:fill="FFFFFF"/>
        </w:rPr>
        <w:t>-</w:t>
      </w:r>
      <w:r w:rsidR="00196B9B" w:rsidRPr="008D26D7">
        <w:rPr>
          <w:shd w:val="clear" w:color="auto" w:fill="FFFFFF"/>
        </w:rPr>
        <w:t>еквіваленту</w:t>
      </w:r>
      <w:r w:rsidR="00FC0000" w:rsidRPr="0070368F">
        <w:rPr>
          <w:bdr w:val="none" w:sz="0" w:space="0" w:color="auto" w:frame="1"/>
        </w:rPr>
        <w:t>) від загального обсягу викидів у секторі «Енергетика»</w:t>
      </w:r>
      <w:r>
        <w:rPr>
          <w:bdr w:val="none" w:sz="0" w:space="0" w:color="auto" w:frame="1"/>
        </w:rPr>
        <w:t xml:space="preserve"> та</w:t>
      </w:r>
      <w:r w:rsidR="00FC0000" w:rsidRPr="0070368F">
        <w:rPr>
          <w:bdr w:val="none" w:sz="0" w:space="0" w:color="auto" w:frame="1"/>
        </w:rPr>
        <w:t xml:space="preserve"> скоротилися на 60,</w:t>
      </w:r>
      <w:r w:rsidR="00205D19">
        <w:rPr>
          <w:bdr w:val="none" w:sz="0" w:space="0" w:color="auto" w:frame="1"/>
        </w:rPr>
        <w:t>5</w:t>
      </w:r>
      <w:r w:rsidR="00FC0000" w:rsidRPr="0070368F">
        <w:rPr>
          <w:bdr w:val="none" w:sz="0" w:space="0" w:color="auto" w:frame="1"/>
        </w:rPr>
        <w:t> % порівняно з 1990 р</w:t>
      </w:r>
      <w:r>
        <w:rPr>
          <w:bdr w:val="none" w:sz="0" w:space="0" w:color="auto" w:frame="1"/>
        </w:rPr>
        <w:t>оком, але</w:t>
      </w:r>
      <w:r w:rsidR="00205D19">
        <w:rPr>
          <w:bdr w:val="none" w:sz="0" w:space="0" w:color="auto" w:frame="1"/>
        </w:rPr>
        <w:t xml:space="preserve"> залишилися приблизно такими ж, як у 2020 році</w:t>
      </w:r>
      <w:r w:rsidR="00FC0000" w:rsidRPr="0070368F">
        <w:rPr>
          <w:bdr w:val="none" w:sz="0" w:space="0" w:color="auto" w:frame="1"/>
        </w:rPr>
        <w:t>.</w:t>
      </w:r>
      <w:r w:rsidR="00205D19">
        <w:rPr>
          <w:bdr w:val="none" w:sz="0" w:space="0" w:color="auto" w:frame="1"/>
        </w:rPr>
        <w:t xml:space="preserve"> Найбільше зростання викидів парникових газів </w:t>
      </w:r>
      <w:r w:rsidR="000C51DB">
        <w:rPr>
          <w:bdr w:val="none" w:sz="0" w:space="0" w:color="auto" w:frame="1"/>
        </w:rPr>
        <w:t xml:space="preserve">в 2021 році в порівнянні із 2020 роком спостерігалось у </w:t>
      </w:r>
      <w:proofErr w:type="spellStart"/>
      <w:r w:rsidR="000C51DB">
        <w:rPr>
          <w:bdr w:val="none" w:sz="0" w:space="0" w:color="auto" w:frame="1"/>
        </w:rPr>
        <w:t>підкатегорії</w:t>
      </w:r>
      <w:proofErr w:type="spellEnd"/>
      <w:r w:rsidR="000C51DB">
        <w:rPr>
          <w:bdr w:val="none" w:sz="0" w:space="0" w:color="auto" w:frame="1"/>
        </w:rPr>
        <w:t xml:space="preserve"> «Виробничі галузі та будівництво» і «Транспорт» (6,0 % та 5,9 % відповідно), які можна вважати індикаторами відновлення економіки України після суворих карантинних обмежень у 2020 році.</w:t>
      </w:r>
    </w:p>
    <w:p w:rsidR="00913F7B" w:rsidRPr="0070368F" w:rsidRDefault="009B6A64" w:rsidP="005D5CF0">
      <w:pPr>
        <w:pStyle w:val="a3"/>
        <w:shd w:val="clear" w:color="auto" w:fill="FFFFFF"/>
        <w:spacing w:before="0" w:beforeAutospacing="0" w:after="0" w:afterAutospacing="0" w:line="276" w:lineRule="auto"/>
        <w:ind w:firstLine="567"/>
        <w:jc w:val="both"/>
      </w:pPr>
      <w:r>
        <w:t>У</w:t>
      </w:r>
      <w:r w:rsidR="00913F7B" w:rsidRPr="0070368F">
        <w:t xml:space="preserve"> секторі «Промислові процеси та використання продуктів» у 202</w:t>
      </w:r>
      <w:r w:rsidR="000C51DB">
        <w:t>1</w:t>
      </w:r>
      <w:r w:rsidR="00913F7B" w:rsidRPr="0070368F">
        <w:t xml:space="preserve"> році</w:t>
      </w:r>
      <w:r w:rsidR="000C51DB">
        <w:t xml:space="preserve"> </w:t>
      </w:r>
      <w:r>
        <w:t xml:space="preserve">викиди </w:t>
      </w:r>
      <w:proofErr w:type="spellStart"/>
      <w:r>
        <w:t>ПГ</w:t>
      </w:r>
      <w:proofErr w:type="spellEnd"/>
      <w:r>
        <w:t xml:space="preserve"> зросли виросли на 9,8 % у</w:t>
      </w:r>
      <w:r w:rsidR="000C51DB">
        <w:t xml:space="preserve"> порівнянні з 2020 роком</w:t>
      </w:r>
      <w:r w:rsidR="00995DEE">
        <w:t xml:space="preserve">. </w:t>
      </w:r>
      <w:r>
        <w:t>Це зростання відбулось</w:t>
      </w:r>
      <w:r w:rsidR="00995DEE">
        <w:t xml:space="preserve"> в усіх ключових категоріях: </w:t>
      </w:r>
      <w:r w:rsidR="00995DEE" w:rsidRPr="0070368F">
        <w:t xml:space="preserve">«Виробництво </w:t>
      </w:r>
      <w:r w:rsidR="00995DEE">
        <w:t>мінеральної продукції</w:t>
      </w:r>
      <w:r w:rsidR="00995DEE" w:rsidRPr="0070368F">
        <w:t>»</w:t>
      </w:r>
      <w:r w:rsidR="00995DEE">
        <w:t xml:space="preserve">, </w:t>
      </w:r>
      <w:r w:rsidR="00995DEE" w:rsidRPr="0070368F">
        <w:t>«</w:t>
      </w:r>
      <w:r w:rsidR="008375FA">
        <w:t>Металургія</w:t>
      </w:r>
      <w:r w:rsidR="00995DEE" w:rsidRPr="0070368F">
        <w:t>»</w:t>
      </w:r>
      <w:r w:rsidR="008375FA">
        <w:t xml:space="preserve"> та «Хімічна промисловість». </w:t>
      </w:r>
      <w:r w:rsidR="00D94C6C">
        <w:t xml:space="preserve">Головним </w:t>
      </w:r>
      <w:r w:rsidR="008375FA">
        <w:t>чинник</w:t>
      </w:r>
      <w:r w:rsidR="00D94C6C">
        <w:t>ом такого зростання</w:t>
      </w:r>
      <w:r w:rsidR="008375FA">
        <w:t xml:space="preserve"> викидів</w:t>
      </w:r>
      <w:r w:rsidR="00D94C6C">
        <w:t xml:space="preserve"> </w:t>
      </w:r>
      <w:proofErr w:type="spellStart"/>
      <w:r w:rsidR="00D94C6C">
        <w:t>ПГ</w:t>
      </w:r>
      <w:proofErr w:type="spellEnd"/>
      <w:r w:rsidR="008375FA">
        <w:t xml:space="preserve"> є процес відновлення економіки України після карантинних обмежень </w:t>
      </w:r>
      <w:r w:rsidR="00D94C6C">
        <w:t>у</w:t>
      </w:r>
      <w:r w:rsidR="008375FA">
        <w:t xml:space="preserve"> 2020 році.</w:t>
      </w:r>
      <w:r w:rsidR="00D94C6C">
        <w:t xml:space="preserve"> При цьому, в</w:t>
      </w:r>
      <w:r w:rsidR="00913F7B" w:rsidRPr="0070368F">
        <w:t xml:space="preserve">икиди </w:t>
      </w:r>
      <w:proofErr w:type="spellStart"/>
      <w:r w:rsidR="00D94C6C">
        <w:t>ПГ</w:t>
      </w:r>
      <w:proofErr w:type="spellEnd"/>
      <w:r w:rsidR="00D94C6C">
        <w:t xml:space="preserve"> </w:t>
      </w:r>
      <w:r w:rsidR="00913F7B" w:rsidRPr="0070368F">
        <w:t xml:space="preserve">в </w:t>
      </w:r>
      <w:r w:rsidR="00D94C6C">
        <w:t xml:space="preserve">секторі у 2021 році </w:t>
      </w:r>
      <w:r w:rsidR="00D94C6C" w:rsidRPr="0070368F">
        <w:t xml:space="preserve">значно зменшились (на </w:t>
      </w:r>
      <w:r w:rsidR="00D94C6C">
        <w:t>48</w:t>
      </w:r>
      <w:r w:rsidR="00D94C6C" w:rsidRPr="0070368F">
        <w:t>,</w:t>
      </w:r>
      <w:r w:rsidR="00D94C6C">
        <w:t>0 </w:t>
      </w:r>
      <w:r w:rsidR="00D94C6C" w:rsidRPr="0070368F">
        <w:t>%)</w:t>
      </w:r>
      <w:r w:rsidR="00913F7B" w:rsidRPr="0070368F">
        <w:t xml:space="preserve"> порівняно з базовим 1990 роком, що пов’язано зі зменшенням промислового виробництва в металургійній промисловості на </w:t>
      </w:r>
      <w:r w:rsidR="00913F7B" w:rsidRPr="0070368F">
        <w:lastRenderedPageBreak/>
        <w:t>5</w:t>
      </w:r>
      <w:r w:rsidR="008375FA">
        <w:t>0</w:t>
      </w:r>
      <w:r w:rsidR="00913F7B" w:rsidRPr="0070368F">
        <w:t xml:space="preserve">%, хімічній промисловості на </w:t>
      </w:r>
      <w:r w:rsidR="008375FA">
        <w:t>43</w:t>
      </w:r>
      <w:r w:rsidR="00913F7B" w:rsidRPr="0070368F">
        <w:t xml:space="preserve">% та виробництві іншої неметалевої мінеральної продукції на 53% через зменшення обсягів споживання палива та сировини та зменшення обсягів виробництва продукції підприємствами, а також закриттям багатьох підприємств, </w:t>
      </w:r>
      <w:r w:rsidR="00D94C6C">
        <w:t xml:space="preserve">після </w:t>
      </w:r>
      <w:r w:rsidR="00913F7B" w:rsidRPr="0070368F">
        <w:t>розпад</w:t>
      </w:r>
      <w:r w:rsidR="00D94C6C">
        <w:t>у</w:t>
      </w:r>
      <w:r w:rsidR="00913F7B" w:rsidRPr="0070368F">
        <w:t xml:space="preserve"> СРСР.</w:t>
      </w:r>
    </w:p>
    <w:p w:rsidR="00DC508A" w:rsidRDefault="0028683D" w:rsidP="005D5CF0">
      <w:pPr>
        <w:pStyle w:val="a3"/>
        <w:shd w:val="clear" w:color="auto" w:fill="FFFFFF"/>
        <w:spacing w:before="0" w:beforeAutospacing="0" w:after="0" w:afterAutospacing="0" w:line="276" w:lineRule="auto"/>
        <w:ind w:firstLine="567"/>
        <w:jc w:val="both"/>
      </w:pPr>
      <w:r w:rsidRPr="0070368F">
        <w:t xml:space="preserve">Сумарні викиди </w:t>
      </w:r>
      <w:r w:rsidR="008375FA">
        <w:t>парникових газів</w:t>
      </w:r>
      <w:r w:rsidRPr="0070368F">
        <w:t xml:space="preserve"> у секторі «Сільське господарство» у 20</w:t>
      </w:r>
      <w:r w:rsidR="00DD053F" w:rsidRPr="0070368F">
        <w:t>2</w:t>
      </w:r>
      <w:r w:rsidR="008375FA">
        <w:t>1</w:t>
      </w:r>
      <w:r w:rsidRPr="0070368F">
        <w:t xml:space="preserve"> році </w:t>
      </w:r>
      <w:r w:rsidR="008375FA">
        <w:t>зросли</w:t>
      </w:r>
      <w:r w:rsidRPr="0070368F">
        <w:t xml:space="preserve"> на </w:t>
      </w:r>
      <w:r w:rsidR="008375FA">
        <w:t>12</w:t>
      </w:r>
      <w:r w:rsidR="00DD053F" w:rsidRPr="0070368F">
        <w:t>,</w:t>
      </w:r>
      <w:r w:rsidR="008375FA">
        <w:t>8</w:t>
      </w:r>
      <w:r w:rsidR="00DD053F" w:rsidRPr="0070368F">
        <w:t> </w:t>
      </w:r>
      <w:r w:rsidRPr="0070368F">
        <w:t>% порівняно з попереднім роком</w:t>
      </w:r>
      <w:r w:rsidR="00D94C6C">
        <w:t>,</w:t>
      </w:r>
      <w:r w:rsidR="008375FA">
        <w:t xml:space="preserve"> зокрема за рахунок зростання викидів парникових газів від сільськогосподарських ґрунтів</w:t>
      </w:r>
      <w:r w:rsidR="00DC508A">
        <w:t xml:space="preserve"> (на 18,0 % у порівнянні із 2020 роком)</w:t>
      </w:r>
      <w:r w:rsidR="008375FA">
        <w:t xml:space="preserve">, що пов’язано із значно більшим </w:t>
      </w:r>
      <w:r w:rsidR="00DC508A">
        <w:t>обсягом</w:t>
      </w:r>
      <w:r w:rsidR="008375FA">
        <w:t xml:space="preserve"> зібраного урожаю</w:t>
      </w:r>
      <w:r w:rsidR="00DC508A">
        <w:t xml:space="preserve"> та дещо більшими обсягами внесення неорганічних азотних добрив</w:t>
      </w:r>
      <w:r w:rsidR="008375FA">
        <w:t>.</w:t>
      </w:r>
      <w:r w:rsidR="00DC508A">
        <w:t xml:space="preserve"> </w:t>
      </w:r>
      <w:r w:rsidR="00DD053F" w:rsidRPr="0070368F">
        <w:t>Істотне скорочення поголів’я сільськогосподарських тварин, зокрема великої рогатої худоби (за звітний період поголів’я великої рогатої худоби скоротилося на 8</w:t>
      </w:r>
      <w:r w:rsidR="00DC508A">
        <w:t>8</w:t>
      </w:r>
      <w:r w:rsidR="00DD053F" w:rsidRPr="0070368F">
        <w:t>,</w:t>
      </w:r>
      <w:r w:rsidR="00DC508A">
        <w:t>1</w:t>
      </w:r>
      <w:r w:rsidR="00DD053F" w:rsidRPr="0070368F">
        <w:t xml:space="preserve"> % </w:t>
      </w:r>
      <w:r w:rsidR="00D94C6C">
        <w:t xml:space="preserve">- </w:t>
      </w:r>
      <w:r w:rsidR="00DD053F" w:rsidRPr="0070368F">
        <w:t>з 24,9</w:t>
      </w:r>
      <w:r w:rsidR="00122D49" w:rsidRPr="0070368F">
        <w:t> </w:t>
      </w:r>
      <w:r w:rsidR="00DD053F" w:rsidRPr="0070368F">
        <w:t>млн</w:t>
      </w:r>
      <w:r w:rsidR="00D94C6C">
        <w:t>.</w:t>
      </w:r>
      <w:r w:rsidR="00DD053F" w:rsidRPr="0070368F">
        <w:t xml:space="preserve"> до 3,</w:t>
      </w:r>
      <w:r w:rsidR="00DC508A">
        <w:t>0</w:t>
      </w:r>
      <w:r w:rsidR="00122D49" w:rsidRPr="0070368F">
        <w:t> </w:t>
      </w:r>
      <w:r w:rsidR="00DD053F" w:rsidRPr="0070368F">
        <w:t>млн</w:t>
      </w:r>
      <w:r w:rsidR="00D94C6C">
        <w:t>.</w:t>
      </w:r>
      <w:r w:rsidR="00DD053F" w:rsidRPr="0070368F">
        <w:t xml:space="preserve"> голів) призвело до зниження викидів </w:t>
      </w:r>
      <w:proofErr w:type="spellStart"/>
      <w:r w:rsidR="00DD053F" w:rsidRPr="0070368F">
        <w:t>ПГ</w:t>
      </w:r>
      <w:proofErr w:type="spellEnd"/>
      <w:r w:rsidR="00DD053F" w:rsidRPr="0070368F">
        <w:t xml:space="preserve"> у</w:t>
      </w:r>
      <w:r w:rsidR="00D94C6C">
        <w:t xml:space="preserve"> 2021 році відносно 1990 та 2020 років для</w:t>
      </w:r>
      <w:r w:rsidR="00DD053F" w:rsidRPr="0070368F">
        <w:t xml:space="preserve"> категорі</w:t>
      </w:r>
      <w:r w:rsidR="00D94C6C">
        <w:t>й</w:t>
      </w:r>
      <w:r w:rsidR="00DD053F" w:rsidRPr="0070368F">
        <w:t xml:space="preserve"> «Кишкова ферментація» (</w:t>
      </w:r>
      <w:r w:rsidR="00D94C6C">
        <w:t xml:space="preserve">відповідно </w:t>
      </w:r>
      <w:r w:rsidR="00DD053F" w:rsidRPr="0070368F">
        <w:t>на 8</w:t>
      </w:r>
      <w:r w:rsidR="00DC508A">
        <w:t>2</w:t>
      </w:r>
      <w:r w:rsidR="00DD053F" w:rsidRPr="0070368F">
        <w:t>,</w:t>
      </w:r>
      <w:r w:rsidR="00DC508A">
        <w:t>1</w:t>
      </w:r>
      <w:r w:rsidR="00FE2D8F">
        <w:t>%</w:t>
      </w:r>
      <w:r w:rsidR="00DD053F" w:rsidRPr="0070368F">
        <w:t xml:space="preserve"> та 5,4 %) та «Прибирання, зберігання та використання гною» (</w:t>
      </w:r>
      <w:r w:rsidR="00D94C6C">
        <w:t xml:space="preserve">відповідно </w:t>
      </w:r>
      <w:r w:rsidR="00DD053F" w:rsidRPr="0070368F">
        <w:t>на 71,</w:t>
      </w:r>
      <w:r w:rsidR="00DC508A">
        <w:t>2</w:t>
      </w:r>
      <w:r w:rsidR="00FE2D8F">
        <w:t>%</w:t>
      </w:r>
      <w:r w:rsidR="00DD053F" w:rsidRPr="0070368F">
        <w:t xml:space="preserve"> та </w:t>
      </w:r>
      <w:r w:rsidR="00DC508A">
        <w:t>1</w:t>
      </w:r>
      <w:r w:rsidR="00DD053F" w:rsidRPr="0070368F">
        <w:t>,</w:t>
      </w:r>
      <w:r w:rsidR="00DC508A">
        <w:t>9</w:t>
      </w:r>
      <w:r w:rsidR="00DD053F" w:rsidRPr="0070368F">
        <w:t> %).</w:t>
      </w:r>
    </w:p>
    <w:p w:rsidR="0028683D" w:rsidRPr="0070368F" w:rsidRDefault="0028683D" w:rsidP="005D5CF0">
      <w:pPr>
        <w:pStyle w:val="a3"/>
        <w:shd w:val="clear" w:color="auto" w:fill="FFFFFF"/>
        <w:spacing w:before="0" w:beforeAutospacing="0" w:after="0" w:afterAutospacing="0" w:line="276" w:lineRule="auto"/>
        <w:ind w:firstLine="567"/>
        <w:jc w:val="both"/>
      </w:pPr>
      <w:r w:rsidRPr="0070368F">
        <w:t xml:space="preserve">Викиди </w:t>
      </w:r>
      <w:proofErr w:type="spellStart"/>
      <w:r w:rsidRPr="0070368F">
        <w:t>ПГ</w:t>
      </w:r>
      <w:proofErr w:type="spellEnd"/>
      <w:r w:rsidRPr="0070368F">
        <w:t xml:space="preserve"> у секторі «Відходи» у 20</w:t>
      </w:r>
      <w:r w:rsidR="009411EB" w:rsidRPr="0070368F">
        <w:t>2</w:t>
      </w:r>
      <w:r w:rsidR="00DC508A">
        <w:t>1</w:t>
      </w:r>
      <w:r w:rsidRPr="0070368F">
        <w:t xml:space="preserve"> році склали 1</w:t>
      </w:r>
      <w:r w:rsidR="009411EB" w:rsidRPr="0070368F">
        <w:t>2</w:t>
      </w:r>
      <w:r w:rsidR="00DC508A">
        <w:t>,2</w:t>
      </w:r>
      <w:r w:rsidR="00081538" w:rsidRPr="0070368F">
        <w:rPr>
          <w:shd w:val="clear" w:color="auto" w:fill="FFFFFF"/>
          <w:lang w:val="en-US"/>
        </w:rPr>
        <w:t> </w:t>
      </w:r>
      <w:r w:rsidR="00196B9B" w:rsidRPr="0070368F">
        <w:rPr>
          <w:shd w:val="clear" w:color="auto" w:fill="FFFFFF"/>
        </w:rPr>
        <w:t>млн.</w:t>
      </w:r>
      <w:r w:rsidR="00196B9B" w:rsidRPr="0070368F">
        <w:rPr>
          <w:shd w:val="clear" w:color="auto" w:fill="FFFFFF"/>
          <w:lang w:val="en-US"/>
        </w:rPr>
        <w:t> </w:t>
      </w:r>
      <w:r w:rsidR="00196B9B" w:rsidRPr="0070368F">
        <w:rPr>
          <w:shd w:val="clear" w:color="auto" w:fill="FFFFFF"/>
        </w:rPr>
        <w:t>т</w:t>
      </w:r>
      <w:r w:rsidR="00196B9B" w:rsidRPr="0070368F">
        <w:rPr>
          <w:shd w:val="clear" w:color="auto" w:fill="FFFFFF"/>
          <w:lang w:val="en-US"/>
        </w:rPr>
        <w:t> </w:t>
      </w:r>
      <w:r w:rsidR="00196B9B" w:rsidRPr="0070368F">
        <w:rPr>
          <w:shd w:val="clear" w:color="auto" w:fill="FFFFFF"/>
        </w:rPr>
        <w:t>СО</w:t>
      </w:r>
      <w:r w:rsidR="00196B9B" w:rsidRPr="0070368F">
        <w:rPr>
          <w:bdr w:val="none" w:sz="0" w:space="0" w:color="auto" w:frame="1"/>
          <w:shd w:val="clear" w:color="auto" w:fill="FFFFFF"/>
          <w:vertAlign w:val="subscript"/>
        </w:rPr>
        <w:t>2</w:t>
      </w:r>
      <w:r w:rsidR="00196B9B" w:rsidRPr="00196B9B">
        <w:rPr>
          <w:shd w:val="clear" w:color="auto" w:fill="FFFFFF"/>
        </w:rPr>
        <w:t>-</w:t>
      </w:r>
      <w:r w:rsidR="00196B9B" w:rsidRPr="008D26D7">
        <w:rPr>
          <w:shd w:val="clear" w:color="auto" w:fill="FFFFFF"/>
        </w:rPr>
        <w:t>еквіваленту</w:t>
      </w:r>
      <w:r w:rsidRPr="0070368F">
        <w:t xml:space="preserve">. Це на </w:t>
      </w:r>
      <w:r w:rsidR="00DC508A">
        <w:t>2</w:t>
      </w:r>
      <w:r w:rsidR="005E5A08" w:rsidRPr="0070368F">
        <w:t>,</w:t>
      </w:r>
      <w:r w:rsidR="00DC508A">
        <w:t>3</w:t>
      </w:r>
      <w:r w:rsidR="00FE2D8F">
        <w:t>%</w:t>
      </w:r>
      <w:r w:rsidR="005E5A08" w:rsidRPr="0070368F">
        <w:t xml:space="preserve"> </w:t>
      </w:r>
      <w:r w:rsidR="00FE2D8F">
        <w:t>та</w:t>
      </w:r>
      <w:r w:rsidR="005E5A08" w:rsidRPr="0070368F">
        <w:t xml:space="preserve"> </w:t>
      </w:r>
      <w:r w:rsidR="00DC508A">
        <w:t>1</w:t>
      </w:r>
      <w:r w:rsidR="005E5A08" w:rsidRPr="0070368F">
        <w:t>,</w:t>
      </w:r>
      <w:r w:rsidR="00DC508A">
        <w:t>7</w:t>
      </w:r>
      <w:r w:rsidR="005E5A08" w:rsidRPr="0070368F">
        <w:t> </w:t>
      </w:r>
      <w:r w:rsidRPr="0070368F">
        <w:t xml:space="preserve">% </w:t>
      </w:r>
      <w:r w:rsidR="005E5A08" w:rsidRPr="0070368F">
        <w:t>менше</w:t>
      </w:r>
      <w:r w:rsidRPr="0070368F">
        <w:t>, ніж у 1990 та 20</w:t>
      </w:r>
      <w:r w:rsidR="00DC508A">
        <w:t>20</w:t>
      </w:r>
      <w:r w:rsidRPr="0070368F">
        <w:t xml:space="preserve"> роках</w:t>
      </w:r>
      <w:r w:rsidR="00DC508A">
        <w:t xml:space="preserve"> відповідно</w:t>
      </w:r>
      <w:r w:rsidRPr="0070368F">
        <w:t xml:space="preserve">. При цьому на категорії «Захоронення твердих побутових відходів на полігонах» та «Поводження з господарсько-побутовими стічними водами» припадає відповідно </w:t>
      </w:r>
      <w:r w:rsidR="005E5A08" w:rsidRPr="0070368F">
        <w:t>6</w:t>
      </w:r>
      <w:r w:rsidR="00DC508A">
        <w:t>3</w:t>
      </w:r>
      <w:r w:rsidR="005E5A08" w:rsidRPr="0070368F">
        <w:t>,</w:t>
      </w:r>
      <w:r w:rsidR="00DC508A">
        <w:t>3</w:t>
      </w:r>
      <w:r w:rsidR="00FE2D8F">
        <w:t>%</w:t>
      </w:r>
      <w:r w:rsidRPr="0070368F">
        <w:t xml:space="preserve"> та 3</w:t>
      </w:r>
      <w:r w:rsidR="00DC508A">
        <w:t>6</w:t>
      </w:r>
      <w:r w:rsidR="005E5A08" w:rsidRPr="0070368F">
        <w:t>,</w:t>
      </w:r>
      <w:r w:rsidR="00DC508A">
        <w:t>4</w:t>
      </w:r>
      <w:r w:rsidR="005E5A08" w:rsidRPr="0070368F">
        <w:t> </w:t>
      </w:r>
      <w:r w:rsidRPr="0070368F">
        <w:t>% від сумарних викидів у секторі. Збільшення викидів метану від захоронення твердих побутових відходів пов’язане із щорічним збільшенням обсягів утворення відходів та домінуючою практикою їх захоронення</w:t>
      </w:r>
      <w:r w:rsidR="005E5A08" w:rsidRPr="0070368F">
        <w:t>.</w:t>
      </w:r>
    </w:p>
    <w:p w:rsidR="0055388B" w:rsidRPr="0070368F" w:rsidRDefault="00A13E67" w:rsidP="005D5CF0">
      <w:pPr>
        <w:pStyle w:val="a3"/>
        <w:shd w:val="clear" w:color="auto" w:fill="FFFFFF"/>
        <w:spacing w:before="0" w:beforeAutospacing="0" w:after="0" w:afterAutospacing="0" w:line="276" w:lineRule="auto"/>
        <w:ind w:firstLine="567"/>
        <w:jc w:val="both"/>
      </w:pPr>
      <w:r w:rsidRPr="009B2350">
        <w:t xml:space="preserve">В секторі ЗЗЗЛГ </w:t>
      </w:r>
      <w:r w:rsidR="009B2350" w:rsidRPr="009B2350">
        <w:t xml:space="preserve">обсяг викидів </w:t>
      </w:r>
      <w:proofErr w:type="spellStart"/>
      <w:r w:rsidR="009B2350" w:rsidRPr="009B2350">
        <w:t>ПГ</w:t>
      </w:r>
      <w:proofErr w:type="spellEnd"/>
      <w:r w:rsidR="009B2350" w:rsidRPr="009B2350">
        <w:t xml:space="preserve"> перевищив їх поглинання в 2008</w:t>
      </w:r>
      <w:r>
        <w:t>,</w:t>
      </w:r>
      <w:r w:rsidR="009B2350" w:rsidRPr="009B2350">
        <w:t xml:space="preserve"> 2011-2019</w:t>
      </w:r>
      <w:r>
        <w:t xml:space="preserve"> та 2021</w:t>
      </w:r>
      <w:r w:rsidR="009B2350" w:rsidRPr="009B2350">
        <w:t xml:space="preserve"> ро</w:t>
      </w:r>
      <w:r>
        <w:t>ці</w:t>
      </w:r>
      <w:r w:rsidR="009B2350" w:rsidRPr="009B2350">
        <w:t xml:space="preserve">, що зумовлено кількома факторами. На фоні деякого коливання поглинання вуглецю живою біомасою лісів, значно зросли викиди вуглецю від рубок, пожеж та інших несприятливих факторів, внаслідок чого знизилось сумарне поглинання категорією «Лісові площі». Таким чином значення загального результуючого поглинання від </w:t>
      </w:r>
      <w:r w:rsidR="006B71A9">
        <w:t xml:space="preserve">цієї </w:t>
      </w:r>
      <w:r w:rsidR="009B2350" w:rsidRPr="009B2350">
        <w:t>категорії в 202</w:t>
      </w:r>
      <w:r>
        <w:t>1</w:t>
      </w:r>
      <w:r w:rsidR="009B2350" w:rsidRPr="009B2350">
        <w:t xml:space="preserve"> році знизилося на </w:t>
      </w:r>
      <w:r w:rsidR="001A443E" w:rsidRPr="001A443E">
        <w:rPr>
          <w:lang w:val="ru-RU"/>
        </w:rPr>
        <w:t>12</w:t>
      </w:r>
      <w:r w:rsidR="009B2350" w:rsidRPr="009B2350">
        <w:t xml:space="preserve"> % в порівнянні із 1990 роком.</w:t>
      </w:r>
      <w:r w:rsidR="006B71A9">
        <w:t xml:space="preserve"> Ок</w:t>
      </w:r>
      <w:r w:rsidR="009B2350" w:rsidRPr="009B2350">
        <w:t xml:space="preserve">рім цього, викиди від ведення рослинництва на сільськогосподарських угіддях має суттєві зміни від року до року. Зокрема, в 1990 році в категорії «Землі, що обробляються» відбувались сумарні поглинання парникових газів на рівні 4,6 </w:t>
      </w:r>
      <w:r w:rsidR="00196B9B" w:rsidRPr="0070368F">
        <w:rPr>
          <w:shd w:val="clear" w:color="auto" w:fill="FFFFFF"/>
        </w:rPr>
        <w:t>млн.</w:t>
      </w:r>
      <w:r w:rsidR="00196B9B" w:rsidRPr="0070368F">
        <w:rPr>
          <w:shd w:val="clear" w:color="auto" w:fill="FFFFFF"/>
          <w:lang w:val="en-US"/>
        </w:rPr>
        <w:t> </w:t>
      </w:r>
      <w:r w:rsidR="00196B9B" w:rsidRPr="0070368F">
        <w:rPr>
          <w:shd w:val="clear" w:color="auto" w:fill="FFFFFF"/>
        </w:rPr>
        <w:t>т</w:t>
      </w:r>
      <w:r w:rsidR="00196B9B" w:rsidRPr="0070368F">
        <w:rPr>
          <w:shd w:val="clear" w:color="auto" w:fill="FFFFFF"/>
          <w:lang w:val="en-US"/>
        </w:rPr>
        <w:t> </w:t>
      </w:r>
      <w:r w:rsidR="00196B9B" w:rsidRPr="0070368F">
        <w:rPr>
          <w:shd w:val="clear" w:color="auto" w:fill="FFFFFF"/>
        </w:rPr>
        <w:t>СО</w:t>
      </w:r>
      <w:r w:rsidR="00196B9B" w:rsidRPr="0070368F">
        <w:rPr>
          <w:bdr w:val="none" w:sz="0" w:space="0" w:color="auto" w:frame="1"/>
          <w:shd w:val="clear" w:color="auto" w:fill="FFFFFF"/>
          <w:vertAlign w:val="subscript"/>
        </w:rPr>
        <w:t>2</w:t>
      </w:r>
      <w:r w:rsidR="00196B9B" w:rsidRPr="00196B9B">
        <w:rPr>
          <w:shd w:val="clear" w:color="auto" w:fill="FFFFFF"/>
        </w:rPr>
        <w:t>-</w:t>
      </w:r>
      <w:r w:rsidR="00196B9B" w:rsidRPr="008D26D7">
        <w:rPr>
          <w:shd w:val="clear" w:color="auto" w:fill="FFFFFF"/>
        </w:rPr>
        <w:t>еквіваленту</w:t>
      </w:r>
      <w:r w:rsidR="009B2350" w:rsidRPr="009B2350">
        <w:t xml:space="preserve">. Протягом часового ряду поступово збільшувалися викиди від сільськогосподарських ґрунтів і досягли піку в 2019 році (50,0 </w:t>
      </w:r>
      <w:r w:rsidR="00196B9B" w:rsidRPr="0070368F">
        <w:rPr>
          <w:shd w:val="clear" w:color="auto" w:fill="FFFFFF"/>
        </w:rPr>
        <w:t>млн.</w:t>
      </w:r>
      <w:r w:rsidR="00196B9B" w:rsidRPr="0070368F">
        <w:rPr>
          <w:shd w:val="clear" w:color="auto" w:fill="FFFFFF"/>
          <w:lang w:val="en-US"/>
        </w:rPr>
        <w:t> </w:t>
      </w:r>
      <w:r w:rsidR="00196B9B" w:rsidRPr="0070368F">
        <w:rPr>
          <w:shd w:val="clear" w:color="auto" w:fill="FFFFFF"/>
        </w:rPr>
        <w:t>т</w:t>
      </w:r>
      <w:r w:rsidR="00196B9B" w:rsidRPr="0070368F">
        <w:rPr>
          <w:shd w:val="clear" w:color="auto" w:fill="FFFFFF"/>
          <w:lang w:val="en-US"/>
        </w:rPr>
        <w:t> </w:t>
      </w:r>
      <w:r w:rsidR="00196B9B" w:rsidRPr="0070368F">
        <w:rPr>
          <w:shd w:val="clear" w:color="auto" w:fill="FFFFFF"/>
        </w:rPr>
        <w:t>СО</w:t>
      </w:r>
      <w:r w:rsidR="00196B9B" w:rsidRPr="0070368F">
        <w:rPr>
          <w:bdr w:val="none" w:sz="0" w:space="0" w:color="auto" w:frame="1"/>
          <w:shd w:val="clear" w:color="auto" w:fill="FFFFFF"/>
          <w:vertAlign w:val="subscript"/>
        </w:rPr>
        <w:t>2</w:t>
      </w:r>
      <w:r w:rsidR="00196B9B" w:rsidRPr="00196B9B">
        <w:rPr>
          <w:shd w:val="clear" w:color="auto" w:fill="FFFFFF"/>
        </w:rPr>
        <w:t>-</w:t>
      </w:r>
      <w:r w:rsidR="00196B9B" w:rsidRPr="008D26D7">
        <w:rPr>
          <w:shd w:val="clear" w:color="auto" w:fill="FFFFFF"/>
        </w:rPr>
        <w:t>еквіваленту</w:t>
      </w:r>
      <w:r w:rsidR="009B2350" w:rsidRPr="009B2350">
        <w:t>), після чого в 202</w:t>
      </w:r>
      <w:r w:rsidR="00EC471B">
        <w:t>0</w:t>
      </w:r>
      <w:r w:rsidR="009B2350" w:rsidRPr="009B2350">
        <w:t xml:space="preserve"> році відбувся сильний спад викидів до рівня 27,4 млн</w:t>
      </w:r>
      <w:r w:rsidR="001A443E">
        <w:t>.</w:t>
      </w:r>
      <w:r w:rsidR="009B2350" w:rsidRPr="009B2350">
        <w:t xml:space="preserve"> т СО</w:t>
      </w:r>
      <w:r w:rsidR="009B2350" w:rsidRPr="001A443E">
        <w:rPr>
          <w:vertAlign w:val="subscript"/>
        </w:rPr>
        <w:t>2</w:t>
      </w:r>
      <w:r w:rsidR="009B2350" w:rsidRPr="009B2350">
        <w:t>-екв</w:t>
      </w:r>
      <w:r w:rsidR="001A443E">
        <w:t>іваленту, а в 2021 році викиди знову виросли до рівня 48,3</w:t>
      </w:r>
      <w:r w:rsidR="001A443E" w:rsidRPr="001A443E">
        <w:t xml:space="preserve"> </w:t>
      </w:r>
      <w:proofErr w:type="spellStart"/>
      <w:r w:rsidR="001A443E" w:rsidRPr="009B2350">
        <w:t>млн</w:t>
      </w:r>
      <w:proofErr w:type="spellEnd"/>
      <w:r w:rsidR="001A443E" w:rsidRPr="009B2350">
        <w:t xml:space="preserve"> т СО</w:t>
      </w:r>
      <w:r w:rsidR="001A443E" w:rsidRPr="001A443E">
        <w:rPr>
          <w:vertAlign w:val="subscript"/>
        </w:rPr>
        <w:t>2</w:t>
      </w:r>
      <w:r w:rsidR="001A443E" w:rsidRPr="009B2350">
        <w:t>-екв</w:t>
      </w:r>
      <w:r w:rsidR="001A443E">
        <w:t>іваленту.</w:t>
      </w:r>
      <w:r w:rsidR="009B2350" w:rsidRPr="009B2350">
        <w:t xml:space="preserve"> Такі суттєві зміни відбуваються через ряд причин, які позитивно чи негативно впливають на кількість вуглецю в ґрунті. Зокрема, накопиченню вуглецю в ґрунті сприяють: валовий урожай та кількість рослинних решток, що були залишені на полях за 2 роки до року звітування, обсяги вирощування видів рослин, в кореневій системі яких розміщуються </w:t>
      </w:r>
      <w:proofErr w:type="spellStart"/>
      <w:r w:rsidR="009B2350" w:rsidRPr="009B2350">
        <w:t>азот</w:t>
      </w:r>
      <w:r w:rsidR="00EC471B">
        <w:t>о</w:t>
      </w:r>
      <w:r w:rsidR="009B2350" w:rsidRPr="009B2350">
        <w:t>фіксуючі</w:t>
      </w:r>
      <w:proofErr w:type="spellEnd"/>
      <w:r w:rsidR="009B2350" w:rsidRPr="009B2350">
        <w:t xml:space="preserve"> мікроорганізми, а також кількість внесених органічних і мінеральних добрив. Вивільнення вуглецю з ґрунту зумовлює валовий урожай та кількість рослинних решток, що була зібрана з полів чи спалена, а також зміна в структурі сільськогосподарських культур. Зокрема, якщо в 1990 році більшу частку за </w:t>
      </w:r>
      <w:r w:rsidR="001A443E">
        <w:t>площею</w:t>
      </w:r>
      <w:r w:rsidR="009B2350" w:rsidRPr="009B2350">
        <w:t xml:space="preserve"> займали</w:t>
      </w:r>
      <w:r w:rsidR="001A443E" w:rsidRPr="001D3DA2">
        <w:t xml:space="preserve"> </w:t>
      </w:r>
      <w:r w:rsidR="001A443E">
        <w:t>зернові (38 %) та</w:t>
      </w:r>
      <w:r w:rsidR="009B2350" w:rsidRPr="009B2350">
        <w:t xml:space="preserve"> трави (</w:t>
      </w:r>
      <w:r w:rsidR="001A443E">
        <w:t>39 </w:t>
      </w:r>
      <w:r w:rsidR="009B2350" w:rsidRPr="009B2350">
        <w:t xml:space="preserve">%), а олійні лише на рівні </w:t>
      </w:r>
      <w:r w:rsidR="001D3DA2">
        <w:t>5 </w:t>
      </w:r>
      <w:r w:rsidR="009B2350" w:rsidRPr="009B2350">
        <w:t>%, то у 202</w:t>
      </w:r>
      <w:r w:rsidR="001A443E">
        <w:t>1</w:t>
      </w:r>
      <w:r w:rsidR="009B2350" w:rsidRPr="009B2350">
        <w:t xml:space="preserve"> році </w:t>
      </w:r>
      <w:r w:rsidR="001D3DA2">
        <w:t xml:space="preserve">посівні площі </w:t>
      </w:r>
      <w:r w:rsidR="009B2350" w:rsidRPr="009B2350">
        <w:t>трав бул</w:t>
      </w:r>
      <w:r w:rsidR="001D3DA2">
        <w:t>и</w:t>
      </w:r>
      <w:r w:rsidR="009B2350" w:rsidRPr="009B2350">
        <w:t xml:space="preserve"> лише на рівні </w:t>
      </w:r>
      <w:r w:rsidR="001D3DA2">
        <w:t>7</w:t>
      </w:r>
      <w:r w:rsidR="009B2350" w:rsidRPr="009B2350">
        <w:t xml:space="preserve"> % від </w:t>
      </w:r>
      <w:r w:rsidR="001D3DA2">
        <w:t>усієї посівної площі</w:t>
      </w:r>
      <w:r w:rsidR="009B2350" w:rsidRPr="009B2350">
        <w:t>, в той час як</w:t>
      </w:r>
      <w:r w:rsidR="001D3DA2">
        <w:t xml:space="preserve"> зернові становили 54 %, а</w:t>
      </w:r>
      <w:r w:rsidR="009B2350" w:rsidRPr="009B2350">
        <w:t xml:space="preserve"> олійн</w:t>
      </w:r>
      <w:r w:rsidR="001D3DA2">
        <w:t>і – близько 31 </w:t>
      </w:r>
      <w:r w:rsidR="009B2350" w:rsidRPr="009B2350">
        <w:t>%.</w:t>
      </w:r>
      <w:r w:rsidR="001D3DA2">
        <w:t xml:space="preserve"> Крім цього, в</w:t>
      </w:r>
      <w:r w:rsidR="009B2350" w:rsidRPr="009B2350">
        <w:t xml:space="preserve"> 202</w:t>
      </w:r>
      <w:r w:rsidR="001D3DA2">
        <w:t>1</w:t>
      </w:r>
      <w:r w:rsidR="009B2350" w:rsidRPr="009B2350">
        <w:t xml:space="preserve"> році спостерігався </w:t>
      </w:r>
      <w:r w:rsidR="001D3DA2">
        <w:t>ріст</w:t>
      </w:r>
      <w:r w:rsidR="009B2350" w:rsidRPr="009B2350">
        <w:t xml:space="preserve"> валового збору врожаю на фоні </w:t>
      </w:r>
      <w:r w:rsidR="001D3DA2">
        <w:t>спаду врожаю в 2020 році</w:t>
      </w:r>
      <w:r w:rsidR="009B2350" w:rsidRPr="009B2350">
        <w:t xml:space="preserve">, а також </w:t>
      </w:r>
      <w:r w:rsidR="001D3DA2">
        <w:t>було внесено найбільшу</w:t>
      </w:r>
      <w:r w:rsidR="009B2350" w:rsidRPr="009B2350">
        <w:t xml:space="preserve"> кількість азотних мінеральних добрив за часовий період з 1990 до 202</w:t>
      </w:r>
      <w:r w:rsidR="001D3DA2">
        <w:t>1</w:t>
      </w:r>
      <w:r w:rsidR="009B2350" w:rsidRPr="009B2350">
        <w:t xml:space="preserve"> років. Така комбінація </w:t>
      </w:r>
      <w:r w:rsidR="009B2350" w:rsidRPr="009B2350">
        <w:lastRenderedPageBreak/>
        <w:t xml:space="preserve">факторів зумовила </w:t>
      </w:r>
      <w:r w:rsidR="001D3DA2">
        <w:t>суттєв</w:t>
      </w:r>
      <w:r w:rsidR="00EC471B">
        <w:t>е</w:t>
      </w:r>
      <w:r w:rsidR="001D3DA2">
        <w:t xml:space="preserve"> </w:t>
      </w:r>
      <w:r w:rsidR="00EC471B">
        <w:t>зростання</w:t>
      </w:r>
      <w:r w:rsidR="001D3DA2">
        <w:t xml:space="preserve"> </w:t>
      </w:r>
      <w:r w:rsidR="009B2350" w:rsidRPr="009B2350">
        <w:t>викидів вуглецю від ґрунтів в секторі ЗЗЗЛГ в 202</w:t>
      </w:r>
      <w:r w:rsidR="001D3DA2">
        <w:t>1</w:t>
      </w:r>
      <w:r w:rsidR="009B2350" w:rsidRPr="009B2350">
        <w:t xml:space="preserve"> році в порівнянні із </w:t>
      </w:r>
      <w:r w:rsidR="001D3DA2">
        <w:t>2020 роком</w:t>
      </w:r>
      <w:r w:rsidR="009B2350" w:rsidRPr="009B2350">
        <w:t>.</w:t>
      </w:r>
    </w:p>
    <w:p w:rsidR="00EC471B" w:rsidRDefault="00064FAE" w:rsidP="005D5CF0">
      <w:pPr>
        <w:pStyle w:val="a3"/>
        <w:shd w:val="clear" w:color="auto" w:fill="FFFFFF"/>
        <w:spacing w:before="0" w:beforeAutospacing="0" w:after="0" w:afterAutospacing="0" w:line="276" w:lineRule="auto"/>
        <w:ind w:firstLine="567"/>
        <w:jc w:val="both"/>
      </w:pPr>
      <w:r w:rsidRPr="0070368F">
        <w:t>Протягом часового ряду 1990-20</w:t>
      </w:r>
      <w:r w:rsidR="00AB2FD0" w:rsidRPr="0070368F">
        <w:t>2</w:t>
      </w:r>
      <w:r w:rsidR="001D3DA2">
        <w:t>1</w:t>
      </w:r>
      <w:r w:rsidRPr="0070368F">
        <w:t xml:space="preserve"> років тренд загальних викидів </w:t>
      </w:r>
      <w:proofErr w:type="spellStart"/>
      <w:r w:rsidRPr="0070368F">
        <w:t>ПГ</w:t>
      </w:r>
      <w:proofErr w:type="spellEnd"/>
      <w:r w:rsidRPr="0070368F">
        <w:t xml:space="preserve"> характеризується наступними ключовими етапами (Рис. 1):</w:t>
      </w:r>
    </w:p>
    <w:p w:rsidR="00064FAE" w:rsidRPr="0070368F" w:rsidRDefault="00064FAE" w:rsidP="005D5CF0">
      <w:pPr>
        <w:pStyle w:val="a3"/>
        <w:numPr>
          <w:ilvl w:val="0"/>
          <w:numId w:val="2"/>
        </w:numPr>
        <w:shd w:val="clear" w:color="auto" w:fill="FFFFFF"/>
        <w:tabs>
          <w:tab w:val="left" w:pos="851"/>
        </w:tabs>
        <w:spacing w:before="0" w:beforeAutospacing="0" w:after="0" w:afterAutospacing="0" w:line="276" w:lineRule="auto"/>
        <w:ind w:left="0" w:firstLine="567"/>
        <w:jc w:val="both"/>
      </w:pPr>
      <w:r w:rsidRPr="0070368F">
        <w:t xml:space="preserve">різке скорочення викидів </w:t>
      </w:r>
      <w:proofErr w:type="spellStart"/>
      <w:r w:rsidRPr="0070368F">
        <w:t>ПГ</w:t>
      </w:r>
      <w:proofErr w:type="spellEnd"/>
      <w:r w:rsidRPr="0070368F">
        <w:t xml:space="preserve"> у період з 1990 року до початку 2000-х років, яке було спричинене скороченням виробництва у промисловості та сільському господарстві внаслідок розпаду СРСР та, як наслідок, скороченням споживання палива в енергетиці. Також в цей період відбулася реструктуризація економіки і почала значно зростати сфера послуг;</w:t>
      </w:r>
    </w:p>
    <w:p w:rsidR="00064FAE" w:rsidRPr="0070368F" w:rsidRDefault="00064FAE" w:rsidP="005D5CF0">
      <w:pPr>
        <w:pStyle w:val="a3"/>
        <w:numPr>
          <w:ilvl w:val="0"/>
          <w:numId w:val="2"/>
        </w:numPr>
        <w:shd w:val="clear" w:color="auto" w:fill="FFFFFF"/>
        <w:tabs>
          <w:tab w:val="left" w:pos="851"/>
        </w:tabs>
        <w:spacing w:before="0" w:beforeAutospacing="0" w:after="0" w:afterAutospacing="0" w:line="276" w:lineRule="auto"/>
        <w:ind w:left="0" w:firstLine="567"/>
        <w:jc w:val="both"/>
      </w:pPr>
      <w:r w:rsidRPr="0070368F">
        <w:t xml:space="preserve">стабілізація та зростання викидів </w:t>
      </w:r>
      <w:proofErr w:type="spellStart"/>
      <w:r w:rsidRPr="0070368F">
        <w:t>ПГ</w:t>
      </w:r>
      <w:proofErr w:type="spellEnd"/>
      <w:r w:rsidRPr="0070368F">
        <w:t xml:space="preserve"> у період з початку 2000-х років до 2008 року, що характеризується зростанням виробництва мінеральної та металургійної продукції, а також загальним зростанням економіки. У цей період також зросло споживання твердого викопного палива в енергетиці, але паралельно було реалізовано низку заходів з модернізації та </w:t>
      </w:r>
      <w:proofErr w:type="spellStart"/>
      <w:r w:rsidRPr="0070368F">
        <w:t>енергоефективності</w:t>
      </w:r>
      <w:proofErr w:type="spellEnd"/>
      <w:r w:rsidRPr="0070368F">
        <w:t xml:space="preserve"> в промисловості з метою скорочення споживання природного газу внаслідок підвищення ціни на газ з 2006 року;</w:t>
      </w:r>
    </w:p>
    <w:p w:rsidR="00064FAE" w:rsidRPr="0070368F" w:rsidRDefault="00064FAE" w:rsidP="005D5CF0">
      <w:pPr>
        <w:pStyle w:val="a3"/>
        <w:numPr>
          <w:ilvl w:val="0"/>
          <w:numId w:val="2"/>
        </w:numPr>
        <w:shd w:val="clear" w:color="auto" w:fill="FFFFFF"/>
        <w:tabs>
          <w:tab w:val="left" w:pos="851"/>
        </w:tabs>
        <w:spacing w:before="0" w:beforeAutospacing="0" w:after="0" w:afterAutospacing="0" w:line="276" w:lineRule="auto"/>
        <w:ind w:left="0" w:firstLine="567"/>
        <w:jc w:val="both"/>
      </w:pPr>
      <w:r w:rsidRPr="0070368F">
        <w:t xml:space="preserve">скорочення викидів </w:t>
      </w:r>
      <w:proofErr w:type="spellStart"/>
      <w:r w:rsidRPr="0070368F">
        <w:t>ПГ</w:t>
      </w:r>
      <w:proofErr w:type="spellEnd"/>
      <w:r w:rsidRPr="0070368F">
        <w:t xml:space="preserve"> на 15 % у 2009 році порівняно з 2008 роком, яке було обумовлено наслідками світової економічної кризи 2008 року. Зокрема, суттєво скоротилось виробництва цементу, аміаку та металу;</w:t>
      </w:r>
    </w:p>
    <w:p w:rsidR="00064FAE" w:rsidRPr="0070368F" w:rsidRDefault="00064FAE" w:rsidP="005D5CF0">
      <w:pPr>
        <w:pStyle w:val="a3"/>
        <w:numPr>
          <w:ilvl w:val="0"/>
          <w:numId w:val="2"/>
        </w:numPr>
        <w:shd w:val="clear" w:color="auto" w:fill="FFFFFF"/>
        <w:tabs>
          <w:tab w:val="left" w:pos="851"/>
        </w:tabs>
        <w:spacing w:before="0" w:beforeAutospacing="0" w:after="0" w:afterAutospacing="0" w:line="276" w:lineRule="auto"/>
        <w:ind w:left="0" w:firstLine="567"/>
        <w:jc w:val="both"/>
      </w:pPr>
      <w:r w:rsidRPr="0070368F">
        <w:t xml:space="preserve">зростання викидів </w:t>
      </w:r>
      <w:proofErr w:type="spellStart"/>
      <w:r w:rsidRPr="0070368F">
        <w:t>ПГ</w:t>
      </w:r>
      <w:proofErr w:type="spellEnd"/>
      <w:r w:rsidRPr="0070368F">
        <w:t xml:space="preserve"> у 2010-2013 роках, що характеризується загальним відновленням економіки від наслідків світової кризи 2008 року. У цей період також зросло споживання твердого викопного палива в енергетиці через газовий конфлікт із РФ;</w:t>
      </w:r>
    </w:p>
    <w:p w:rsidR="00064FAE" w:rsidRPr="0070368F" w:rsidRDefault="00064FAE" w:rsidP="005D5CF0">
      <w:pPr>
        <w:pStyle w:val="a3"/>
        <w:numPr>
          <w:ilvl w:val="0"/>
          <w:numId w:val="2"/>
        </w:numPr>
        <w:shd w:val="clear" w:color="auto" w:fill="FFFFFF"/>
        <w:tabs>
          <w:tab w:val="left" w:pos="851"/>
        </w:tabs>
        <w:spacing w:before="0" w:beforeAutospacing="0" w:after="0" w:afterAutospacing="0" w:line="276" w:lineRule="auto"/>
        <w:ind w:left="0" w:firstLine="567"/>
        <w:jc w:val="both"/>
      </w:pPr>
      <w:r w:rsidRPr="0070368F">
        <w:t xml:space="preserve">різке скорочення викидів </w:t>
      </w:r>
      <w:proofErr w:type="spellStart"/>
      <w:r w:rsidRPr="0070368F">
        <w:t>ПГ</w:t>
      </w:r>
      <w:proofErr w:type="spellEnd"/>
      <w:r w:rsidRPr="0070368F">
        <w:t xml:space="preserve"> у 2014-2015 роках, спричинене падінням економіки через </w:t>
      </w:r>
      <w:r w:rsidR="001D3DA2">
        <w:t>окупацію</w:t>
      </w:r>
      <w:r w:rsidRPr="0070368F">
        <w:t xml:space="preserve"> АР Крим та міста Севастополь та також початком бойових дій в Донецькій та Луганській областях, в яких зосереджена значна частина промисловості та об’єктів видобування і споживання корисних копалин;</w:t>
      </w:r>
    </w:p>
    <w:p w:rsidR="00064FAE" w:rsidRDefault="00064FAE" w:rsidP="005D5CF0">
      <w:pPr>
        <w:pStyle w:val="a3"/>
        <w:numPr>
          <w:ilvl w:val="0"/>
          <w:numId w:val="2"/>
        </w:numPr>
        <w:shd w:val="clear" w:color="auto" w:fill="FFFFFF"/>
        <w:tabs>
          <w:tab w:val="left" w:pos="851"/>
        </w:tabs>
        <w:spacing w:before="0" w:beforeAutospacing="0" w:after="0" w:afterAutospacing="0" w:line="276" w:lineRule="auto"/>
        <w:ind w:left="0" w:firstLine="567"/>
        <w:jc w:val="both"/>
      </w:pPr>
      <w:r w:rsidRPr="0070368F">
        <w:t xml:space="preserve">коливання викидів </w:t>
      </w:r>
      <w:proofErr w:type="spellStart"/>
      <w:r w:rsidRPr="0070368F">
        <w:t>ПГ</w:t>
      </w:r>
      <w:proofErr w:type="spellEnd"/>
      <w:r w:rsidRPr="0070368F">
        <w:t xml:space="preserve"> у 2016-20</w:t>
      </w:r>
      <w:r w:rsidR="001D3DA2">
        <w:t>19</w:t>
      </w:r>
      <w:r w:rsidRPr="0070368F">
        <w:t xml:space="preserve"> роках на рівні 3</w:t>
      </w:r>
      <w:r w:rsidR="001D3DA2">
        <w:t>36</w:t>
      </w:r>
      <w:r w:rsidRPr="0070368F">
        <w:t>-3</w:t>
      </w:r>
      <w:r w:rsidR="00FB4E0C" w:rsidRPr="0070368F">
        <w:t>70</w:t>
      </w:r>
      <w:r w:rsidRPr="0070368F">
        <w:t xml:space="preserve"> </w:t>
      </w:r>
      <w:r w:rsidR="00196B9B" w:rsidRPr="0070368F">
        <w:rPr>
          <w:shd w:val="clear" w:color="auto" w:fill="FFFFFF"/>
        </w:rPr>
        <w:t>млн.</w:t>
      </w:r>
      <w:r w:rsidR="00196B9B" w:rsidRPr="0070368F">
        <w:rPr>
          <w:shd w:val="clear" w:color="auto" w:fill="FFFFFF"/>
          <w:lang w:val="en-US"/>
        </w:rPr>
        <w:t> </w:t>
      </w:r>
      <w:r w:rsidR="00196B9B" w:rsidRPr="0070368F">
        <w:rPr>
          <w:shd w:val="clear" w:color="auto" w:fill="FFFFFF"/>
        </w:rPr>
        <w:t>т</w:t>
      </w:r>
      <w:r w:rsidR="00196B9B" w:rsidRPr="0070368F">
        <w:rPr>
          <w:shd w:val="clear" w:color="auto" w:fill="FFFFFF"/>
          <w:lang w:val="en-US"/>
        </w:rPr>
        <w:t> </w:t>
      </w:r>
      <w:r w:rsidR="005D5CF0">
        <w:rPr>
          <w:shd w:val="clear" w:color="auto" w:fill="FFFFFF"/>
        </w:rPr>
        <w:t xml:space="preserve"> </w:t>
      </w:r>
      <w:r w:rsidR="00196B9B" w:rsidRPr="0070368F">
        <w:rPr>
          <w:shd w:val="clear" w:color="auto" w:fill="FFFFFF"/>
        </w:rPr>
        <w:t>СО</w:t>
      </w:r>
      <w:r w:rsidR="00196B9B" w:rsidRPr="0070368F">
        <w:rPr>
          <w:bdr w:val="none" w:sz="0" w:space="0" w:color="auto" w:frame="1"/>
          <w:shd w:val="clear" w:color="auto" w:fill="FFFFFF"/>
          <w:vertAlign w:val="subscript"/>
        </w:rPr>
        <w:t>2</w:t>
      </w:r>
      <w:r w:rsidR="00196B9B" w:rsidRPr="00196B9B">
        <w:rPr>
          <w:shd w:val="clear" w:color="auto" w:fill="FFFFFF"/>
        </w:rPr>
        <w:t>-</w:t>
      </w:r>
      <w:r w:rsidR="00196B9B" w:rsidRPr="008D26D7">
        <w:rPr>
          <w:shd w:val="clear" w:color="auto" w:fill="FFFFFF"/>
        </w:rPr>
        <w:t>еквіваленту</w:t>
      </w:r>
      <w:r w:rsidRPr="0070368F">
        <w:t xml:space="preserve">. Цей період характеризується початком активної реалізації політики </w:t>
      </w:r>
      <w:r w:rsidR="001D3DA2">
        <w:t xml:space="preserve">з </w:t>
      </w:r>
      <w:proofErr w:type="spellStart"/>
      <w:r w:rsidRPr="0070368F">
        <w:t>енергоефективності</w:t>
      </w:r>
      <w:proofErr w:type="spellEnd"/>
      <w:r w:rsidRPr="0070368F">
        <w:t xml:space="preserve"> (програма «Теплі кредити» для стимулювання заходів з </w:t>
      </w:r>
      <w:proofErr w:type="spellStart"/>
      <w:r w:rsidRPr="0070368F">
        <w:t>енергоефективності</w:t>
      </w:r>
      <w:proofErr w:type="spellEnd"/>
      <w:r w:rsidRPr="0070368F">
        <w:t xml:space="preserve"> в будівлях, заміни газових котлів на котли на біомасі, тощо) та поступового приведення тарифів на електроенергію, гарячу воду та тепло до своїх ринкових значень, що зробило низку </w:t>
      </w:r>
      <w:proofErr w:type="spellStart"/>
      <w:r w:rsidRPr="0070368F">
        <w:t>енергоефективних</w:t>
      </w:r>
      <w:proofErr w:type="spellEnd"/>
      <w:r w:rsidRPr="0070368F">
        <w:t xml:space="preserve"> заходів економічно привабливими</w:t>
      </w:r>
      <w:r w:rsidR="001D3DA2">
        <w:t>;</w:t>
      </w:r>
    </w:p>
    <w:p w:rsidR="001D3DA2" w:rsidRPr="0070368F" w:rsidRDefault="001D3DA2" w:rsidP="005D5CF0">
      <w:pPr>
        <w:pStyle w:val="a3"/>
        <w:numPr>
          <w:ilvl w:val="0"/>
          <w:numId w:val="2"/>
        </w:numPr>
        <w:shd w:val="clear" w:color="auto" w:fill="FFFFFF"/>
        <w:tabs>
          <w:tab w:val="left" w:pos="851"/>
        </w:tabs>
        <w:spacing w:before="0" w:beforeAutospacing="0" w:after="0" w:afterAutospacing="0" w:line="276" w:lineRule="auto"/>
        <w:ind w:left="0" w:firstLine="567"/>
        <w:jc w:val="both"/>
      </w:pPr>
      <w:r>
        <w:t xml:space="preserve">пандемія </w:t>
      </w:r>
      <w:r>
        <w:rPr>
          <w:lang w:val="en-US"/>
        </w:rPr>
        <w:t>COVID</w:t>
      </w:r>
      <w:r w:rsidRPr="001D3DA2">
        <w:t xml:space="preserve">-19 </w:t>
      </w:r>
      <w:r>
        <w:t xml:space="preserve">та заходи боротьби із вірусом призвели до скорочення викидів </w:t>
      </w:r>
      <w:proofErr w:type="spellStart"/>
      <w:r w:rsidR="005D5CF0">
        <w:t>ПГ</w:t>
      </w:r>
      <w:proofErr w:type="spellEnd"/>
      <w:r>
        <w:t xml:space="preserve"> у 2020 році на 11 % у порівнянні із 2019 роком. Відновлення </w:t>
      </w:r>
      <w:r w:rsidR="00325A0D">
        <w:t xml:space="preserve">економіки країни у 2021 році призвело до </w:t>
      </w:r>
      <w:r w:rsidR="005D5CF0">
        <w:t xml:space="preserve">зростання </w:t>
      </w:r>
      <w:r w:rsidR="00325A0D">
        <w:t xml:space="preserve">викидів </w:t>
      </w:r>
      <w:proofErr w:type="spellStart"/>
      <w:r w:rsidR="005D5CF0">
        <w:t>ПГ</w:t>
      </w:r>
      <w:proofErr w:type="spellEnd"/>
      <w:r w:rsidR="00325A0D">
        <w:t xml:space="preserve"> на 8,5 % у порівнянні із 2020 роком.</w:t>
      </w:r>
    </w:p>
    <w:p w:rsidR="000409E2" w:rsidRPr="0070368F" w:rsidRDefault="000409E2" w:rsidP="005D5CF0">
      <w:pPr>
        <w:spacing w:after="0" w:line="276" w:lineRule="auto"/>
        <w:rPr>
          <w:rFonts w:ascii="Times New Roman" w:hAnsi="Times New Roman" w:cs="Times New Roman"/>
          <w:sz w:val="24"/>
          <w:szCs w:val="24"/>
        </w:rPr>
      </w:pPr>
    </w:p>
    <w:sectPr w:rsidR="000409E2" w:rsidRPr="0070368F" w:rsidSect="005D5CF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C2066"/>
    <w:multiLevelType w:val="hybridMultilevel"/>
    <w:tmpl w:val="1BE6890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76125EA8"/>
    <w:multiLevelType w:val="multilevel"/>
    <w:tmpl w:val="44B4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B084D"/>
    <w:rsid w:val="00011B72"/>
    <w:rsid w:val="000409E2"/>
    <w:rsid w:val="00043846"/>
    <w:rsid w:val="00064FAE"/>
    <w:rsid w:val="00066C36"/>
    <w:rsid w:val="00081538"/>
    <w:rsid w:val="000A2652"/>
    <w:rsid w:val="000B5841"/>
    <w:rsid w:val="000C51DB"/>
    <w:rsid w:val="00122D49"/>
    <w:rsid w:val="00196B9B"/>
    <w:rsid w:val="001A443E"/>
    <w:rsid w:val="001C617F"/>
    <w:rsid w:val="001D3DA2"/>
    <w:rsid w:val="00205D19"/>
    <w:rsid w:val="0025564A"/>
    <w:rsid w:val="002573D7"/>
    <w:rsid w:val="002845C5"/>
    <w:rsid w:val="0028683D"/>
    <w:rsid w:val="002D539F"/>
    <w:rsid w:val="002F2082"/>
    <w:rsid w:val="003112B4"/>
    <w:rsid w:val="00312B7F"/>
    <w:rsid w:val="00325A0D"/>
    <w:rsid w:val="003441DB"/>
    <w:rsid w:val="003A5FD2"/>
    <w:rsid w:val="00451792"/>
    <w:rsid w:val="00455564"/>
    <w:rsid w:val="004D5890"/>
    <w:rsid w:val="00517E9D"/>
    <w:rsid w:val="0055388B"/>
    <w:rsid w:val="005707BE"/>
    <w:rsid w:val="005D5CF0"/>
    <w:rsid w:val="005E5A08"/>
    <w:rsid w:val="006539D8"/>
    <w:rsid w:val="006B71A9"/>
    <w:rsid w:val="006D5306"/>
    <w:rsid w:val="0070368F"/>
    <w:rsid w:val="007410A7"/>
    <w:rsid w:val="00767CC6"/>
    <w:rsid w:val="007959C2"/>
    <w:rsid w:val="007A5D21"/>
    <w:rsid w:val="007C41D2"/>
    <w:rsid w:val="007E700A"/>
    <w:rsid w:val="007F117D"/>
    <w:rsid w:val="00800E41"/>
    <w:rsid w:val="008375FA"/>
    <w:rsid w:val="00847B08"/>
    <w:rsid w:val="008521F4"/>
    <w:rsid w:val="00874665"/>
    <w:rsid w:val="008D26D7"/>
    <w:rsid w:val="00913F7B"/>
    <w:rsid w:val="009411EB"/>
    <w:rsid w:val="00983339"/>
    <w:rsid w:val="00995DEE"/>
    <w:rsid w:val="009B2350"/>
    <w:rsid w:val="009B6A64"/>
    <w:rsid w:val="009E4F38"/>
    <w:rsid w:val="00A13E67"/>
    <w:rsid w:val="00A90BFC"/>
    <w:rsid w:val="00AB084D"/>
    <w:rsid w:val="00AB2FD0"/>
    <w:rsid w:val="00B2237A"/>
    <w:rsid w:val="00B6399D"/>
    <w:rsid w:val="00B90A69"/>
    <w:rsid w:val="00B9792F"/>
    <w:rsid w:val="00C300ED"/>
    <w:rsid w:val="00C50C09"/>
    <w:rsid w:val="00CD13DA"/>
    <w:rsid w:val="00D01D10"/>
    <w:rsid w:val="00D804D2"/>
    <w:rsid w:val="00D94C6C"/>
    <w:rsid w:val="00DC508A"/>
    <w:rsid w:val="00DD053F"/>
    <w:rsid w:val="00DD476E"/>
    <w:rsid w:val="00E51C7C"/>
    <w:rsid w:val="00E713E4"/>
    <w:rsid w:val="00EA707B"/>
    <w:rsid w:val="00EB6C85"/>
    <w:rsid w:val="00EC4576"/>
    <w:rsid w:val="00EC471B"/>
    <w:rsid w:val="00EF1FB2"/>
    <w:rsid w:val="00FB4E0C"/>
    <w:rsid w:val="00FC0000"/>
    <w:rsid w:val="00FD3265"/>
    <w:rsid w:val="00FE2D8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B4"/>
  </w:style>
  <w:style w:type="paragraph" w:styleId="1">
    <w:name w:val="heading 1"/>
    <w:basedOn w:val="a"/>
    <w:link w:val="10"/>
    <w:uiPriority w:val="9"/>
    <w:qFormat/>
    <w:rsid w:val="00DD4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76E"/>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8746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874665"/>
    <w:rPr>
      <w:color w:val="0000FF"/>
      <w:u w:val="single"/>
    </w:rPr>
  </w:style>
  <w:style w:type="character" w:styleId="a5">
    <w:name w:val="Strong"/>
    <w:basedOn w:val="a0"/>
    <w:uiPriority w:val="22"/>
    <w:qFormat/>
    <w:rsid w:val="00B6399D"/>
    <w:rPr>
      <w:b/>
      <w:bCs/>
    </w:rPr>
  </w:style>
  <w:style w:type="table" w:styleId="a6">
    <w:name w:val="Table Grid"/>
    <w:basedOn w:val="a1"/>
    <w:uiPriority w:val="39"/>
    <w:rsid w:val="00553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B2350"/>
    <w:pPr>
      <w:ind w:left="720"/>
      <w:contextualSpacing/>
    </w:pPr>
  </w:style>
  <w:style w:type="paragraph" w:styleId="a8">
    <w:name w:val="Balloon Text"/>
    <w:basedOn w:val="a"/>
    <w:link w:val="a9"/>
    <w:uiPriority w:val="99"/>
    <w:semiHidden/>
    <w:unhideWhenUsed/>
    <w:rsid w:val="007959C2"/>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95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306641">
      <w:bodyDiv w:val="1"/>
      <w:marLeft w:val="0"/>
      <w:marRight w:val="0"/>
      <w:marTop w:val="0"/>
      <w:marBottom w:val="0"/>
      <w:divBdr>
        <w:top w:val="none" w:sz="0" w:space="0" w:color="auto"/>
        <w:left w:val="none" w:sz="0" w:space="0" w:color="auto"/>
        <w:bottom w:val="none" w:sz="0" w:space="0" w:color="auto"/>
        <w:right w:val="none" w:sz="0" w:space="0" w:color="auto"/>
      </w:divBdr>
    </w:div>
    <w:div w:id="214514274">
      <w:bodyDiv w:val="1"/>
      <w:marLeft w:val="0"/>
      <w:marRight w:val="0"/>
      <w:marTop w:val="0"/>
      <w:marBottom w:val="0"/>
      <w:divBdr>
        <w:top w:val="none" w:sz="0" w:space="0" w:color="auto"/>
        <w:left w:val="none" w:sz="0" w:space="0" w:color="auto"/>
        <w:bottom w:val="none" w:sz="0" w:space="0" w:color="auto"/>
        <w:right w:val="none" w:sz="0" w:space="0" w:color="auto"/>
      </w:divBdr>
    </w:div>
    <w:div w:id="1207791573">
      <w:bodyDiv w:val="1"/>
      <w:marLeft w:val="0"/>
      <w:marRight w:val="0"/>
      <w:marTop w:val="0"/>
      <w:marBottom w:val="0"/>
      <w:divBdr>
        <w:top w:val="none" w:sz="0" w:space="0" w:color="auto"/>
        <w:left w:val="none" w:sz="0" w:space="0" w:color="auto"/>
        <w:bottom w:val="none" w:sz="0" w:space="0" w:color="auto"/>
        <w:right w:val="none" w:sz="0" w:space="0" w:color="auto"/>
      </w:divBdr>
    </w:div>
    <w:div w:id="1479149761">
      <w:bodyDiv w:val="1"/>
      <w:marLeft w:val="0"/>
      <w:marRight w:val="0"/>
      <w:marTop w:val="0"/>
      <w:marBottom w:val="0"/>
      <w:divBdr>
        <w:top w:val="none" w:sz="0" w:space="0" w:color="auto"/>
        <w:left w:val="none" w:sz="0" w:space="0" w:color="auto"/>
        <w:bottom w:val="none" w:sz="0" w:space="0" w:color="auto"/>
        <w:right w:val="none" w:sz="0" w:space="0" w:color="auto"/>
      </w:divBdr>
    </w:div>
    <w:div w:id="204413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gsg@nci.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yzhenko@mepr.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stacked"/>
        <c:ser>
          <c:idx val="4"/>
          <c:order val="0"/>
          <c:tx>
            <c:strRef>
              <c:f>'Для МВК'!$A$6</c:f>
              <c:strCache>
                <c:ptCount val="1"/>
                <c:pt idx="0">
                  <c:v>Відходи</c:v>
                </c:pt>
              </c:strCache>
            </c:strRef>
          </c:tx>
          <c:spPr>
            <a:solidFill>
              <a:schemeClr val="accent5"/>
            </a:solidFill>
            <a:ln>
              <a:noFill/>
            </a:ln>
            <a:effectLst/>
          </c:spPr>
          <c:cat>
            <c:numRef>
              <c:f>Totals!$D$1:$AI$1</c:f>
              <c:numCache>
                <c:formatCode>General</c:formatCod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numCache>
            </c:numRef>
          </c:cat>
          <c:val>
            <c:numRef>
              <c:f>Totals!$D$102:$AI$102</c:f>
              <c:numCache>
                <c:formatCode>0.00</c:formatCode>
                <c:ptCount val="32"/>
                <c:pt idx="0">
                  <c:v>12.446533920429887</c:v>
                </c:pt>
                <c:pt idx="1">
                  <c:v>12.431080735909941</c:v>
                </c:pt>
                <c:pt idx="2">
                  <c:v>12.351603945818836</c:v>
                </c:pt>
                <c:pt idx="3">
                  <c:v>12.258667103308321</c:v>
                </c:pt>
                <c:pt idx="4">
                  <c:v>11.982608895195519</c:v>
                </c:pt>
                <c:pt idx="5">
                  <c:v>11.970359890953562</c:v>
                </c:pt>
                <c:pt idx="6">
                  <c:v>11.85521010753421</c:v>
                </c:pt>
                <c:pt idx="7">
                  <c:v>11.79373602982287</c:v>
                </c:pt>
                <c:pt idx="8">
                  <c:v>11.770285438695501</c:v>
                </c:pt>
                <c:pt idx="9">
                  <c:v>11.738760135362281</c:v>
                </c:pt>
                <c:pt idx="10">
                  <c:v>11.792894873933706</c:v>
                </c:pt>
                <c:pt idx="11">
                  <c:v>11.912778416399252</c:v>
                </c:pt>
                <c:pt idx="12">
                  <c:v>12.021315084707933</c:v>
                </c:pt>
                <c:pt idx="13">
                  <c:v>12.101341285126852</c:v>
                </c:pt>
                <c:pt idx="14">
                  <c:v>12.286883974102484</c:v>
                </c:pt>
                <c:pt idx="15">
                  <c:v>12.431069423735456</c:v>
                </c:pt>
                <c:pt idx="16">
                  <c:v>12.599361201910382</c:v>
                </c:pt>
                <c:pt idx="17">
                  <c:v>12.82355115447397</c:v>
                </c:pt>
                <c:pt idx="18">
                  <c:v>12.692530173460792</c:v>
                </c:pt>
                <c:pt idx="19">
                  <c:v>12.597028835568073</c:v>
                </c:pt>
                <c:pt idx="20">
                  <c:v>12.732035467398742</c:v>
                </c:pt>
                <c:pt idx="21">
                  <c:v>12.769511385172763</c:v>
                </c:pt>
                <c:pt idx="22">
                  <c:v>12.645409959146454</c:v>
                </c:pt>
                <c:pt idx="23">
                  <c:v>12.85038752689287</c:v>
                </c:pt>
                <c:pt idx="24">
                  <c:v>12.64169962056277</c:v>
                </c:pt>
                <c:pt idx="25">
                  <c:v>12.564390605932655</c:v>
                </c:pt>
                <c:pt idx="26">
                  <c:v>12.749792852187557</c:v>
                </c:pt>
                <c:pt idx="27">
                  <c:v>12.667083140542299</c:v>
                </c:pt>
                <c:pt idx="28">
                  <c:v>12.613231254137755</c:v>
                </c:pt>
                <c:pt idx="29">
                  <c:v>12.580974166089558</c:v>
                </c:pt>
                <c:pt idx="30">
                  <c:v>12.365619194778523</c:v>
                </c:pt>
                <c:pt idx="31">
                  <c:v>12.160169122061692</c:v>
                </c:pt>
              </c:numCache>
            </c:numRef>
          </c:val>
          <c:extLst xmlns:c16r2="http://schemas.microsoft.com/office/drawing/2015/06/chart">
            <c:ext xmlns:c16="http://schemas.microsoft.com/office/drawing/2014/chart" uri="{C3380CC4-5D6E-409C-BE32-E72D297353CC}">
              <c16:uniqueId val="{00000000-A616-4EF5-BABF-2B3F2E1C7F61}"/>
            </c:ext>
          </c:extLst>
        </c:ser>
        <c:ser>
          <c:idx val="3"/>
          <c:order val="1"/>
          <c:tx>
            <c:strRef>
              <c:f>'Для МВК'!$A$5</c:f>
              <c:strCache>
                <c:ptCount val="1"/>
                <c:pt idx="0">
                  <c:v>Землекористування, зміни в землекористуванні та лісове господарство</c:v>
                </c:pt>
              </c:strCache>
            </c:strRef>
          </c:tx>
          <c:spPr>
            <a:solidFill>
              <a:schemeClr val="accent4"/>
            </a:solidFill>
            <a:ln>
              <a:noFill/>
            </a:ln>
            <a:effectLst/>
          </c:spPr>
          <c:cat>
            <c:numRef>
              <c:f>Totals!$D$1:$AI$1</c:f>
              <c:numCache>
                <c:formatCode>General</c:formatCod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numCache>
            </c:numRef>
          </c:cat>
          <c:val>
            <c:numRef>
              <c:f>Totals!$D$101:$AI$101</c:f>
              <c:numCache>
                <c:formatCode>0.00</c:formatCode>
                <c:ptCount val="32"/>
                <c:pt idx="0">
                  <c:v>-31.406497071956526</c:v>
                </c:pt>
                <c:pt idx="1">
                  <c:v>-39.593543457046422</c:v>
                </c:pt>
                <c:pt idx="2">
                  <c:v>-39.320332835077288</c:v>
                </c:pt>
                <c:pt idx="3">
                  <c:v>-32.811067668687009</c:v>
                </c:pt>
                <c:pt idx="4">
                  <c:v>-36.985676617433946</c:v>
                </c:pt>
                <c:pt idx="5">
                  <c:v>-32.125240911624864</c:v>
                </c:pt>
                <c:pt idx="6">
                  <c:v>-27.724725892893428</c:v>
                </c:pt>
                <c:pt idx="7">
                  <c:v>-22.467502522994241</c:v>
                </c:pt>
                <c:pt idx="8">
                  <c:v>-28.098310356532895</c:v>
                </c:pt>
                <c:pt idx="9">
                  <c:v>-31.016511336171096</c:v>
                </c:pt>
                <c:pt idx="10">
                  <c:v>-22.912256400707481</c:v>
                </c:pt>
                <c:pt idx="11">
                  <c:v>-17.35884000590449</c:v>
                </c:pt>
                <c:pt idx="12">
                  <c:v>-14.801247592843362</c:v>
                </c:pt>
                <c:pt idx="13">
                  <c:v>-21.253357309484244</c:v>
                </c:pt>
                <c:pt idx="14">
                  <c:v>-9.5727899962345013</c:v>
                </c:pt>
                <c:pt idx="15">
                  <c:v>-8.9462826458541507</c:v>
                </c:pt>
                <c:pt idx="16">
                  <c:v>-11.998356893093511</c:v>
                </c:pt>
                <c:pt idx="17">
                  <c:v>-14.071002393461001</c:v>
                </c:pt>
                <c:pt idx="18">
                  <c:v>0.84562922387772854</c:v>
                </c:pt>
                <c:pt idx="19">
                  <c:v>-4.7478175795767426</c:v>
                </c:pt>
                <c:pt idx="20">
                  <c:v>-8.9968001759145491</c:v>
                </c:pt>
                <c:pt idx="21">
                  <c:v>8.6097246724201657</c:v>
                </c:pt>
                <c:pt idx="22">
                  <c:v>5.0316811995736144</c:v>
                </c:pt>
                <c:pt idx="23">
                  <c:v>18.986762760212891</c:v>
                </c:pt>
                <c:pt idx="24">
                  <c:v>20.075749069309506</c:v>
                </c:pt>
                <c:pt idx="25">
                  <c:v>19.742146532368331</c:v>
                </c:pt>
                <c:pt idx="26">
                  <c:v>24.351454200648984</c:v>
                </c:pt>
                <c:pt idx="27">
                  <c:v>13.439714768013003</c:v>
                </c:pt>
                <c:pt idx="28">
                  <c:v>24.91607266445796</c:v>
                </c:pt>
                <c:pt idx="29">
                  <c:v>23.331754505312478</c:v>
                </c:pt>
                <c:pt idx="30">
                  <c:v>-0.40290346394543453</c:v>
                </c:pt>
                <c:pt idx="31">
                  <c:v>14.230359813405952</c:v>
                </c:pt>
              </c:numCache>
            </c:numRef>
          </c:val>
          <c:extLst xmlns:c16r2="http://schemas.microsoft.com/office/drawing/2015/06/chart">
            <c:ext xmlns:c16="http://schemas.microsoft.com/office/drawing/2014/chart" uri="{C3380CC4-5D6E-409C-BE32-E72D297353CC}">
              <c16:uniqueId val="{00000001-A616-4EF5-BABF-2B3F2E1C7F61}"/>
            </c:ext>
          </c:extLst>
        </c:ser>
        <c:ser>
          <c:idx val="2"/>
          <c:order val="2"/>
          <c:tx>
            <c:strRef>
              <c:f>'Для МВК'!$A$4</c:f>
              <c:strCache>
                <c:ptCount val="1"/>
                <c:pt idx="0">
                  <c:v>Сільське господарство</c:v>
                </c:pt>
              </c:strCache>
            </c:strRef>
          </c:tx>
          <c:spPr>
            <a:solidFill>
              <a:schemeClr val="accent3"/>
            </a:solidFill>
            <a:ln>
              <a:noFill/>
            </a:ln>
            <a:effectLst/>
          </c:spPr>
          <c:cat>
            <c:numRef>
              <c:f>Totals!$D$1:$AI$1</c:f>
              <c:numCache>
                <c:formatCode>General</c:formatCod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numCache>
            </c:numRef>
          </c:cat>
          <c:val>
            <c:numRef>
              <c:f>Totals!$D$100:$AI$100</c:f>
              <c:numCache>
                <c:formatCode>0.00</c:formatCode>
                <c:ptCount val="32"/>
                <c:pt idx="0">
                  <c:v>86.842923801337889</c:v>
                </c:pt>
                <c:pt idx="1">
                  <c:v>81.069495780467491</c:v>
                </c:pt>
                <c:pt idx="2">
                  <c:v>75.797069493129371</c:v>
                </c:pt>
                <c:pt idx="3">
                  <c:v>72.575162914541409</c:v>
                </c:pt>
                <c:pt idx="4">
                  <c:v>65.806654549385826</c:v>
                </c:pt>
                <c:pt idx="5">
                  <c:v>60.607714976685592</c:v>
                </c:pt>
                <c:pt idx="6">
                  <c:v>51.624887760693511</c:v>
                </c:pt>
                <c:pt idx="7">
                  <c:v>48.03892243142581</c:v>
                </c:pt>
                <c:pt idx="8">
                  <c:v>43.096555280883557</c:v>
                </c:pt>
                <c:pt idx="9">
                  <c:v>39.37672085188354</c:v>
                </c:pt>
                <c:pt idx="10">
                  <c:v>37.334680890075354</c:v>
                </c:pt>
                <c:pt idx="11">
                  <c:v>37.977303336633121</c:v>
                </c:pt>
                <c:pt idx="12">
                  <c:v>37.773057675294375</c:v>
                </c:pt>
                <c:pt idx="13">
                  <c:v>33.536735022488308</c:v>
                </c:pt>
                <c:pt idx="14">
                  <c:v>34.783287047882254</c:v>
                </c:pt>
                <c:pt idx="15">
                  <c:v>33.912934703861126</c:v>
                </c:pt>
                <c:pt idx="16">
                  <c:v>33.316728071849504</c:v>
                </c:pt>
                <c:pt idx="17">
                  <c:v>31.103749388687472</c:v>
                </c:pt>
                <c:pt idx="18">
                  <c:v>35.960284106580737</c:v>
                </c:pt>
                <c:pt idx="19">
                  <c:v>33.944101821380094</c:v>
                </c:pt>
                <c:pt idx="20">
                  <c:v>33.520886446017144</c:v>
                </c:pt>
                <c:pt idx="21">
                  <c:v>38.351534512050499</c:v>
                </c:pt>
                <c:pt idx="22">
                  <c:v>37.207731870403336</c:v>
                </c:pt>
                <c:pt idx="23">
                  <c:v>41.642837205757822</c:v>
                </c:pt>
                <c:pt idx="24">
                  <c:v>41.431018699964106</c:v>
                </c:pt>
                <c:pt idx="25">
                  <c:v>39.378004950027965</c:v>
                </c:pt>
                <c:pt idx="26">
                  <c:v>42.029310721436012</c:v>
                </c:pt>
                <c:pt idx="27">
                  <c:v>40.995668693299201</c:v>
                </c:pt>
                <c:pt idx="28">
                  <c:v>44.444964981631038</c:v>
                </c:pt>
                <c:pt idx="29">
                  <c:v>44.767640295737792</c:v>
                </c:pt>
                <c:pt idx="30">
                  <c:v>41.687103855240373</c:v>
                </c:pt>
                <c:pt idx="31">
                  <c:v>47.017372852292745</c:v>
                </c:pt>
              </c:numCache>
            </c:numRef>
          </c:val>
          <c:extLst xmlns:c16r2="http://schemas.microsoft.com/office/drawing/2015/06/chart">
            <c:ext xmlns:c16="http://schemas.microsoft.com/office/drawing/2014/chart" uri="{C3380CC4-5D6E-409C-BE32-E72D297353CC}">
              <c16:uniqueId val="{00000002-A616-4EF5-BABF-2B3F2E1C7F61}"/>
            </c:ext>
          </c:extLst>
        </c:ser>
        <c:ser>
          <c:idx val="1"/>
          <c:order val="3"/>
          <c:tx>
            <c:strRef>
              <c:f>'Для МВК'!$A$3</c:f>
              <c:strCache>
                <c:ptCount val="1"/>
                <c:pt idx="0">
                  <c:v>Промислові процеси і використання продуктів</c:v>
                </c:pt>
              </c:strCache>
            </c:strRef>
          </c:tx>
          <c:spPr>
            <a:solidFill>
              <a:schemeClr val="accent2"/>
            </a:solidFill>
            <a:ln>
              <a:noFill/>
            </a:ln>
            <a:effectLst/>
          </c:spPr>
          <c:cat>
            <c:numRef>
              <c:f>Totals!$D$1:$AI$1</c:f>
              <c:numCache>
                <c:formatCode>General</c:formatCod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numCache>
            </c:numRef>
          </c:cat>
          <c:val>
            <c:numRef>
              <c:f>Totals!$D$99:$AI$99</c:f>
              <c:numCache>
                <c:formatCode>0.00</c:formatCode>
                <c:ptCount val="32"/>
                <c:pt idx="0">
                  <c:v>118.19883441808295</c:v>
                </c:pt>
                <c:pt idx="1">
                  <c:v>101.31446867665051</c:v>
                </c:pt>
                <c:pt idx="2">
                  <c:v>97.332946813537234</c:v>
                </c:pt>
                <c:pt idx="3">
                  <c:v>79.207461189390045</c:v>
                </c:pt>
                <c:pt idx="4">
                  <c:v>67.168147624961279</c:v>
                </c:pt>
                <c:pt idx="5">
                  <c:v>58.156319702189371</c:v>
                </c:pt>
                <c:pt idx="6">
                  <c:v>56.538093376087772</c:v>
                </c:pt>
                <c:pt idx="7">
                  <c:v>62.118947388433732</c:v>
                </c:pt>
                <c:pt idx="8">
                  <c:v>60.072796681283002</c:v>
                </c:pt>
                <c:pt idx="9">
                  <c:v>62.884548667881383</c:v>
                </c:pt>
                <c:pt idx="10">
                  <c:v>67.453085201197737</c:v>
                </c:pt>
                <c:pt idx="11">
                  <c:v>71.86047707135107</c:v>
                </c:pt>
                <c:pt idx="12">
                  <c:v>74.656700550898364</c:v>
                </c:pt>
                <c:pt idx="13">
                  <c:v>78.250073318114119</c:v>
                </c:pt>
                <c:pt idx="14">
                  <c:v>81.458457442251358</c:v>
                </c:pt>
                <c:pt idx="15">
                  <c:v>80.952379917191365</c:v>
                </c:pt>
                <c:pt idx="16">
                  <c:v>85.274967621757497</c:v>
                </c:pt>
                <c:pt idx="17">
                  <c:v>92.52037611750977</c:v>
                </c:pt>
                <c:pt idx="18">
                  <c:v>89.194538969370612</c:v>
                </c:pt>
                <c:pt idx="19">
                  <c:v>68.642156531132983</c:v>
                </c:pt>
                <c:pt idx="20">
                  <c:v>74.714989927376408</c:v>
                </c:pt>
                <c:pt idx="21">
                  <c:v>81.2321129187998</c:v>
                </c:pt>
                <c:pt idx="22">
                  <c:v>77.696231518498664</c:v>
                </c:pt>
                <c:pt idx="23">
                  <c:v>72.603182540484525</c:v>
                </c:pt>
                <c:pt idx="24">
                  <c:v>61.965895452514197</c:v>
                </c:pt>
                <c:pt idx="25">
                  <c:v>56.415149957773075</c:v>
                </c:pt>
                <c:pt idx="26">
                  <c:v>58.086578200155664</c:v>
                </c:pt>
                <c:pt idx="27">
                  <c:v>51.87916158070157</c:v>
                </c:pt>
                <c:pt idx="28">
                  <c:v>56.478013482408258</c:v>
                </c:pt>
                <c:pt idx="29">
                  <c:v>57.597096005733398</c:v>
                </c:pt>
                <c:pt idx="30">
                  <c:v>55.99760685493878</c:v>
                </c:pt>
                <c:pt idx="31">
                  <c:v>61.489635170462826</c:v>
                </c:pt>
              </c:numCache>
            </c:numRef>
          </c:val>
          <c:extLst xmlns:c16r2="http://schemas.microsoft.com/office/drawing/2015/06/chart">
            <c:ext xmlns:c16="http://schemas.microsoft.com/office/drawing/2014/chart" uri="{C3380CC4-5D6E-409C-BE32-E72D297353CC}">
              <c16:uniqueId val="{00000003-A616-4EF5-BABF-2B3F2E1C7F61}"/>
            </c:ext>
          </c:extLst>
        </c:ser>
        <c:ser>
          <c:idx val="0"/>
          <c:order val="4"/>
          <c:tx>
            <c:strRef>
              <c:f>'Для МВК'!$A$2</c:f>
              <c:strCache>
                <c:ptCount val="1"/>
                <c:pt idx="0">
                  <c:v>Енергетика</c:v>
                </c:pt>
              </c:strCache>
            </c:strRef>
          </c:tx>
          <c:spPr>
            <a:solidFill>
              <a:schemeClr val="accent1"/>
            </a:solidFill>
            <a:ln>
              <a:noFill/>
            </a:ln>
            <a:effectLst/>
          </c:spPr>
          <c:cat>
            <c:numRef>
              <c:f>Totals!$D$1:$AI$1</c:f>
              <c:numCache>
                <c:formatCode>General</c:formatCod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numCache>
            </c:numRef>
          </c:cat>
          <c:val>
            <c:numRef>
              <c:f>Totals!$D$98:$AI$98</c:f>
              <c:numCache>
                <c:formatCode>0.00</c:formatCode>
                <c:ptCount val="32"/>
                <c:pt idx="0">
                  <c:v>725.31933416936602</c:v>
                </c:pt>
                <c:pt idx="1">
                  <c:v>661.61741872184848</c:v>
                </c:pt>
                <c:pt idx="2">
                  <c:v>615.79941061852674</c:v>
                </c:pt>
                <c:pt idx="3">
                  <c:v>547.04588104634843</c:v>
                </c:pt>
                <c:pt idx="4">
                  <c:v>459.96021723971171</c:v>
                </c:pt>
                <c:pt idx="5">
                  <c:v>431.37712821511968</c:v>
                </c:pt>
                <c:pt idx="6">
                  <c:v>395.40706356214253</c:v>
                </c:pt>
                <c:pt idx="7">
                  <c:v>377.68478086677732</c:v>
                </c:pt>
                <c:pt idx="8">
                  <c:v>365.97707372363527</c:v>
                </c:pt>
                <c:pt idx="9">
                  <c:v>335.77284691798161</c:v>
                </c:pt>
                <c:pt idx="10">
                  <c:v>311.34084299424677</c:v>
                </c:pt>
                <c:pt idx="11">
                  <c:v>324.24490662237571</c:v>
                </c:pt>
                <c:pt idx="12">
                  <c:v>306.58853715868753</c:v>
                </c:pt>
                <c:pt idx="13">
                  <c:v>316.42950058659164</c:v>
                </c:pt>
                <c:pt idx="14">
                  <c:v>314.59635482885443</c:v>
                </c:pt>
                <c:pt idx="15">
                  <c:v>315.11237745359063</c:v>
                </c:pt>
                <c:pt idx="16">
                  <c:v>328.85173182207109</c:v>
                </c:pt>
                <c:pt idx="17">
                  <c:v>326.97531762023829</c:v>
                </c:pt>
                <c:pt idx="18">
                  <c:v>313.30510141253978</c:v>
                </c:pt>
                <c:pt idx="19">
                  <c:v>275.35563106231996</c:v>
                </c:pt>
                <c:pt idx="20">
                  <c:v>286.38429970831891</c:v>
                </c:pt>
                <c:pt idx="21">
                  <c:v>296.45166945912194</c:v>
                </c:pt>
                <c:pt idx="22">
                  <c:v>290.28884661929692</c:v>
                </c:pt>
                <c:pt idx="23">
                  <c:v>282.15385111031043</c:v>
                </c:pt>
                <c:pt idx="24">
                  <c:v>246.73948115935073</c:v>
                </c:pt>
                <c:pt idx="25">
                  <c:v>210.82499039110837</c:v>
                </c:pt>
                <c:pt idx="26">
                  <c:v>224.76459459814171</c:v>
                </c:pt>
                <c:pt idx="27">
                  <c:v>217.7526320600405</c:v>
                </c:pt>
                <c:pt idx="28">
                  <c:v>226.28547425898577</c:v>
                </c:pt>
                <c:pt idx="29">
                  <c:v>219.17308987663156</c:v>
                </c:pt>
                <c:pt idx="30">
                  <c:v>207.98843268374088</c:v>
                </c:pt>
                <c:pt idx="31">
                  <c:v>209.74423873566658</c:v>
                </c:pt>
              </c:numCache>
            </c:numRef>
          </c:val>
          <c:extLst xmlns:c16r2="http://schemas.microsoft.com/office/drawing/2015/06/chart">
            <c:ext xmlns:c16="http://schemas.microsoft.com/office/drawing/2014/chart" uri="{C3380CC4-5D6E-409C-BE32-E72D297353CC}">
              <c16:uniqueId val="{00000004-A616-4EF5-BABF-2B3F2E1C7F61}"/>
            </c:ext>
          </c:extLst>
        </c:ser>
        <c:overlap val="100"/>
        <c:axId val="113171456"/>
        <c:axId val="113173248"/>
      </c:barChart>
      <c:catAx>
        <c:axId val="113171456"/>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13173248"/>
        <c:crosses val="autoZero"/>
        <c:auto val="1"/>
        <c:lblAlgn val="ctr"/>
        <c:lblOffset val="100"/>
      </c:catAx>
      <c:valAx>
        <c:axId val="113173248"/>
        <c:scaling>
          <c:orientation val="minMax"/>
          <c:max val="1000"/>
          <c:min val="-1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100" b="0" i="0" baseline="0">
                    <a:effectLst/>
                  </a:rPr>
                  <a:t>Викиди (+) і поглинання (-) ПГ, млн т СО2-екв.</a:t>
                </a:r>
                <a:endParaRPr lang="uk-UA" sz="1100">
                  <a:effectLst/>
                </a:endParaRP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13171456"/>
        <c:crosses val="autoZero"/>
        <c:crossBetween val="between"/>
        <c:majorUnit val="100"/>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B5298-135B-411B-A411-7BE8C1F9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6773</Words>
  <Characters>3862</Characters>
  <Application>Microsoft Office Word</Application>
  <DocSecurity>0</DocSecurity>
  <Lines>32</Lines>
  <Paragraphs>21</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Тимощук</dc:creator>
  <cp:keywords/>
  <dc:description/>
  <cp:lastModifiedBy>Chyzhenko</cp:lastModifiedBy>
  <cp:revision>16</cp:revision>
  <dcterms:created xsi:type="dcterms:W3CDTF">2023-02-22T07:16:00Z</dcterms:created>
  <dcterms:modified xsi:type="dcterms:W3CDTF">2023-03-07T09:23:00Z</dcterms:modified>
</cp:coreProperties>
</file>