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9A6C" w14:textId="34499C12" w:rsidR="00B641F1" w:rsidRPr="002D0A0D" w:rsidRDefault="00B641F1" w:rsidP="007C7677">
      <w:pPr>
        <w:pageBreakBefore/>
        <w:shd w:val="clear" w:color="auto" w:fill="FFFFFF"/>
        <w:spacing w:before="0"/>
        <w:ind w:left="439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0A0D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  <w:r w:rsidRPr="002D0A0D">
        <w:rPr>
          <w:rFonts w:ascii="Times New Roman" w:hAnsi="Times New Roman"/>
          <w:b/>
          <w:sz w:val="28"/>
          <w:szCs w:val="28"/>
          <w:lang w:val="uk-UA"/>
        </w:rPr>
        <w:br/>
      </w:r>
      <w:r w:rsidRPr="002D0A0D">
        <w:rPr>
          <w:rFonts w:ascii="Times New Roman" w:hAnsi="Times New Roman"/>
          <w:b/>
          <w:bCs/>
          <w:sz w:val="28"/>
          <w:szCs w:val="28"/>
          <w:lang w:val="uk-UA"/>
        </w:rPr>
        <w:t>постановою Кабінету Міністрів України</w:t>
      </w:r>
      <w:r w:rsidRPr="002D0A0D">
        <w:rPr>
          <w:rFonts w:ascii="Times New Roman" w:hAnsi="Times New Roman"/>
          <w:b/>
          <w:sz w:val="28"/>
          <w:szCs w:val="28"/>
          <w:lang w:val="uk-UA"/>
        </w:rPr>
        <w:br/>
      </w:r>
      <w:r w:rsidRPr="002D0A0D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 w:rsidR="00BE4714" w:rsidRPr="002D0A0D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C43EBB" w:rsidRPr="002D0A0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E4714" w:rsidRPr="002D0A0D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 w:rsidRPr="002D0A0D">
        <w:rPr>
          <w:rFonts w:ascii="Times New Roman" w:hAnsi="Times New Roman"/>
          <w:b/>
          <w:bCs/>
          <w:sz w:val="28"/>
          <w:szCs w:val="28"/>
          <w:lang w:val="uk-UA"/>
        </w:rPr>
        <w:t xml:space="preserve"> 202</w:t>
      </w:r>
      <w:r w:rsidR="00C43EBB" w:rsidRPr="002D0A0D">
        <w:rPr>
          <w:rFonts w:ascii="Times New Roman" w:hAnsi="Times New Roman"/>
          <w:b/>
          <w:bCs/>
          <w:sz w:val="28"/>
          <w:szCs w:val="28"/>
          <w:lang w:val="uk-UA"/>
        </w:rPr>
        <w:t xml:space="preserve">2 </w:t>
      </w:r>
      <w:r w:rsidRPr="002D0A0D">
        <w:rPr>
          <w:rFonts w:ascii="Times New Roman" w:hAnsi="Times New Roman"/>
          <w:b/>
          <w:bCs/>
          <w:sz w:val="28"/>
          <w:szCs w:val="28"/>
          <w:lang w:val="uk-UA"/>
        </w:rPr>
        <w:t>р. №</w:t>
      </w:r>
      <w:r w:rsidR="00BE4714" w:rsidRPr="002D0A0D">
        <w:rPr>
          <w:rFonts w:ascii="Times New Roman" w:hAnsi="Times New Roman"/>
          <w:b/>
          <w:bCs/>
          <w:sz w:val="28"/>
          <w:szCs w:val="28"/>
          <w:lang w:val="uk-UA"/>
        </w:rPr>
        <w:t xml:space="preserve"> ___</w:t>
      </w:r>
    </w:p>
    <w:p w14:paraId="1EFC1201" w14:textId="77777777" w:rsidR="00B641F1" w:rsidRPr="002D0A0D" w:rsidRDefault="00B641F1" w:rsidP="00B641F1">
      <w:pPr>
        <w:shd w:val="clear" w:color="auto" w:fill="FFFFFF"/>
        <w:spacing w:before="0"/>
        <w:ind w:left="45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474B7200" w14:textId="77777777" w:rsidR="00B641F1" w:rsidRPr="002D0A0D" w:rsidRDefault="00B641F1" w:rsidP="00B641F1">
      <w:pPr>
        <w:shd w:val="clear" w:color="auto" w:fill="FFFFFF"/>
        <w:spacing w:before="0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4614856" w14:textId="77777777" w:rsidR="00BE4714" w:rsidRPr="002D0A0D" w:rsidRDefault="00BE4714" w:rsidP="00BE4714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0A0D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</w:p>
    <w:p w14:paraId="1320D905" w14:textId="77777777" w:rsidR="00BE4714" w:rsidRPr="002D0A0D" w:rsidRDefault="00BE4714" w:rsidP="00BE4714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0A0D">
        <w:rPr>
          <w:rFonts w:ascii="Times New Roman" w:hAnsi="Times New Roman"/>
          <w:b/>
          <w:bCs/>
          <w:sz w:val="28"/>
          <w:szCs w:val="28"/>
          <w:lang w:val="uk-UA"/>
        </w:rPr>
        <w:t>запровадження обов’язкових автоматизованих систем контролю викидів забруднюючих речовин</w:t>
      </w:r>
    </w:p>
    <w:p w14:paraId="1D2B52F8" w14:textId="77777777" w:rsidR="006A18CC" w:rsidRPr="002D0A0D" w:rsidRDefault="006A18CC" w:rsidP="00B641F1">
      <w:pPr>
        <w:shd w:val="clear" w:color="auto" w:fill="FFFFFF"/>
        <w:spacing w:before="0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64645047" w14:textId="727B66D0" w:rsidR="00AC3DD3" w:rsidRDefault="00442870" w:rsidP="00AC3DD3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визначає механізм запровадження обов’язкових автоматизованих систем контролю викидів забруднюючих речовин в атмосферне повітря та здійснення </w:t>
      </w:r>
      <w:bookmarkStart w:id="0" w:name="_Hlk112939096"/>
      <w:r w:rsidRPr="002D0A0D">
        <w:rPr>
          <w:rFonts w:ascii="Times New Roman" w:hAnsi="Times New Roman" w:cs="Times New Roman"/>
          <w:sz w:val="28"/>
          <w:szCs w:val="28"/>
          <w:lang w:val="uk-UA"/>
        </w:rPr>
        <w:t>автоматизованих інструментально-лабораторних вимірювань параметрів викидів забруднюючих речовин</w:t>
      </w:r>
      <w:bookmarkEnd w:id="0"/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 від організованих стаціонарних джерел викидів</w:t>
      </w:r>
      <w:r w:rsidR="00BC1937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8A7EE3" w14:textId="77777777" w:rsidR="009F0970" w:rsidRPr="002D0A0D" w:rsidRDefault="009F0970" w:rsidP="009F0970">
      <w:pPr>
        <w:pStyle w:val="a9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C9B908" w14:textId="77777777" w:rsidR="00AC3DD3" w:rsidRPr="002D0A0D" w:rsidRDefault="00442870" w:rsidP="00AC3DD3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У цьому Порядку терміни вживаються в таких значеннях: </w:t>
      </w:r>
    </w:p>
    <w:p w14:paraId="502DB83B" w14:textId="77777777" w:rsidR="00AC3DD3" w:rsidRPr="002D0A0D" w:rsidRDefault="004428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автоматизована система контролю викидів забруднюючих речовин в атмосферне повітря (далі - АСК) – інформаційно-вимірювальна система, що складається із засобів вимірювань та інших пристроїв, призначена для безперервного вимірювання параметрів відхідних газів та вмісту в них забруднюючих речовин, а також для розрахунку викидів і передачі таких даних. </w:t>
      </w:r>
    </w:p>
    <w:p w14:paraId="6AB2EF12" w14:textId="6E2CAD90" w:rsidR="00AC3DD3" w:rsidRDefault="004428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Інші терміни вживаються у значенні, наведеному в Законах України </w:t>
      </w:r>
      <w:r w:rsidR="00B66D4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>«Про охорону атмосферного повітря» і «Про метрологію та метрологічну діяльність».</w:t>
      </w:r>
    </w:p>
    <w:p w14:paraId="320FBA54" w14:textId="77777777" w:rsidR="009F0970" w:rsidRDefault="009F09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4811D" w14:textId="77777777" w:rsidR="00AC3DD3" w:rsidRPr="002D0A0D" w:rsidRDefault="00442870" w:rsidP="00AC3DD3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Запровадження АСК здійснюється з метою:</w:t>
      </w:r>
    </w:p>
    <w:p w14:paraId="0807B3A2" w14:textId="77777777" w:rsidR="00AC3DD3" w:rsidRPr="002D0A0D" w:rsidRDefault="004428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отримання достовірної та оперативної інформації про вміст забруднюючих речовин у викидах в атмосферне повітря від організованих стаціонарних джерел;</w:t>
      </w:r>
    </w:p>
    <w:p w14:paraId="5518D5FC" w14:textId="77777777" w:rsidR="00AC3DD3" w:rsidRPr="002D0A0D" w:rsidRDefault="004428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контролю за дотриманням затверджених дозволом на викиди граничнодопустимих викидів;</w:t>
      </w:r>
    </w:p>
    <w:p w14:paraId="10D67DA3" w14:textId="77777777" w:rsidR="00AC3DD3" w:rsidRPr="002D0A0D" w:rsidRDefault="004428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обліку викидів з метою складання та подання звітності, у тому числі податкової та звітності пов'язаної з міжнародними зобов'язаннями України;</w:t>
      </w:r>
    </w:p>
    <w:p w14:paraId="4C078442" w14:textId="77777777" w:rsidR="00AC3DD3" w:rsidRDefault="004428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оцінки ефективності заходів, спрямованих на зниження викидів забруднюючих речовин, а також ефективності роботи газоочисного обладнання.</w:t>
      </w:r>
    </w:p>
    <w:p w14:paraId="206C00DC" w14:textId="77777777" w:rsidR="009F0970" w:rsidRPr="002D0A0D" w:rsidRDefault="009F09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D84F7" w14:textId="77777777" w:rsidR="00AC3DD3" w:rsidRPr="002D0A0D" w:rsidRDefault="00442870" w:rsidP="00AC3DD3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Автоматизовані інструментально-лабораторні вимірювання параметрів викидів забруднюючих речовин проводяться суб’єктами господарювання, що здійснюють викиди забруднюючих речовин в атмосферне повітря у випадку:</w:t>
      </w:r>
    </w:p>
    <w:p w14:paraId="46FBAD5D" w14:textId="5858E21F" w:rsidR="00AC3DD3" w:rsidRPr="002D0A0D" w:rsidRDefault="00442870" w:rsidP="00AA3051">
      <w:pPr>
        <w:pStyle w:val="a9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виробництв або технологічного устаткування </w:t>
      </w:r>
      <w:r w:rsidR="00AA305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05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3051" w:rsidRPr="00AA3051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r w:rsidR="00AA305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A3051" w:rsidRPr="00AA3051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 та технологічного устаткування, на яких здійснюються </w:t>
      </w:r>
      <w:r w:rsidR="00AA3051" w:rsidRPr="00AA3051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автоматизовані інструментально-лабораторні вимірювання параметрів викидів забруднюючих речовин</w:t>
      </w:r>
      <w:r w:rsidR="00AA30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у Додатку 1</w:t>
      </w:r>
      <w:r w:rsidR="00BC1937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Порядку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62E49E7" w14:textId="77777777" w:rsidR="00AC3DD3" w:rsidRPr="002D0A0D" w:rsidRDefault="00442870" w:rsidP="00AC3DD3">
      <w:pPr>
        <w:pStyle w:val="a9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суб'єктом господарювання рішення про проведення таких вимірів за речовинами та показниками, що визначається суб'єктом господарювання; </w:t>
      </w:r>
    </w:p>
    <w:p w14:paraId="596FB1C0" w14:textId="3AB2978E" w:rsidR="00442870" w:rsidRDefault="00442870" w:rsidP="00ED6662">
      <w:pPr>
        <w:pStyle w:val="a9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встановлення Міндовкілля відповідних умов та вимог у дозволі на викиди для виробництв або технологічного обладнання, не зазначених у   Додатку 1</w:t>
      </w:r>
      <w:r w:rsidR="00BC1937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Порядку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>, але які</w:t>
      </w:r>
      <w:r w:rsidR="00ED66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6662" w:rsidRPr="00ED6662">
        <w:rPr>
          <w:rFonts w:ascii="Times New Roman" w:hAnsi="Times New Roman" w:cs="Times New Roman"/>
          <w:sz w:val="28"/>
          <w:szCs w:val="28"/>
          <w:lang w:val="uk-UA"/>
        </w:rPr>
        <w:t>за оцінкою впливу викидів  забруднюючих  речовин на стан забруднення атмосферного повітря</w:t>
      </w:r>
      <w:r w:rsidR="00ED66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 мають вплив на якість атмосферного повітря відповідної адміністративно територіальної одиниці, в місці розташування, по забруднюючим речовинам, гранично допустимі концентрації яких перевищені на межі санітарно-захисної зони та/або житлової забудови, що потрапляє у зону впливу.</w:t>
      </w:r>
      <w:bookmarkStart w:id="1" w:name="_GoBack"/>
      <w:bookmarkEnd w:id="1"/>
    </w:p>
    <w:p w14:paraId="6A69B151" w14:textId="77777777" w:rsidR="009F0970" w:rsidRPr="002D0A0D" w:rsidRDefault="009F0970" w:rsidP="009F0970">
      <w:pPr>
        <w:pStyle w:val="a9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D5959" w14:textId="77777777" w:rsidR="00AC3DD3" w:rsidRPr="002D0A0D" w:rsidRDefault="00442870" w:rsidP="00AC3DD3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Автоматизовані інструментально-лабораторні вимірювання повинні включати такі параметри, як температура, тиск та вміст водяної пари у відхідних газах. Зазначене вимірювання вмісту водяної пари у відхідних газах може не здійснюватися за умови, якщо відібраний зразок відхідного газу було просушено до аналізу викидів. </w:t>
      </w:r>
    </w:p>
    <w:p w14:paraId="3D1A9601" w14:textId="77777777" w:rsidR="00AC3DD3" w:rsidRDefault="004428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На установках спалювання відходів та установках сумісного спалювання відходів необхідно здійснювати автоматизовані інструментально-лабораторні вимірювання температури поблизу внутрішньої стінки або в іншій репрезентативній точці камери згоряння. </w:t>
      </w:r>
    </w:p>
    <w:p w14:paraId="73C44F82" w14:textId="77777777" w:rsidR="009F0970" w:rsidRPr="002D0A0D" w:rsidRDefault="009F09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AB9C3E" w14:textId="27B0A17C" w:rsidR="00AC3DD3" w:rsidRDefault="00442870" w:rsidP="00AC3DD3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Місця відбору проб визначається та обладнується відповідно до </w:t>
      </w:r>
      <w:r w:rsidR="00AA305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>КНД 211.2.3.063-98 «Метрологічне забезпечення. Відбір проб промислових викидів».</w:t>
      </w:r>
    </w:p>
    <w:p w14:paraId="4D2B1B52" w14:textId="77777777" w:rsidR="009F0970" w:rsidRPr="002D0A0D" w:rsidRDefault="009F0970" w:rsidP="009F0970">
      <w:pPr>
        <w:pStyle w:val="a9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7150EB" w14:textId="7A6314FF" w:rsidR="00AC3DD3" w:rsidRDefault="00442870" w:rsidP="00ED6662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Відбір зразків, аналіз відповідних забруднюючих речовин та вимірювання параметрів процесів, а також забезпечення якості АСК та референтних методів вимірювання для калібрування та сертифікації зазначених систем повинні здійснюватися відповідно до державних стандартів України, </w:t>
      </w:r>
      <w:r w:rsidR="00ED6662" w:rsidRPr="00ED6662">
        <w:rPr>
          <w:rFonts w:ascii="Times New Roman" w:hAnsi="Times New Roman" w:cs="Times New Roman"/>
          <w:sz w:val="28"/>
          <w:szCs w:val="28"/>
          <w:lang w:val="uk-UA"/>
        </w:rPr>
        <w:t>що встановлюють вимоги до процесів та параметрів роботи АСК</w:t>
      </w:r>
      <w:r w:rsidR="00ED66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>перелік яких веде Міндовкілля на своєму офіційному сайті.</w:t>
      </w:r>
    </w:p>
    <w:p w14:paraId="3FF1BD1F" w14:textId="77777777" w:rsidR="009F0970" w:rsidRPr="009F0970" w:rsidRDefault="009F0970" w:rsidP="009F097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14:paraId="13B1EAE5" w14:textId="77777777" w:rsidR="00AC3DD3" w:rsidRDefault="00442870" w:rsidP="00AC3DD3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Автоматизовані інструментально-лабораторні вимірювання параметрів викидів забруднюючих речовин проводяться з використанням засобів вимірювальної техніки, внесених до Реєстру затверджених типів засобів вимірювальної техніки та повірених відповідно до вимог Закону України «Про метрологію та метрологічну діяльності».</w:t>
      </w:r>
      <w:bookmarkStart w:id="2" w:name="n1034"/>
      <w:bookmarkEnd w:id="2"/>
    </w:p>
    <w:p w14:paraId="24EFDB23" w14:textId="77777777" w:rsidR="009F0970" w:rsidRPr="009F0970" w:rsidRDefault="009F0970" w:rsidP="009F097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14:paraId="5DD5DEB1" w14:textId="5C8D5C85" w:rsidR="00AC3DD3" w:rsidRDefault="00442870" w:rsidP="00ED6662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Суб'єкти господарювання, зазначені у пункті 4</w:t>
      </w:r>
      <w:r w:rsidR="00BC1937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забезпечують передачу даних автоматизованих інструментально-лабораторних 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вимірювань до Міндовкілля, відповідно до технічних вимог</w:t>
      </w:r>
      <w:r w:rsidR="00ED6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662" w:rsidRPr="00ED6662">
        <w:rPr>
          <w:rFonts w:ascii="Times New Roman" w:hAnsi="Times New Roman" w:cs="Times New Roman"/>
          <w:sz w:val="28"/>
          <w:szCs w:val="28"/>
          <w:lang w:val="uk-UA"/>
        </w:rPr>
        <w:t>та специфікацій передачі даних до програмно-технічних засобів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 Міндовкілля.</w:t>
      </w:r>
    </w:p>
    <w:p w14:paraId="4C954640" w14:textId="77777777" w:rsidR="009F0970" w:rsidRPr="009F0970" w:rsidRDefault="009F0970" w:rsidP="009F097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14:paraId="0874BF0D" w14:textId="77777777" w:rsidR="00AC3DD3" w:rsidRDefault="00442870" w:rsidP="00AC3DD3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Збір, обробка та аналіз переданих даних здійснює Міндовкілля за допомогою програмно-технічних засобів.</w:t>
      </w:r>
    </w:p>
    <w:p w14:paraId="3EEAE73C" w14:textId="77777777" w:rsidR="009F0970" w:rsidRPr="009F0970" w:rsidRDefault="009F0970" w:rsidP="009F097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14:paraId="66F260D0" w14:textId="2C220B7D" w:rsidR="00AC3DD3" w:rsidRPr="002D0A0D" w:rsidRDefault="00442870" w:rsidP="00AC3DD3">
      <w:pPr>
        <w:pStyle w:val="a9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Строк встановлення АСК та забезпечення передачі даних вимірів відповідно до пункту 9</w:t>
      </w:r>
      <w:r w:rsidR="00BC1937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F7CD26" w14:textId="15480968" w:rsidR="00AC3DD3" w:rsidRPr="002D0A0D" w:rsidRDefault="004428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складає не більше п'яти років з моменту набрання чинності цієї постанови для суб'єктів господарювання, що здійснюють викиди забруднюючих речовин в атмосферний повітря, зазначених у пункті 4.1</w:t>
      </w:r>
      <w:r w:rsidR="00BC1937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4F8248" w14:textId="450ACD42" w:rsidR="00AC3DD3" w:rsidRPr="002D0A0D" w:rsidRDefault="00442870" w:rsidP="00AC3DD3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встановлюється суб'єктами господарювання, що здійснюють викиди забруднюючих речовин в атмосферний повітря, зазначеними у пункті 4.2</w:t>
      </w:r>
      <w:r w:rsidR="00BC1937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8A7A022" w14:textId="72D83289" w:rsidR="00791AFB" w:rsidRDefault="00442870" w:rsidP="00791AFB">
      <w:pPr>
        <w:pStyle w:val="a9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встановлюється Міндовкілля у дозволі на викиди, але не раніше ніж через  п'ять років з моменту прийняття такого рішення у випадках, передбачених пунктом 4.3</w:t>
      </w:r>
      <w:r w:rsidR="00BC1937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</w:t>
      </w:r>
      <w:r w:rsidRPr="002D0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812FF2" w14:textId="77777777" w:rsidR="00E34BB1" w:rsidRDefault="00E34B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191C85" w14:textId="77777777" w:rsidR="00E34BB1" w:rsidRDefault="00E34BB1">
      <w:pPr>
        <w:rPr>
          <w:rFonts w:ascii="Times New Roman" w:hAnsi="Times New Roman" w:cs="Times New Roman"/>
          <w:sz w:val="28"/>
          <w:szCs w:val="28"/>
          <w:lang w:val="uk-UA"/>
        </w:rPr>
        <w:sectPr w:rsidR="00E34BB1" w:rsidSect="009F0970">
          <w:headerReference w:type="default" r:id="rId8"/>
          <w:headerReference w:type="first" r:id="rId9"/>
          <w:pgSz w:w="11906" w:h="16838"/>
          <w:pgMar w:top="1134" w:right="567" w:bottom="1843" w:left="1701" w:header="709" w:footer="709" w:gutter="0"/>
          <w:pgNumType w:start="1"/>
          <w:cols w:space="708"/>
          <w:titlePg/>
          <w:docGrid w:linePitch="360"/>
        </w:sectPr>
      </w:pPr>
    </w:p>
    <w:p w14:paraId="6401E841" w14:textId="04DE16B4" w:rsidR="009A5D64" w:rsidRPr="002D0A0D" w:rsidRDefault="00791AFB" w:rsidP="00E41272">
      <w:pPr>
        <w:pStyle w:val="a9"/>
        <w:pageBreakBefore/>
        <w:ind w:left="5103"/>
        <w:rPr>
          <w:rFonts w:ascii="Times New Roman" w:hAnsi="Times New Roman"/>
          <w:bCs/>
          <w:sz w:val="24"/>
          <w:szCs w:val="24"/>
          <w:lang w:val="uk-UA"/>
        </w:rPr>
      </w:pPr>
      <w:r w:rsidRPr="002D0A0D"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 1 до Порядку запровадження обов’язкових автоматизованих систем контролю викидів забруднюючих речовин</w:t>
      </w:r>
    </w:p>
    <w:p w14:paraId="228C19A3" w14:textId="77777777" w:rsidR="00791AFB" w:rsidRDefault="00791AFB" w:rsidP="009A5D64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918E3D5" w14:textId="77777777" w:rsidR="009A5D64" w:rsidRDefault="009A5D64" w:rsidP="009A5D64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0A0D">
        <w:rPr>
          <w:rFonts w:ascii="Times New Roman" w:hAnsi="Times New Roman"/>
          <w:b/>
          <w:bCs/>
          <w:sz w:val="28"/>
          <w:szCs w:val="28"/>
          <w:lang w:val="uk-UA"/>
        </w:rPr>
        <w:t>Перелік виробництв та техноло</w:t>
      </w:r>
      <w:r w:rsidR="00373FCF" w:rsidRPr="002D0A0D">
        <w:rPr>
          <w:rFonts w:ascii="Times New Roman" w:hAnsi="Times New Roman"/>
          <w:b/>
          <w:bCs/>
          <w:sz w:val="28"/>
          <w:szCs w:val="28"/>
          <w:lang w:val="uk-UA"/>
        </w:rPr>
        <w:t>гічного устаткування,</w:t>
      </w:r>
      <w:r w:rsidRPr="002D0A0D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яких здійснюються автоматизовані інструментально-лабораторні вимірювання параметрів викидів забруднюючих речовин</w:t>
      </w:r>
    </w:p>
    <w:p w14:paraId="63B1DADC" w14:textId="77777777" w:rsidR="00A8371E" w:rsidRPr="002D0A0D" w:rsidRDefault="00A8371E" w:rsidP="009A5D64">
      <w:pPr>
        <w:shd w:val="clear" w:color="auto" w:fill="FFFFFF"/>
        <w:spacing w:befor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5000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11"/>
        <w:gridCol w:w="6132"/>
      </w:tblGrid>
      <w:tr w:rsidR="00BD5FC0" w:rsidRPr="00BD5FC0" w14:paraId="011A99F2" w14:textId="4388F45A" w:rsidTr="00E6520C">
        <w:trPr>
          <w:trHeight w:val="575"/>
          <w:jc w:val="center"/>
        </w:trPr>
        <w:tc>
          <w:tcPr>
            <w:tcW w:w="365" w:type="pct"/>
          </w:tcPr>
          <w:p w14:paraId="7812F895" w14:textId="56D2AA88" w:rsidR="00BD5FC0" w:rsidRPr="00BD5FC0" w:rsidRDefault="00BD5FC0" w:rsidP="00C51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3" w:name="_Hlk116570619"/>
            <w:r w:rsidRPr="00BD5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457" w:type="pct"/>
            <w:vAlign w:val="center"/>
          </w:tcPr>
          <w:p w14:paraId="76CBE28C" w14:textId="35D0C046" w:rsidR="00BD5FC0" w:rsidRPr="00BD5FC0" w:rsidRDefault="00BD5FC0" w:rsidP="00BD5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Виробництва та технологічне устаткування</w:t>
            </w:r>
          </w:p>
        </w:tc>
        <w:tc>
          <w:tcPr>
            <w:tcW w:w="3178" w:type="pct"/>
            <w:vAlign w:val="center"/>
          </w:tcPr>
          <w:p w14:paraId="06BF0D0C" w14:textId="346725B1" w:rsidR="00BD5FC0" w:rsidRPr="00BD5FC0" w:rsidRDefault="00BD5FC0" w:rsidP="00BD5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забруднюючих речовини та параметри викидів</w:t>
            </w:r>
          </w:p>
        </w:tc>
      </w:tr>
      <w:tr w:rsidR="00E6520C" w:rsidRPr="00BD5FC0" w14:paraId="7B38B5E3" w14:textId="77777777" w:rsidTr="00E6520C">
        <w:trPr>
          <w:trHeight w:val="260"/>
          <w:jc w:val="center"/>
        </w:trPr>
        <w:tc>
          <w:tcPr>
            <w:tcW w:w="365" w:type="pct"/>
            <w:vAlign w:val="center"/>
          </w:tcPr>
          <w:p w14:paraId="53F9C946" w14:textId="49A6BEB3" w:rsidR="00E6520C" w:rsidRPr="00E6520C" w:rsidRDefault="00E6520C" w:rsidP="00E6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7" w:type="pct"/>
            <w:vAlign w:val="center"/>
          </w:tcPr>
          <w:p w14:paraId="30AB5587" w14:textId="1CEEAEF9" w:rsidR="00E6520C" w:rsidRPr="00E6520C" w:rsidRDefault="00E6520C" w:rsidP="00E6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8" w:type="pct"/>
            <w:vAlign w:val="center"/>
          </w:tcPr>
          <w:p w14:paraId="37FCE061" w14:textId="0BBB470C" w:rsidR="00E6520C" w:rsidRPr="00E6520C" w:rsidRDefault="00E6520C" w:rsidP="00E65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5FC0" w:rsidRPr="00BD5FC0" w14:paraId="0389F50A" w14:textId="05C2A649" w:rsidTr="00E6520C">
        <w:trPr>
          <w:trHeight w:val="238"/>
          <w:jc w:val="center"/>
        </w:trPr>
        <w:tc>
          <w:tcPr>
            <w:tcW w:w="365" w:type="pct"/>
            <w:tcBorders>
              <w:bottom w:val="single" w:sz="4" w:space="0" w:color="auto"/>
            </w:tcBorders>
          </w:tcPr>
          <w:p w14:paraId="17720302" w14:textId="77777777" w:rsidR="00BD5FC0" w:rsidRPr="00BD5FC0" w:rsidRDefault="00BD5FC0" w:rsidP="00054CC7">
            <w:pPr>
              <w:pStyle w:val="a9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7" w:type="pct"/>
          </w:tcPr>
          <w:p w14:paraId="05373C5F" w14:textId="77777777" w:rsidR="00BD5FC0" w:rsidRPr="00BD5FC0" w:rsidRDefault="00BD5FC0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Установки, які спалюють паливо із загальною номінальною споживаною тепловою потужністю 100 </w:t>
            </w:r>
            <w:proofErr w:type="spellStart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МВт</w:t>
            </w:r>
            <w:proofErr w:type="spellEnd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більше1</w:t>
            </w:r>
          </w:p>
          <w:p w14:paraId="23EAA423" w14:textId="77777777" w:rsidR="00BD5FC0" w:rsidRPr="00BD5FC0" w:rsidRDefault="00BD5FC0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8" w:type="pct"/>
            <w:tcBorders>
              <w:bottom w:val="single" w:sz="4" w:space="0" w:color="auto"/>
            </w:tcBorders>
          </w:tcPr>
          <w:p w14:paraId="3313AFC6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сірки;</w:t>
            </w:r>
          </w:p>
          <w:p w14:paraId="154B1FAA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Оксиди азоту (оксид та діоксид азоту) у перерахунку на діоксид азоту;</w:t>
            </w:r>
          </w:p>
          <w:p w14:paraId="7E0A8356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у вигляді суспендованих твердих частинок, недиференційованих за складом;</w:t>
            </w:r>
          </w:p>
          <w:p w14:paraId="745D7E7D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 вуглецю;</w:t>
            </w:r>
          </w:p>
          <w:p w14:paraId="41CA722D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Аміак (при використанні селективного некаталітичного відновлення (далі - СНКВ) або селективного каталітичного відновлення (далі - СКВ));</w:t>
            </w:r>
          </w:p>
          <w:p w14:paraId="7BA79F37" w14:textId="0E8B106D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</w:p>
        </w:tc>
      </w:tr>
      <w:tr w:rsidR="00BD5FC0" w:rsidRPr="00BD5FC0" w14:paraId="0B8035B4" w14:textId="2EA5B645" w:rsidTr="00E6520C">
        <w:trPr>
          <w:trHeight w:val="238"/>
          <w:jc w:val="center"/>
        </w:trPr>
        <w:tc>
          <w:tcPr>
            <w:tcW w:w="365" w:type="pct"/>
            <w:tcBorders>
              <w:bottom w:val="single" w:sz="4" w:space="0" w:color="auto"/>
            </w:tcBorders>
          </w:tcPr>
          <w:p w14:paraId="264E4B9C" w14:textId="77777777" w:rsidR="00BD5FC0" w:rsidRPr="00BD5FC0" w:rsidRDefault="00BD5FC0" w:rsidP="00054CC7">
            <w:pPr>
              <w:pStyle w:val="a9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14:paraId="0DDC3DD5" w14:textId="0801E48B" w:rsidR="00BD5FC0" w:rsidRPr="00BD5FC0" w:rsidRDefault="00BD5FC0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Установки спалювання відходів та установки сумісного спалювання відходів2</w:t>
            </w:r>
          </w:p>
        </w:tc>
        <w:tc>
          <w:tcPr>
            <w:tcW w:w="3178" w:type="pct"/>
            <w:tcBorders>
              <w:bottom w:val="single" w:sz="4" w:space="0" w:color="auto"/>
            </w:tcBorders>
          </w:tcPr>
          <w:p w14:paraId="4BA94BC9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Оксиди азоту (оксид та діоксид азоту) у перерахунку на діоксид азоту (за умови встановлення нормативів гранично допустимих викидів);</w:t>
            </w:r>
          </w:p>
          <w:p w14:paraId="38CD4D10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 вуглецю;</w:t>
            </w:r>
          </w:p>
          <w:p w14:paraId="37123FFF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у вигляді суспендованих твердих частинок, недиференційованих за складом;</w:t>
            </w:r>
          </w:p>
          <w:p w14:paraId="522DE3AA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Hlk117233865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Водню хлорид (соляна кислота за молекулою HCL);</w:t>
            </w:r>
          </w:p>
          <w:p w14:paraId="4583DC48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Фтористий водень3</w:t>
            </w:r>
            <w:bookmarkEnd w:id="4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A682BB" w14:textId="77777777" w:rsidR="00BD5FC0" w:rsidRPr="00BD5FC0" w:rsidRDefault="00BD5FC0" w:rsidP="00BD5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 (діоксид та триоксид) у перерахунку на діоксид сірки;</w:t>
            </w:r>
          </w:p>
          <w:p w14:paraId="602A0B5C" w14:textId="77777777" w:rsidR="00791AFB" w:rsidRDefault="00BD5FC0" w:rsidP="00791A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Аміак (при використанні СНКВ або СКВ);</w:t>
            </w:r>
          </w:p>
          <w:p w14:paraId="553CC648" w14:textId="5367B8B0" w:rsidR="0007568F" w:rsidRPr="00BD5FC0" w:rsidRDefault="00BD5FC0" w:rsidP="0007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</w:p>
        </w:tc>
      </w:tr>
    </w:tbl>
    <w:bookmarkEnd w:id="3"/>
    <w:p w14:paraId="69163653" w14:textId="786F2CDA" w:rsidR="0007568F" w:rsidRDefault="0007568F" w:rsidP="00A8371E">
      <w:pPr>
        <w:pageBreakBefore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>Продовження Додатку 1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2835"/>
        <w:gridCol w:w="6095"/>
      </w:tblGrid>
      <w:tr w:rsidR="00E6520C" w14:paraId="504EB5D9" w14:textId="77777777" w:rsidTr="00C805D8">
        <w:tc>
          <w:tcPr>
            <w:tcW w:w="817" w:type="dxa"/>
            <w:vAlign w:val="center"/>
          </w:tcPr>
          <w:p w14:paraId="583205BC" w14:textId="64738DCF" w:rsidR="00E6520C" w:rsidRPr="0007568F" w:rsidRDefault="00E6520C" w:rsidP="00E6520C">
            <w:pPr>
              <w:pStyle w:val="a9"/>
              <w:ind w:left="284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1212EC0B" w14:textId="40141FFB" w:rsidR="00E6520C" w:rsidRDefault="00E6520C" w:rsidP="00E6520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7AF6274D" w14:textId="5F1BBB98" w:rsidR="00E6520C" w:rsidRDefault="00E6520C" w:rsidP="00E6520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520C" w14:paraId="5547A294" w14:textId="77777777" w:rsidTr="00A8371E">
        <w:tc>
          <w:tcPr>
            <w:tcW w:w="817" w:type="dxa"/>
          </w:tcPr>
          <w:p w14:paraId="07FEA57D" w14:textId="77777777" w:rsidR="00E6520C" w:rsidRPr="0007568F" w:rsidRDefault="00E6520C" w:rsidP="00A8371E">
            <w:pPr>
              <w:pStyle w:val="a9"/>
              <w:numPr>
                <w:ilvl w:val="0"/>
                <w:numId w:val="7"/>
              </w:numPr>
              <w:ind w:left="284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4F1F6F52" w14:textId="7B0B1A6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Установки, що виробляють двоокис титану</w:t>
            </w:r>
          </w:p>
        </w:tc>
        <w:tc>
          <w:tcPr>
            <w:tcW w:w="6095" w:type="dxa"/>
          </w:tcPr>
          <w:p w14:paraId="7400CCB6" w14:textId="77777777" w:rsidR="00E6520C" w:rsidRPr="00BD5FC0" w:rsidRDefault="00E6520C" w:rsidP="00F4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 та триоксид сірки що вивільняються в результаті розщеплення та кальцинування з установок задля накопичення</w:t>
            </w: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відпрацьованої кислоти в об’єктах з сульфатним процесом;</w:t>
            </w:r>
          </w:p>
          <w:p w14:paraId="5DBA6684" w14:textId="77777777" w:rsidR="00E6520C" w:rsidRPr="00BD5FC0" w:rsidRDefault="00E6520C" w:rsidP="00F46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_Hlk117233885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Хлор </w:t>
            </w:r>
            <w:bookmarkEnd w:id="5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основних джерел у межах об’єктів з </w:t>
            </w:r>
            <w:proofErr w:type="spellStart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хлоридним</w:t>
            </w:r>
            <w:proofErr w:type="spellEnd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процесом;</w:t>
            </w:r>
          </w:p>
          <w:p w14:paraId="03FE7E80" w14:textId="52FBAE4B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у вигляді суспендованих твердих частинок, недиференційованих за складом з основних джерел</w:t>
            </w:r>
          </w:p>
        </w:tc>
      </w:tr>
      <w:tr w:rsidR="00E6520C" w14:paraId="3EE6CCFF" w14:textId="77777777" w:rsidTr="00A8371E">
        <w:tc>
          <w:tcPr>
            <w:tcW w:w="817" w:type="dxa"/>
          </w:tcPr>
          <w:p w14:paraId="1A248730" w14:textId="40846808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0662F72F" w14:textId="37531ED7" w:rsidR="00E6520C" w:rsidRPr="00BD5FC0" w:rsidRDefault="00E6520C" w:rsidP="0007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Обертові випалювальні печі для виробництва цементного клінкеру продуктивністю понад 500 </w:t>
            </w:r>
            <w:proofErr w:type="spellStart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добу або в інші печі продуктивністю понад 50 </w:t>
            </w:r>
            <w:proofErr w:type="spellStart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добу</w:t>
            </w:r>
          </w:p>
        </w:tc>
        <w:tc>
          <w:tcPr>
            <w:tcW w:w="6095" w:type="dxa"/>
          </w:tcPr>
          <w:p w14:paraId="0AD2ED88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сірки;</w:t>
            </w:r>
          </w:p>
          <w:p w14:paraId="58EF4290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Оксиді азоту (оксид та діоксид азоту) у перерахунку на діоксид азоту;</w:t>
            </w:r>
          </w:p>
          <w:p w14:paraId="6DD96514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Речовини у вигляді суспендованих твердих частинок, недиференційованих за складом; </w:t>
            </w:r>
          </w:p>
          <w:p w14:paraId="48079724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 вуглецю;</w:t>
            </w:r>
          </w:p>
          <w:p w14:paraId="663E290D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Аміак (при використанні СНКВ);</w:t>
            </w:r>
          </w:p>
          <w:p w14:paraId="1DB18923" w14:textId="79B9C3EA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</w:p>
        </w:tc>
      </w:tr>
      <w:tr w:rsidR="00E6520C" w14:paraId="1A5DEF5D" w14:textId="77777777" w:rsidTr="00A8371E">
        <w:tc>
          <w:tcPr>
            <w:tcW w:w="817" w:type="dxa"/>
          </w:tcPr>
          <w:p w14:paraId="7793BC8D" w14:textId="07735324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79B56F98" w14:textId="28922480" w:rsidR="00E6520C" w:rsidRPr="00BD5FC0" w:rsidRDefault="00E6520C" w:rsidP="0007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Установки для виробництва скла, у тому числі скловолокна, плавильною продуктивністю понад 20 </w:t>
            </w:r>
            <w:proofErr w:type="spellStart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добу </w:t>
            </w:r>
          </w:p>
        </w:tc>
        <w:tc>
          <w:tcPr>
            <w:tcW w:w="6095" w:type="dxa"/>
          </w:tcPr>
          <w:p w14:paraId="47184F47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сірки;</w:t>
            </w:r>
          </w:p>
          <w:p w14:paraId="0AA63368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Оксиді азоту (оксид та діоксид азоту) у перерахунку на діоксид азоту;</w:t>
            </w:r>
          </w:p>
          <w:p w14:paraId="250EE3BE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Речовини у вигляді суспендованих твердих частинок, недиференційованих за складом; </w:t>
            </w:r>
          </w:p>
          <w:p w14:paraId="4743A406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 вуглецю;</w:t>
            </w:r>
          </w:p>
          <w:p w14:paraId="40871C85" w14:textId="08F85645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</w:p>
        </w:tc>
      </w:tr>
      <w:tr w:rsidR="00E6520C" w14:paraId="5A2B80EA" w14:textId="77777777" w:rsidTr="00A8371E">
        <w:tc>
          <w:tcPr>
            <w:tcW w:w="817" w:type="dxa"/>
          </w:tcPr>
          <w:p w14:paraId="1ED82700" w14:textId="728DCE6C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655D0091" w14:textId="0A8EEFCC" w:rsidR="00E6520C" w:rsidRPr="00BD5FC0" w:rsidRDefault="00E6520C" w:rsidP="0007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Установки для випалювання та агломерації металевої руди (включаючи сульфідну руду) </w:t>
            </w:r>
          </w:p>
        </w:tc>
        <w:tc>
          <w:tcPr>
            <w:tcW w:w="6095" w:type="dxa"/>
          </w:tcPr>
          <w:p w14:paraId="46646E61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сірки;</w:t>
            </w:r>
          </w:p>
          <w:p w14:paraId="15EB6871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Оксиді азоту (оксид та діоксид азоту) у перерахунку на діоксид азоту;</w:t>
            </w:r>
          </w:p>
          <w:p w14:paraId="3BEBA526" w14:textId="0312826F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у вигляді суспендованих твердих частинок, недиференційованих за складом</w:t>
            </w:r>
          </w:p>
        </w:tc>
      </w:tr>
      <w:tr w:rsidR="00E6520C" w14:paraId="0E7AC963" w14:textId="77777777" w:rsidTr="00A8371E">
        <w:tc>
          <w:tcPr>
            <w:tcW w:w="817" w:type="dxa"/>
          </w:tcPr>
          <w:p w14:paraId="39216C5E" w14:textId="48F258EE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5247344E" w14:textId="7C192925" w:rsidR="00E6520C" w:rsidRPr="00BD5FC0" w:rsidRDefault="00E6520C" w:rsidP="0007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Виробництво чавуну або сталі (первинне або переплав), у тому числі безперервний розлив, продуктивність якого перевищує 2,5 </w:t>
            </w:r>
            <w:proofErr w:type="spellStart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тонни</w:t>
            </w:r>
            <w:proofErr w:type="spellEnd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годину:</w:t>
            </w:r>
          </w:p>
        </w:tc>
        <w:tc>
          <w:tcPr>
            <w:tcW w:w="6095" w:type="dxa"/>
          </w:tcPr>
          <w:p w14:paraId="10AE6C3B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93BE3E7" w14:textId="23BD3A1D" w:rsidR="00A8371E" w:rsidRDefault="00A8371E" w:rsidP="00A8371E">
      <w:pPr>
        <w:pageBreakBefore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>Продовження Додатку 1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6095"/>
      </w:tblGrid>
      <w:tr w:rsidR="00E6520C" w14:paraId="0C6C5119" w14:textId="77777777" w:rsidTr="002F4C07">
        <w:tc>
          <w:tcPr>
            <w:tcW w:w="817" w:type="dxa"/>
            <w:vAlign w:val="center"/>
          </w:tcPr>
          <w:p w14:paraId="2F38ECAC" w14:textId="7C9243CF" w:rsidR="00E6520C" w:rsidRDefault="00E6520C" w:rsidP="00E6520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5DC4BD7" w14:textId="124069BE" w:rsidR="00E6520C" w:rsidRDefault="00E6520C" w:rsidP="00E6520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5F564A46" w14:textId="4C255625" w:rsidR="00E6520C" w:rsidRDefault="00E6520C" w:rsidP="00E6520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520C" w14:paraId="5A33C97C" w14:textId="77777777" w:rsidTr="00A8371E">
        <w:tc>
          <w:tcPr>
            <w:tcW w:w="817" w:type="dxa"/>
          </w:tcPr>
          <w:p w14:paraId="4CC1426B" w14:textId="3A1E8E86" w:rsidR="00E6520C" w:rsidRDefault="00E6520C" w:rsidP="00A8371E">
            <w:pP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7.1. </w:t>
            </w:r>
          </w:p>
        </w:tc>
        <w:tc>
          <w:tcPr>
            <w:tcW w:w="2835" w:type="dxa"/>
          </w:tcPr>
          <w:p w14:paraId="414E7562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Установки гранулювання</w:t>
            </w:r>
          </w:p>
          <w:p w14:paraId="79FA0E1C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1DF177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14:paraId="08FC3C64" w14:textId="77777777" w:rsidR="00E6520C" w:rsidRPr="00BD5FC0" w:rsidRDefault="00E6520C" w:rsidP="006C4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сірки;</w:t>
            </w:r>
          </w:p>
          <w:p w14:paraId="70C53FF7" w14:textId="4FA57150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Оксиді азоту (оксид та діоксид азоту) у перерахунку на діоксид азоту</w:t>
            </w:r>
          </w:p>
        </w:tc>
      </w:tr>
      <w:tr w:rsidR="00E6520C" w14:paraId="0ED46F98" w14:textId="77777777" w:rsidTr="00A8371E">
        <w:tc>
          <w:tcPr>
            <w:tcW w:w="817" w:type="dxa"/>
          </w:tcPr>
          <w:p w14:paraId="012900EA" w14:textId="3A25CEEB" w:rsidR="00E6520C" w:rsidRDefault="00E6520C" w:rsidP="00A8371E">
            <w:pP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7.2.</w:t>
            </w:r>
          </w:p>
        </w:tc>
        <w:tc>
          <w:tcPr>
            <w:tcW w:w="2835" w:type="dxa"/>
          </w:tcPr>
          <w:p w14:paraId="06C9C0BC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Доменні печі</w:t>
            </w:r>
          </w:p>
          <w:p w14:paraId="04F3ADB7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5BE88D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F51CFF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14B99F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14:paraId="3F21CD79" w14:textId="2166502F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у вигляді суспендованих твердих частинок, недиференційованих за складом</w:t>
            </w:r>
          </w:p>
        </w:tc>
      </w:tr>
      <w:tr w:rsidR="00E6520C" w14:paraId="08177032" w14:textId="77777777" w:rsidTr="00A8371E">
        <w:tc>
          <w:tcPr>
            <w:tcW w:w="817" w:type="dxa"/>
          </w:tcPr>
          <w:p w14:paraId="129E0659" w14:textId="577FE543" w:rsidR="00E6520C" w:rsidRDefault="00E6520C" w:rsidP="00A8371E">
            <w:pP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7.3.</w:t>
            </w:r>
          </w:p>
        </w:tc>
        <w:tc>
          <w:tcPr>
            <w:tcW w:w="2835" w:type="dxa"/>
          </w:tcPr>
          <w:p w14:paraId="0637D1FC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Конвектори</w:t>
            </w:r>
          </w:p>
          <w:p w14:paraId="53664658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14:paraId="15A578C9" w14:textId="267F5D48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у вигляді суспендованих твердих частинок, недиференційованих за складом</w:t>
            </w:r>
          </w:p>
        </w:tc>
      </w:tr>
      <w:tr w:rsidR="00E6520C" w14:paraId="6E5F482F" w14:textId="77777777" w:rsidTr="00A8371E">
        <w:tc>
          <w:tcPr>
            <w:tcW w:w="817" w:type="dxa"/>
          </w:tcPr>
          <w:p w14:paraId="0ECA8A43" w14:textId="608B17A6" w:rsidR="00E6520C" w:rsidRDefault="00E6520C" w:rsidP="00A8371E">
            <w:pP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7.4.</w:t>
            </w:r>
          </w:p>
        </w:tc>
        <w:tc>
          <w:tcPr>
            <w:tcW w:w="2835" w:type="dxa"/>
          </w:tcPr>
          <w:p w14:paraId="58613560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Електродугові печі</w:t>
            </w:r>
          </w:p>
          <w:p w14:paraId="0B26DAE0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14:paraId="6CA76F21" w14:textId="244978EC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у вигляді суспендованих твердих частинок, недиференційованих за складом</w:t>
            </w:r>
          </w:p>
        </w:tc>
      </w:tr>
      <w:tr w:rsidR="00E6520C" w14:paraId="6857BB56" w14:textId="77777777" w:rsidTr="00A8371E">
        <w:tc>
          <w:tcPr>
            <w:tcW w:w="817" w:type="dxa"/>
          </w:tcPr>
          <w:p w14:paraId="6412BA7C" w14:textId="2BB6A982" w:rsidR="00E6520C" w:rsidRPr="00A8371E" w:rsidRDefault="00E6520C" w:rsidP="00A8371E">
            <w:pPr>
              <w:pStyle w:val="a9"/>
              <w:numPr>
                <w:ilvl w:val="1"/>
                <w:numId w:val="8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08BAC975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Котли, які працюють на технологічному газі</w:t>
            </w:r>
          </w:p>
          <w:p w14:paraId="3D890169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14:paraId="00CF409C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Оксиді азоту (оксид та діоксид азоту) у перерахунку на діоксид азоту;</w:t>
            </w:r>
          </w:p>
          <w:p w14:paraId="4C07F53B" w14:textId="29EE4F81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</w:p>
        </w:tc>
      </w:tr>
      <w:tr w:rsidR="00E6520C" w14:paraId="3E4A7730" w14:textId="77777777" w:rsidTr="00A8371E">
        <w:tc>
          <w:tcPr>
            <w:tcW w:w="817" w:type="dxa"/>
          </w:tcPr>
          <w:p w14:paraId="6BC810FE" w14:textId="0F6A57D4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7540DC0D" w14:textId="0C35A1A1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коксу (котли, які працюють на технологічному газі)</w:t>
            </w:r>
          </w:p>
        </w:tc>
        <w:tc>
          <w:tcPr>
            <w:tcW w:w="6095" w:type="dxa"/>
          </w:tcPr>
          <w:p w14:paraId="00865277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Оксиді азоту (оксид та діоксид азоту) у перерахунку на діоксид азоту;</w:t>
            </w:r>
          </w:p>
          <w:p w14:paraId="5446E19F" w14:textId="3C1662D1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</w:p>
        </w:tc>
      </w:tr>
      <w:tr w:rsidR="00E6520C" w14:paraId="52130868" w14:textId="77777777" w:rsidTr="00A8371E">
        <w:tc>
          <w:tcPr>
            <w:tcW w:w="817" w:type="dxa"/>
          </w:tcPr>
          <w:p w14:paraId="4C1ED113" w14:textId="78A5A9D9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5547927A" w14:textId="6B17B44B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сірчаної кислоти</w:t>
            </w:r>
          </w:p>
        </w:tc>
        <w:tc>
          <w:tcPr>
            <w:tcW w:w="6095" w:type="dxa"/>
          </w:tcPr>
          <w:p w14:paraId="35CB4496" w14:textId="229E4281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</w:t>
            </w:r>
          </w:p>
        </w:tc>
      </w:tr>
      <w:tr w:rsidR="00E6520C" w14:paraId="3DEAFADC" w14:textId="77777777" w:rsidTr="00A8371E">
        <w:tc>
          <w:tcPr>
            <w:tcW w:w="817" w:type="dxa"/>
          </w:tcPr>
          <w:p w14:paraId="31B1A8C7" w14:textId="3E9C6F3C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07A4A42D" w14:textId="7AA69512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Переробка нафти і газу:</w:t>
            </w:r>
          </w:p>
        </w:tc>
        <w:tc>
          <w:tcPr>
            <w:tcW w:w="6095" w:type="dxa"/>
          </w:tcPr>
          <w:p w14:paraId="523B0992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20C" w14:paraId="076077EB" w14:textId="77777777" w:rsidTr="00A8371E">
        <w:tc>
          <w:tcPr>
            <w:tcW w:w="817" w:type="dxa"/>
          </w:tcPr>
          <w:p w14:paraId="42EB030A" w14:textId="278FC4BF" w:rsidR="00E6520C" w:rsidRDefault="00E6520C" w:rsidP="00A8371E">
            <w:pP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10.1. </w:t>
            </w:r>
          </w:p>
        </w:tc>
        <w:tc>
          <w:tcPr>
            <w:tcW w:w="2835" w:type="dxa"/>
          </w:tcPr>
          <w:p w14:paraId="63890EF0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Установки каталітичного крекінгу</w:t>
            </w:r>
          </w:p>
          <w:p w14:paraId="4CE05F50" w14:textId="77777777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14:paraId="1C0F08D2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сірки4;</w:t>
            </w:r>
          </w:p>
          <w:p w14:paraId="07D22EE5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Оксиді азоту (оксид та діоксид азоту) у перерахунку на діоксид азоту;</w:t>
            </w:r>
          </w:p>
          <w:p w14:paraId="255DA910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у вигляді суспендованих твердих частинок, недиференційованих за складом</w:t>
            </w:r>
          </w:p>
          <w:p w14:paraId="152B8230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 вуглецю</w:t>
            </w:r>
          </w:p>
          <w:p w14:paraId="56B5613E" w14:textId="412E27D4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</w:p>
        </w:tc>
      </w:tr>
      <w:tr w:rsidR="00E6520C" w14:paraId="44D89EA7" w14:textId="77777777" w:rsidTr="00A8371E">
        <w:tc>
          <w:tcPr>
            <w:tcW w:w="817" w:type="dxa"/>
          </w:tcPr>
          <w:p w14:paraId="3C6FCEB9" w14:textId="517B8AAF" w:rsidR="00E6520C" w:rsidRDefault="00E6520C" w:rsidP="00A8371E">
            <w:pP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10.2. </w:t>
            </w:r>
          </w:p>
        </w:tc>
        <w:tc>
          <w:tcPr>
            <w:tcW w:w="2835" w:type="dxa"/>
          </w:tcPr>
          <w:p w14:paraId="285A6560" w14:textId="454B4EE6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Установки регенерації сірки</w:t>
            </w:r>
          </w:p>
        </w:tc>
        <w:tc>
          <w:tcPr>
            <w:tcW w:w="6095" w:type="dxa"/>
          </w:tcPr>
          <w:p w14:paraId="2EEFE95F" w14:textId="751EAC69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</w:t>
            </w:r>
          </w:p>
        </w:tc>
      </w:tr>
      <w:tr w:rsidR="00E6520C" w14:paraId="381C9872" w14:textId="77777777" w:rsidTr="00A8371E">
        <w:tc>
          <w:tcPr>
            <w:tcW w:w="817" w:type="dxa"/>
          </w:tcPr>
          <w:p w14:paraId="553362C4" w14:textId="0B84375D" w:rsidR="00E6520C" w:rsidRDefault="00E6520C" w:rsidP="00A8371E">
            <w:pP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10.3. </w:t>
            </w:r>
          </w:p>
        </w:tc>
        <w:tc>
          <w:tcPr>
            <w:tcW w:w="2835" w:type="dxa"/>
          </w:tcPr>
          <w:p w14:paraId="2F60EC72" w14:textId="3C11278E" w:rsidR="00E6520C" w:rsidRPr="00BD5FC0" w:rsidRDefault="00E6520C" w:rsidP="00BC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Установки, оснащенні СКВ або СНКВ</w:t>
            </w:r>
          </w:p>
        </w:tc>
        <w:tc>
          <w:tcPr>
            <w:tcW w:w="6095" w:type="dxa"/>
          </w:tcPr>
          <w:p w14:paraId="345B92D4" w14:textId="792739C4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Аміак</w:t>
            </w:r>
          </w:p>
        </w:tc>
      </w:tr>
    </w:tbl>
    <w:p w14:paraId="5C9037E5" w14:textId="77777777" w:rsidR="00A8371E" w:rsidRDefault="00A8371E" w:rsidP="00A8371E">
      <w:pPr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3BB20B23" w14:textId="77777777" w:rsidR="00A8371E" w:rsidRDefault="00A8371E" w:rsidP="00A8371E">
      <w:pPr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38621A07" w14:textId="77777777" w:rsidR="00A8371E" w:rsidRDefault="00A8371E" w:rsidP="00A8371E">
      <w:pPr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115EF811" w14:textId="77777777" w:rsidR="00A8371E" w:rsidRDefault="00A8371E" w:rsidP="00A8371E">
      <w:pPr>
        <w:pageBreakBefore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>Продовження Додатку 1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17"/>
        <w:gridCol w:w="2835"/>
        <w:gridCol w:w="6237"/>
      </w:tblGrid>
      <w:tr w:rsidR="00E6520C" w14:paraId="2AC3D1EF" w14:textId="77777777" w:rsidTr="007E2D76">
        <w:tc>
          <w:tcPr>
            <w:tcW w:w="817" w:type="dxa"/>
            <w:vAlign w:val="center"/>
          </w:tcPr>
          <w:p w14:paraId="6BDD472A" w14:textId="3865885F" w:rsidR="00E6520C" w:rsidRPr="00E6520C" w:rsidRDefault="00E6520C" w:rsidP="00E6520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230011E4" w14:textId="2A2D6BD8" w:rsidR="00E6520C" w:rsidRDefault="00E6520C" w:rsidP="00E6520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54BB2694" w14:textId="2B8F1450" w:rsidR="00E6520C" w:rsidRDefault="00E6520C" w:rsidP="00E6520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652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520C" w14:paraId="7938A807" w14:textId="77777777" w:rsidTr="00A8371E">
        <w:tc>
          <w:tcPr>
            <w:tcW w:w="817" w:type="dxa"/>
          </w:tcPr>
          <w:p w14:paraId="598A8113" w14:textId="77777777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765B7E90" w14:textId="77777777" w:rsidR="00E6520C" w:rsidRPr="00BD5FC0" w:rsidRDefault="00E6520C" w:rsidP="00080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Котли-утилізатори, що експлуатуються під час виробництва целюлози з деревини або аналогічних волокнистих матеріалів</w:t>
            </w:r>
          </w:p>
          <w:p w14:paraId="31869CC8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2F1346E3" w14:textId="77777777" w:rsidR="00E6520C" w:rsidRPr="00BD5FC0" w:rsidRDefault="00E6520C" w:rsidP="00080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Діоксид сірки </w:t>
            </w:r>
          </w:p>
          <w:p w14:paraId="11932D96" w14:textId="77777777" w:rsidR="00E6520C" w:rsidRPr="00BD5FC0" w:rsidRDefault="00E6520C" w:rsidP="00080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Оксиді азоту (оксид та діоксид азоту) у перерахунку на діоксид азоту</w:t>
            </w:r>
          </w:p>
          <w:p w14:paraId="56489308" w14:textId="77777777" w:rsidR="00E6520C" w:rsidRPr="00BD5FC0" w:rsidRDefault="00E6520C" w:rsidP="00080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117233905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Сірководень</w:t>
            </w:r>
          </w:p>
          <w:bookmarkEnd w:id="6"/>
          <w:p w14:paraId="393D74F2" w14:textId="77777777" w:rsidR="00E6520C" w:rsidRPr="00BD5FC0" w:rsidRDefault="00E6520C" w:rsidP="00080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 вуглецю</w:t>
            </w:r>
          </w:p>
          <w:p w14:paraId="14396732" w14:textId="05BC35FE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</w:p>
        </w:tc>
      </w:tr>
      <w:tr w:rsidR="00E6520C" w14:paraId="32D71F6F" w14:textId="77777777" w:rsidTr="00A8371E">
        <w:tc>
          <w:tcPr>
            <w:tcW w:w="817" w:type="dxa"/>
          </w:tcPr>
          <w:p w14:paraId="32FEFBEF" w14:textId="0E7C84F0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01DDAA6A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Технологічні печі/нагрівачі із загальною номінальною споживаною тепловою потужністю 50 </w:t>
            </w:r>
            <w:proofErr w:type="spellStart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МВт</w:t>
            </w:r>
            <w:proofErr w:type="spellEnd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більше, що експлуатуються під час виробництва органічних хімічних речовин у безперервних процесах, із загальною виробничою потужністю хімічних речовин понад 20 тис. </w:t>
            </w:r>
            <w:proofErr w:type="spellStart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тонн</w:t>
            </w:r>
            <w:proofErr w:type="spellEnd"/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рік</w:t>
            </w:r>
          </w:p>
          <w:p w14:paraId="7B13CD5F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2FDF43C1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 вуглецю</w:t>
            </w:r>
          </w:p>
          <w:p w14:paraId="23371324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у вигляді суспендованих твердих частинок, недиференційованих за складом</w:t>
            </w:r>
          </w:p>
          <w:p w14:paraId="12E61643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Аміак (при використанні СНКВ або СКВ)</w:t>
            </w:r>
          </w:p>
          <w:p w14:paraId="1FF0B513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Оксиді азоту (оксид та діоксид азоту) у перерахунку на діоксид азоту</w:t>
            </w:r>
          </w:p>
          <w:p w14:paraId="705F5E3C" w14:textId="77777777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 5</w:t>
            </w:r>
          </w:p>
          <w:p w14:paraId="41BAB5A4" w14:textId="15AF16D1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</w:t>
            </w:r>
          </w:p>
        </w:tc>
      </w:tr>
      <w:tr w:rsidR="00E6520C" w14:paraId="7786819C" w14:textId="77777777" w:rsidTr="00A8371E">
        <w:tc>
          <w:tcPr>
            <w:tcW w:w="817" w:type="dxa"/>
          </w:tcPr>
          <w:p w14:paraId="408AB1B3" w14:textId="7F57EC92" w:rsidR="00E6520C" w:rsidRPr="00A8371E" w:rsidRDefault="00E6520C" w:rsidP="00A8371E">
            <w:pPr>
              <w:pStyle w:val="a9"/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14:paraId="23CFF4C6" w14:textId="5D0717AB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Установки з виробництва пірометалургійного цинку</w:t>
            </w:r>
          </w:p>
        </w:tc>
        <w:tc>
          <w:tcPr>
            <w:tcW w:w="6237" w:type="dxa"/>
          </w:tcPr>
          <w:p w14:paraId="7BEE141C" w14:textId="7423DE79" w:rsidR="00E6520C" w:rsidRPr="00BD5FC0" w:rsidRDefault="00E6520C" w:rsidP="002423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Діоксид сірки (крім випадків, коли викиди після установки направляються на установку з виробництва сірчаної кислоти)</w:t>
            </w:r>
          </w:p>
        </w:tc>
      </w:tr>
    </w:tbl>
    <w:p w14:paraId="268D4FFE" w14:textId="77777777" w:rsidR="00A8371E" w:rsidRDefault="00A8371E" w:rsidP="00A8371E">
      <w:pPr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4FF8DBF1" w14:textId="77777777" w:rsidR="009A5D64" w:rsidRPr="002D0A0D" w:rsidRDefault="009A5D64" w:rsidP="00BC4056">
      <w:pPr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>Примітки:</w:t>
      </w:r>
    </w:p>
    <w:p w14:paraId="191A9EE5" w14:textId="1366AC12" w:rsidR="009A5D64" w:rsidRPr="002D0A0D" w:rsidRDefault="009A5D64" w:rsidP="008F3CFB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>Допускається не здійснювати автоматизовані інструментально-лабораторні вимірювання параметрів викидів забруднюючих речовин у наступних випадках:</w:t>
      </w:r>
    </w:p>
    <w:p w14:paraId="6815D2EE" w14:textId="77777777" w:rsidR="00BC4056" w:rsidRDefault="009A5D64" w:rsidP="008F3CFB">
      <w:pPr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1) для </w:t>
      </w:r>
      <w:proofErr w:type="spellStart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>спалювальних</w:t>
      </w:r>
      <w:proofErr w:type="spellEnd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 установок зі строком служби менше 10000 годин експлуатації;</w:t>
      </w:r>
    </w:p>
    <w:p w14:paraId="5A45376B" w14:textId="77777777" w:rsidR="00A8371E" w:rsidRDefault="00A8371E" w:rsidP="00A8371E">
      <w:pPr>
        <w:pageBreakBefore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>Продовження Додатку 1</w:t>
      </w:r>
    </w:p>
    <w:p w14:paraId="4186A4EB" w14:textId="77777777" w:rsidR="00BC4056" w:rsidRPr="002D0A0D" w:rsidRDefault="009A5D64" w:rsidP="008F3CFB">
      <w:pPr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2) для викидів діоксиду сірки та речовин у вигляді суспендованих твердих частинок, недиференційованих за складом, </w:t>
      </w:r>
      <w:r w:rsidR="00A02F25" w:rsidRPr="002D0A0D">
        <w:rPr>
          <w:rFonts w:ascii="Times New Roman" w:hAnsi="Times New Roman"/>
          <w:bCs/>
          <w:sz w:val="28"/>
          <w:szCs w:val="28"/>
          <w:lang w:val="uk-UA" w:eastAsia="uk-UA"/>
        </w:rPr>
        <w:t>зі</w:t>
      </w:r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373FCF" w:rsidRPr="002D0A0D">
        <w:rPr>
          <w:rFonts w:ascii="Times New Roman" w:hAnsi="Times New Roman"/>
          <w:bCs/>
          <w:sz w:val="28"/>
          <w:szCs w:val="28"/>
          <w:lang w:val="uk-UA" w:eastAsia="uk-UA"/>
        </w:rPr>
        <w:t>спалювальних</w:t>
      </w:r>
      <w:proofErr w:type="spellEnd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 установок, що використовують природний газ;</w:t>
      </w:r>
    </w:p>
    <w:p w14:paraId="21015C01" w14:textId="6571B1A5" w:rsidR="009A5D64" w:rsidRPr="002D0A0D" w:rsidRDefault="00BC4056" w:rsidP="008F3CFB">
      <w:pPr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3) </w:t>
      </w:r>
      <w:r w:rsidR="009A5D64"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для викидів діоксиду сірки </w:t>
      </w:r>
      <w:r w:rsidR="00A02F25" w:rsidRPr="002D0A0D">
        <w:rPr>
          <w:rFonts w:ascii="Times New Roman" w:hAnsi="Times New Roman"/>
          <w:bCs/>
          <w:sz w:val="28"/>
          <w:szCs w:val="28"/>
          <w:lang w:val="uk-UA" w:eastAsia="uk-UA"/>
        </w:rPr>
        <w:t>з</w:t>
      </w:r>
      <w:r w:rsidR="006D7CD0"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і </w:t>
      </w:r>
      <w:proofErr w:type="spellStart"/>
      <w:r w:rsidR="006D7CD0" w:rsidRPr="002D0A0D">
        <w:rPr>
          <w:rFonts w:ascii="Times New Roman" w:hAnsi="Times New Roman"/>
          <w:bCs/>
          <w:sz w:val="28"/>
          <w:szCs w:val="28"/>
          <w:lang w:val="uk-UA" w:eastAsia="uk-UA"/>
        </w:rPr>
        <w:t>спалювальних</w:t>
      </w:r>
      <w:proofErr w:type="spellEnd"/>
      <w:r w:rsidR="006D7CD0"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 установок</w:t>
      </w:r>
      <w:r w:rsidR="009A5D64"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, які використовують нафту з відомим вмістом сірки, якщо немає обладнання для </w:t>
      </w:r>
      <w:proofErr w:type="spellStart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>десульфуризації</w:t>
      </w:r>
      <w:proofErr w:type="spellEnd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відхідних газів</w:t>
      </w:r>
      <w:r w:rsidR="009A5D64" w:rsidRPr="002D0A0D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="006D7CD0"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14:paraId="2F9BF177" w14:textId="031B5517" w:rsidR="009A5D64" w:rsidRPr="002D0A0D" w:rsidRDefault="009A5D64" w:rsidP="008F3CFB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Дозвільний орган може прийняти рішення щодо не здійснення автоматизованих інструментально-лабораторних вимірювань для  оксидів азоту (оксид та діоксид азоту) у перерахунку на діоксид азоту, на існуючих установках спалювання відходів із номінальною потужністю менше ніж 6 </w:t>
      </w:r>
      <w:proofErr w:type="spellStart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>тонн</w:t>
      </w:r>
      <w:proofErr w:type="spellEnd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годину або на існуючих установках сумісного спалювання відходів із номінальною потужністю менше ніж 6 </w:t>
      </w:r>
      <w:proofErr w:type="spellStart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>тонн</w:t>
      </w:r>
      <w:proofErr w:type="spellEnd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 годину.</w:t>
      </w:r>
    </w:p>
    <w:p w14:paraId="300C06DD" w14:textId="0C5F61EF" w:rsidR="009A5D64" w:rsidRPr="002D0A0D" w:rsidRDefault="009A5D64" w:rsidP="008F3CFB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У разі спалювання газоподібного та/або рідкого палива з відомим вмістом сірки та не здійснюють </w:t>
      </w:r>
      <w:proofErr w:type="spellStart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>десульфуризацію</w:t>
      </w:r>
      <w:proofErr w:type="spellEnd"/>
      <w:r w:rsidRPr="002D0A0D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відхідних газів, автоматизовані інструментально-лабораторні вимірювання може бути замінені або періодичними вимірюваннями з мінімальною частотою один раз на 3 місяці, або розрахунками.</w:t>
      </w:r>
    </w:p>
    <w:p w14:paraId="58700A8D" w14:textId="77777777" w:rsidR="009A5D64" w:rsidRDefault="009A5D64" w:rsidP="009A5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83477E" w14:textId="77777777" w:rsidR="009D3777" w:rsidRPr="002D0A0D" w:rsidRDefault="009D3777" w:rsidP="009A5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519AE3" w14:textId="2FE8F28B" w:rsidR="006D7CD0" w:rsidRPr="002D0A0D" w:rsidRDefault="0074499F" w:rsidP="007449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sectPr w:rsidR="006D7CD0" w:rsidRPr="002D0A0D" w:rsidSect="00E34BB1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B6AA2" w14:textId="77777777" w:rsidR="00CE575E" w:rsidRDefault="00CE575E" w:rsidP="00602EEF">
      <w:pPr>
        <w:spacing w:before="0"/>
      </w:pPr>
      <w:r>
        <w:separator/>
      </w:r>
    </w:p>
  </w:endnote>
  <w:endnote w:type="continuationSeparator" w:id="0">
    <w:p w14:paraId="4676BED9" w14:textId="77777777" w:rsidR="00CE575E" w:rsidRDefault="00CE575E" w:rsidP="00602E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0930" w14:textId="77777777" w:rsidR="00CE575E" w:rsidRDefault="00CE575E" w:rsidP="00602EEF">
      <w:pPr>
        <w:spacing w:before="0"/>
      </w:pPr>
      <w:r>
        <w:separator/>
      </w:r>
    </w:p>
  </w:footnote>
  <w:footnote w:type="continuationSeparator" w:id="0">
    <w:p w14:paraId="49279004" w14:textId="77777777" w:rsidR="00CE575E" w:rsidRDefault="00CE575E" w:rsidP="00602E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021114"/>
      <w:docPartObj>
        <w:docPartGallery w:val="Page Numbers (Top of Page)"/>
        <w:docPartUnique/>
      </w:docPartObj>
    </w:sdtPr>
    <w:sdtEndPr/>
    <w:sdtContent>
      <w:p w14:paraId="403FE9BD" w14:textId="0F14BE90" w:rsidR="003E60E1" w:rsidRDefault="003E60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AE">
          <w:rPr>
            <w:noProof/>
          </w:rPr>
          <w:t>2</w:t>
        </w:r>
        <w:r>
          <w:fldChar w:fldCharType="end"/>
        </w:r>
      </w:p>
    </w:sdtContent>
  </w:sdt>
  <w:p w14:paraId="42D7E4DC" w14:textId="77777777" w:rsidR="00791AFB" w:rsidRDefault="00791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2737" w14:textId="36665DC0" w:rsidR="00E34BB1" w:rsidRDefault="00E34BB1">
    <w:pPr>
      <w:pStyle w:val="a3"/>
      <w:jc w:val="center"/>
    </w:pPr>
  </w:p>
  <w:p w14:paraId="5E2D45DA" w14:textId="77777777" w:rsidR="00E34BB1" w:rsidRDefault="00E34B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423889"/>
      <w:docPartObj>
        <w:docPartGallery w:val="Page Numbers (Top of Page)"/>
        <w:docPartUnique/>
      </w:docPartObj>
    </w:sdtPr>
    <w:sdtEndPr/>
    <w:sdtContent>
      <w:p w14:paraId="122508E3" w14:textId="77777777" w:rsidR="00E34BB1" w:rsidRDefault="00E34B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69">
          <w:rPr>
            <w:noProof/>
          </w:rPr>
          <w:t>4</w:t>
        </w:r>
        <w:r>
          <w:fldChar w:fldCharType="end"/>
        </w:r>
      </w:p>
    </w:sdtContent>
  </w:sdt>
  <w:p w14:paraId="31D2B226" w14:textId="77777777" w:rsidR="00E34BB1" w:rsidRDefault="00E34B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0A199" w14:textId="4B2C2747" w:rsidR="00E34BB1" w:rsidRDefault="00E34BB1">
    <w:pPr>
      <w:pStyle w:val="a3"/>
      <w:jc w:val="center"/>
    </w:pPr>
  </w:p>
  <w:p w14:paraId="30F42FBE" w14:textId="77777777" w:rsidR="00E34BB1" w:rsidRDefault="00E34B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5CF"/>
    <w:multiLevelType w:val="hybridMultilevel"/>
    <w:tmpl w:val="70087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46B"/>
    <w:multiLevelType w:val="multilevel"/>
    <w:tmpl w:val="4F54A88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FF0975"/>
    <w:multiLevelType w:val="multilevel"/>
    <w:tmpl w:val="59E6475A"/>
    <w:lvl w:ilvl="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2160"/>
      </w:pPr>
      <w:rPr>
        <w:rFonts w:hint="default"/>
      </w:rPr>
    </w:lvl>
  </w:abstractNum>
  <w:abstractNum w:abstractNumId="3">
    <w:nsid w:val="3E5A348E"/>
    <w:multiLevelType w:val="hybridMultilevel"/>
    <w:tmpl w:val="70087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0169F"/>
    <w:multiLevelType w:val="hybridMultilevel"/>
    <w:tmpl w:val="39A6EEE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0517E"/>
    <w:multiLevelType w:val="multilevel"/>
    <w:tmpl w:val="2D92BC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64E3156D"/>
    <w:multiLevelType w:val="hybridMultilevel"/>
    <w:tmpl w:val="84786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910B1"/>
    <w:multiLevelType w:val="multilevel"/>
    <w:tmpl w:val="33103C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F"/>
    <w:rsid w:val="00023179"/>
    <w:rsid w:val="00027B08"/>
    <w:rsid w:val="000478AE"/>
    <w:rsid w:val="00054CC7"/>
    <w:rsid w:val="00065C4F"/>
    <w:rsid w:val="0007568F"/>
    <w:rsid w:val="0008579F"/>
    <w:rsid w:val="000B2713"/>
    <w:rsid w:val="000E26A2"/>
    <w:rsid w:val="00146D80"/>
    <w:rsid w:val="00170F5A"/>
    <w:rsid w:val="001929B0"/>
    <w:rsid w:val="001A7934"/>
    <w:rsid w:val="001E1513"/>
    <w:rsid w:val="001F0CFC"/>
    <w:rsid w:val="00262405"/>
    <w:rsid w:val="00262FB7"/>
    <w:rsid w:val="002650AF"/>
    <w:rsid w:val="0026599D"/>
    <w:rsid w:val="00270D07"/>
    <w:rsid w:val="002754D6"/>
    <w:rsid w:val="002A14E0"/>
    <w:rsid w:val="002A19D8"/>
    <w:rsid w:val="002C602D"/>
    <w:rsid w:val="002D0A0D"/>
    <w:rsid w:val="002D0EDB"/>
    <w:rsid w:val="002F473D"/>
    <w:rsid w:val="003070D5"/>
    <w:rsid w:val="00373FCF"/>
    <w:rsid w:val="003A793A"/>
    <w:rsid w:val="003B25DF"/>
    <w:rsid w:val="003D77F3"/>
    <w:rsid w:val="003E4F8C"/>
    <w:rsid w:val="003E60E1"/>
    <w:rsid w:val="00400294"/>
    <w:rsid w:val="004263EE"/>
    <w:rsid w:val="004306B4"/>
    <w:rsid w:val="00442870"/>
    <w:rsid w:val="0046099D"/>
    <w:rsid w:val="00493650"/>
    <w:rsid w:val="004D2431"/>
    <w:rsid w:val="0050500A"/>
    <w:rsid w:val="00585825"/>
    <w:rsid w:val="00587D62"/>
    <w:rsid w:val="005A3D75"/>
    <w:rsid w:val="005D69CE"/>
    <w:rsid w:val="00602EEF"/>
    <w:rsid w:val="0060481B"/>
    <w:rsid w:val="00611BE1"/>
    <w:rsid w:val="006532CF"/>
    <w:rsid w:val="006710B2"/>
    <w:rsid w:val="00674691"/>
    <w:rsid w:val="00674C4D"/>
    <w:rsid w:val="00677956"/>
    <w:rsid w:val="006946B0"/>
    <w:rsid w:val="006A059C"/>
    <w:rsid w:val="006A18CC"/>
    <w:rsid w:val="006B50AF"/>
    <w:rsid w:val="006D2726"/>
    <w:rsid w:val="006D39BB"/>
    <w:rsid w:val="006D7CD0"/>
    <w:rsid w:val="0074499F"/>
    <w:rsid w:val="00754907"/>
    <w:rsid w:val="007635E7"/>
    <w:rsid w:val="007662DC"/>
    <w:rsid w:val="00791AFB"/>
    <w:rsid w:val="007A0095"/>
    <w:rsid w:val="007A01D6"/>
    <w:rsid w:val="007A6911"/>
    <w:rsid w:val="007C7677"/>
    <w:rsid w:val="007C7C86"/>
    <w:rsid w:val="007D3574"/>
    <w:rsid w:val="007F06C3"/>
    <w:rsid w:val="00813C9B"/>
    <w:rsid w:val="00814602"/>
    <w:rsid w:val="0084410B"/>
    <w:rsid w:val="00860959"/>
    <w:rsid w:val="008649C9"/>
    <w:rsid w:val="00870C9E"/>
    <w:rsid w:val="008904C5"/>
    <w:rsid w:val="008965A2"/>
    <w:rsid w:val="008B4809"/>
    <w:rsid w:val="008E5ADE"/>
    <w:rsid w:val="008F3CFB"/>
    <w:rsid w:val="008F576F"/>
    <w:rsid w:val="00915CD6"/>
    <w:rsid w:val="00924B58"/>
    <w:rsid w:val="00936F64"/>
    <w:rsid w:val="00971E14"/>
    <w:rsid w:val="009A5D64"/>
    <w:rsid w:val="009B6F55"/>
    <w:rsid w:val="009D3777"/>
    <w:rsid w:val="009D5EC7"/>
    <w:rsid w:val="009F0970"/>
    <w:rsid w:val="00A02F25"/>
    <w:rsid w:val="00A22B61"/>
    <w:rsid w:val="00A53954"/>
    <w:rsid w:val="00A7156D"/>
    <w:rsid w:val="00A8371E"/>
    <w:rsid w:val="00A96E0B"/>
    <w:rsid w:val="00AA3051"/>
    <w:rsid w:val="00AC3DD3"/>
    <w:rsid w:val="00AE428D"/>
    <w:rsid w:val="00B3000F"/>
    <w:rsid w:val="00B35F8D"/>
    <w:rsid w:val="00B641F1"/>
    <w:rsid w:val="00B66D40"/>
    <w:rsid w:val="00B73D4B"/>
    <w:rsid w:val="00BA18E5"/>
    <w:rsid w:val="00BC1937"/>
    <w:rsid w:val="00BC4056"/>
    <w:rsid w:val="00BD5FC0"/>
    <w:rsid w:val="00BD6CDE"/>
    <w:rsid w:val="00BE3624"/>
    <w:rsid w:val="00BE4714"/>
    <w:rsid w:val="00BF75FC"/>
    <w:rsid w:val="00C347C1"/>
    <w:rsid w:val="00C439A3"/>
    <w:rsid w:val="00C43EBB"/>
    <w:rsid w:val="00C51466"/>
    <w:rsid w:val="00C81969"/>
    <w:rsid w:val="00CB3EBB"/>
    <w:rsid w:val="00CD7006"/>
    <w:rsid w:val="00CD7A71"/>
    <w:rsid w:val="00CE575E"/>
    <w:rsid w:val="00CF7139"/>
    <w:rsid w:val="00D17ECB"/>
    <w:rsid w:val="00D216ED"/>
    <w:rsid w:val="00D424CE"/>
    <w:rsid w:val="00D44317"/>
    <w:rsid w:val="00D65E33"/>
    <w:rsid w:val="00D71D50"/>
    <w:rsid w:val="00DA4F93"/>
    <w:rsid w:val="00DE3030"/>
    <w:rsid w:val="00E14607"/>
    <w:rsid w:val="00E31F6D"/>
    <w:rsid w:val="00E34BB1"/>
    <w:rsid w:val="00E41272"/>
    <w:rsid w:val="00E43D06"/>
    <w:rsid w:val="00E6520C"/>
    <w:rsid w:val="00E9368C"/>
    <w:rsid w:val="00EA56D0"/>
    <w:rsid w:val="00EC1C1F"/>
    <w:rsid w:val="00ED6662"/>
    <w:rsid w:val="00F558E5"/>
    <w:rsid w:val="00F609DA"/>
    <w:rsid w:val="00F711B3"/>
    <w:rsid w:val="00F87C4E"/>
    <w:rsid w:val="00FA4E54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EC2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02EEF"/>
  </w:style>
  <w:style w:type="paragraph" w:styleId="a5">
    <w:name w:val="footer"/>
    <w:basedOn w:val="a"/>
    <w:link w:val="a6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02EEF"/>
  </w:style>
  <w:style w:type="paragraph" w:customStyle="1" w:styleId="a7">
    <w:name w:val="Назва документа"/>
    <w:basedOn w:val="a"/>
    <w:next w:val="a"/>
    <w:rsid w:val="006710B2"/>
    <w:pPr>
      <w:keepNext/>
      <w:keepLines/>
      <w:spacing w:before="480" w:after="360"/>
      <w:jc w:val="center"/>
    </w:pPr>
    <w:rPr>
      <w:rFonts w:ascii="Antiqua" w:eastAsia="Calibri" w:hAnsi="Antiqua" w:cs="Times New Roman"/>
      <w:b/>
      <w:sz w:val="26"/>
      <w:szCs w:val="20"/>
      <w:lang w:val="uk-UA" w:eastAsia="ru-RU"/>
    </w:rPr>
  </w:style>
  <w:style w:type="table" w:styleId="a8">
    <w:name w:val="Table Grid"/>
    <w:basedOn w:val="a1"/>
    <w:uiPriority w:val="59"/>
    <w:rsid w:val="000B271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25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2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2870"/>
    <w:rPr>
      <w:color w:val="0000FF"/>
      <w:u w:val="single"/>
    </w:rPr>
  </w:style>
  <w:style w:type="paragraph" w:customStyle="1" w:styleId="rvps2">
    <w:name w:val="rvps2"/>
    <w:basedOn w:val="a"/>
    <w:rsid w:val="004428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0">
    <w:name w:val="rvts0"/>
    <w:basedOn w:val="a0"/>
    <w:rsid w:val="00442870"/>
  </w:style>
  <w:style w:type="paragraph" w:customStyle="1" w:styleId="ConsPlusNormal">
    <w:name w:val="ConsPlusNormal"/>
    <w:uiPriority w:val="99"/>
    <w:rsid w:val="00442870"/>
    <w:pPr>
      <w:autoSpaceDE w:val="0"/>
      <w:autoSpaceDN w:val="0"/>
      <w:adjustRightInd w:val="0"/>
      <w:spacing w:before="0"/>
    </w:pPr>
    <w:rPr>
      <w:rFonts w:ascii="Calibri" w:eastAsia="Times New Roman" w:hAnsi="Calibri" w:cs="Calibri"/>
      <w:lang w:eastAsia="ru-RU"/>
    </w:rPr>
  </w:style>
  <w:style w:type="character" w:customStyle="1" w:styleId="rynqvb">
    <w:name w:val="rynqvb"/>
    <w:basedOn w:val="a0"/>
    <w:rsid w:val="00442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02EEF"/>
  </w:style>
  <w:style w:type="paragraph" w:styleId="a5">
    <w:name w:val="footer"/>
    <w:basedOn w:val="a"/>
    <w:link w:val="a6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02EEF"/>
  </w:style>
  <w:style w:type="paragraph" w:customStyle="1" w:styleId="a7">
    <w:name w:val="Назва документа"/>
    <w:basedOn w:val="a"/>
    <w:next w:val="a"/>
    <w:rsid w:val="006710B2"/>
    <w:pPr>
      <w:keepNext/>
      <w:keepLines/>
      <w:spacing w:before="480" w:after="360"/>
      <w:jc w:val="center"/>
    </w:pPr>
    <w:rPr>
      <w:rFonts w:ascii="Antiqua" w:eastAsia="Calibri" w:hAnsi="Antiqua" w:cs="Times New Roman"/>
      <w:b/>
      <w:sz w:val="26"/>
      <w:szCs w:val="20"/>
      <w:lang w:val="uk-UA" w:eastAsia="ru-RU"/>
    </w:rPr>
  </w:style>
  <w:style w:type="table" w:styleId="a8">
    <w:name w:val="Table Grid"/>
    <w:basedOn w:val="a1"/>
    <w:uiPriority w:val="59"/>
    <w:rsid w:val="000B271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25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2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2870"/>
    <w:rPr>
      <w:color w:val="0000FF"/>
      <w:u w:val="single"/>
    </w:rPr>
  </w:style>
  <w:style w:type="paragraph" w:customStyle="1" w:styleId="rvps2">
    <w:name w:val="rvps2"/>
    <w:basedOn w:val="a"/>
    <w:rsid w:val="004428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0">
    <w:name w:val="rvts0"/>
    <w:basedOn w:val="a0"/>
    <w:rsid w:val="00442870"/>
  </w:style>
  <w:style w:type="paragraph" w:customStyle="1" w:styleId="ConsPlusNormal">
    <w:name w:val="ConsPlusNormal"/>
    <w:uiPriority w:val="99"/>
    <w:rsid w:val="00442870"/>
    <w:pPr>
      <w:autoSpaceDE w:val="0"/>
      <w:autoSpaceDN w:val="0"/>
      <w:adjustRightInd w:val="0"/>
      <w:spacing w:before="0"/>
    </w:pPr>
    <w:rPr>
      <w:rFonts w:ascii="Calibri" w:eastAsia="Times New Roman" w:hAnsi="Calibri" w:cs="Calibri"/>
      <w:lang w:eastAsia="ru-RU"/>
    </w:rPr>
  </w:style>
  <w:style w:type="character" w:customStyle="1" w:styleId="rynqvb">
    <w:name w:val="rynqvb"/>
    <w:basedOn w:val="a0"/>
    <w:rsid w:val="0044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7261</Words>
  <Characters>4139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ПОЛОВІНСЬКИЙ Андрій Станіславович</cp:lastModifiedBy>
  <cp:revision>10</cp:revision>
  <cp:lastPrinted>2021-05-10T03:02:00Z</cp:lastPrinted>
  <dcterms:created xsi:type="dcterms:W3CDTF">2022-11-11T08:54:00Z</dcterms:created>
  <dcterms:modified xsi:type="dcterms:W3CDTF">2022-11-11T09:23:00Z</dcterms:modified>
</cp:coreProperties>
</file>