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6C" w:rsidRPr="00BE2094" w:rsidRDefault="00F2756C" w:rsidP="00F2756C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F2756C" w:rsidRPr="00BE2094" w:rsidRDefault="00F2756C" w:rsidP="00F2756C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F2756C" w:rsidRPr="00FA2337" w:rsidRDefault="00FA2337" w:rsidP="00F2756C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  <w:bookmarkStart w:id="0" w:name="_GoBack"/>
      <w:r w:rsidRPr="00FA2337">
        <w:rPr>
          <w:rStyle w:val="rvts9"/>
          <w:sz w:val="28"/>
          <w:szCs w:val="28"/>
        </w:rPr>
        <w:t xml:space="preserve">25 січня 2022 року </w:t>
      </w:r>
      <w:r w:rsidR="00F2756C" w:rsidRPr="00FA2337">
        <w:rPr>
          <w:rStyle w:val="rvts9"/>
          <w:sz w:val="28"/>
          <w:szCs w:val="28"/>
        </w:rPr>
        <w:t xml:space="preserve"> № </w:t>
      </w:r>
      <w:r w:rsidRPr="00FA2337">
        <w:rPr>
          <w:rStyle w:val="rvts9"/>
          <w:sz w:val="28"/>
          <w:szCs w:val="28"/>
        </w:rPr>
        <w:t>57</w:t>
      </w:r>
    </w:p>
    <w:p w:rsidR="00F2756C" w:rsidRPr="00FA2337" w:rsidRDefault="00F2756C" w:rsidP="00F2756C">
      <w:pPr>
        <w:pStyle w:val="1"/>
        <w:jc w:val="center"/>
        <w:rPr>
          <w:rStyle w:val="rvts23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F2756C" w:rsidRPr="00F433EF" w:rsidRDefault="00F2756C" w:rsidP="00F2756C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3EF">
        <w:rPr>
          <w:rStyle w:val="rvts23"/>
          <w:rFonts w:ascii="Times New Roman" w:hAnsi="Times New Roman" w:cs="Times New Roman"/>
          <w:color w:val="000000"/>
          <w:sz w:val="28"/>
          <w:szCs w:val="28"/>
        </w:rPr>
        <w:t>ІНФОРМАЦІЙНА КАРТКА АДМІНІСТРАТИВНОЇ ПОСЛУГИ</w:t>
      </w:r>
    </w:p>
    <w:p w:rsidR="00F2756C" w:rsidRPr="00716606" w:rsidRDefault="00F2756C" w:rsidP="00F2756C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1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Видача висновку щодо того, чи підпадають відходи Зеленого переліку відходів, які є об'єктом експорту або імпорту, під дію пунктів 6-33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 13 липня 2000 р. № 1120</w:t>
      </w:r>
    </w:p>
    <w:p w:rsidR="00F2756C" w:rsidRPr="00F433EF" w:rsidRDefault="00F2756C" w:rsidP="00F275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_______________________________________________________________</w:t>
      </w:r>
      <w:r w:rsidRPr="00F433EF">
        <w:rPr>
          <w:rFonts w:ascii="Times New Roman" w:hAnsi="Times New Roman" w:cs="Times New Roman"/>
          <w:sz w:val="28"/>
          <w:szCs w:val="28"/>
        </w:rPr>
        <w:t>_____</w:t>
      </w:r>
    </w:p>
    <w:p w:rsidR="00F2756C" w:rsidRPr="00F433EF" w:rsidRDefault="00F2756C" w:rsidP="00F2756C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433EF">
        <w:rPr>
          <w:rFonts w:ascii="Times New Roman" w:hAnsi="Times New Roman" w:cs="Times New Roman"/>
        </w:rPr>
        <w:t xml:space="preserve"> </w:t>
      </w:r>
      <w:r w:rsidRPr="007A0855">
        <w:rPr>
          <w:rFonts w:ascii="Times New Roman" w:hAnsi="Times New Roman" w:cs="Times New Roman"/>
        </w:rPr>
        <w:t>(</w:t>
      </w:r>
      <w:r w:rsidRPr="00F433EF">
        <w:rPr>
          <w:rFonts w:ascii="Times New Roman" w:hAnsi="Times New Roman" w:cs="Times New Roman"/>
        </w:rPr>
        <w:t>назва адміністративної послуги</w:t>
      </w:r>
      <w:r w:rsidRPr="007A0855">
        <w:rPr>
          <w:rFonts w:ascii="Times New Roman" w:hAnsi="Times New Roman" w:cs="Times New Roman"/>
        </w:rPr>
        <w:t>)</w:t>
      </w:r>
    </w:p>
    <w:p w:rsidR="00F2756C" w:rsidRPr="00F433EF" w:rsidRDefault="00F2756C" w:rsidP="00F2756C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3EF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F433EF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</w:t>
      </w:r>
    </w:p>
    <w:p w:rsidR="00F2756C" w:rsidRPr="0044665C" w:rsidRDefault="00F2756C" w:rsidP="00F2756C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44665C">
        <w:rPr>
          <w:rFonts w:ascii="Times New Roman" w:hAnsi="Times New Roman" w:cs="Times New Roman"/>
        </w:rPr>
        <w:t xml:space="preserve">(найменування суб’єкта надання адміністративної послуги) </w:t>
      </w:r>
    </w:p>
    <w:p w:rsidR="00F2756C" w:rsidRPr="00166262" w:rsidRDefault="00F2756C" w:rsidP="00F2756C">
      <w:pPr>
        <w:pStyle w:val="rvps2"/>
        <w:suppressAutoHyphens/>
        <w:spacing w:before="0" w:beforeAutospacing="0" w:after="0" w:afterAutospacing="0" w:line="0" w:lineRule="atLeast"/>
        <w:jc w:val="center"/>
        <w:rPr>
          <w:rStyle w:val="rvts9"/>
          <w:b/>
          <w:sz w:val="16"/>
          <w:szCs w:val="16"/>
        </w:rPr>
      </w:pPr>
    </w:p>
    <w:tbl>
      <w:tblPr>
        <w:tblW w:w="10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4026"/>
        <w:gridCol w:w="5600"/>
      </w:tblGrid>
      <w:tr w:rsidR="00F2756C" w:rsidRPr="00D57089" w:rsidTr="00FA7B82"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суб’єкта надання адміністративної послуги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Місцезнаходження суб’єкта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вул. Митрополита Василя </w:t>
            </w:r>
            <w:proofErr w:type="spellStart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Липківського</w:t>
            </w:r>
            <w:proofErr w:type="spellEnd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35, м. Київ, 03035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pStyle w:val="rvps2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57089">
              <w:rPr>
                <w:color w:val="000000" w:themeColor="text1"/>
                <w:sz w:val="26"/>
                <w:szCs w:val="26"/>
              </w:rPr>
              <w:t>Понеділок-четвер: з 9:00 до 18:00</w:t>
            </w:r>
          </w:p>
          <w:p w:rsidR="00F2756C" w:rsidRPr="00D57089" w:rsidRDefault="00F2756C" w:rsidP="00FA7B82">
            <w:pPr>
              <w:pStyle w:val="rvps2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57089">
              <w:rPr>
                <w:color w:val="000000" w:themeColor="text1"/>
                <w:sz w:val="26"/>
                <w:szCs w:val="26"/>
              </w:rPr>
              <w:t>П’ятниця: з 9:00 до 16:45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Перерва: з 13:00 до 13:45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</w:t>
            </w:r>
            <w:proofErr w:type="spellEnd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./факс.: (044) 206-33-05;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електронна пошта: info@mepr.gov.ua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веб–сайт: 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https://me</w:t>
            </w:r>
            <w:r w:rsidRPr="00D570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r.gov.ua/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ЕкоСистема</w:t>
            </w:r>
            <w:proofErr w:type="spellEnd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https://eco.mepr.gov.ua</w:t>
            </w:r>
          </w:p>
        </w:tc>
      </w:tr>
      <w:tr w:rsidR="00F2756C" w:rsidRPr="00D57089" w:rsidTr="00FA7B82"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  <w:r w:rsidRPr="00D570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Міжнародний договір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Базельська конвенція про контроль за транскордонним перевезенням небезпечних відходів та їх видаленням.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Закони України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Про забезпечення санітарного та епідеміологічного благополуччя населення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 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Про відходи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Положення про контроль за транскордонними перевезеннями небезпечних відходів та їх утилізацією/видаленням і Жовтого та Зеленого переліків відходів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 xml:space="preserve">, затверджене </w:t>
            </w:r>
            <w:r w:rsidR="00624E4F" w:rsidRPr="00624E4F">
              <w:rPr>
                <w:rFonts w:ascii="Times New Roman" w:hAnsi="Times New Roman" w:cs="Times New Roman"/>
                <w:sz w:val="26"/>
                <w:szCs w:val="26"/>
              </w:rPr>
              <w:t>постанов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>ою</w:t>
            </w:r>
            <w:r w:rsidR="00624E4F" w:rsidRPr="00624E4F">
              <w:rPr>
                <w:rFonts w:ascii="Times New Roman" w:hAnsi="Times New Roman" w:cs="Times New Roman"/>
                <w:sz w:val="26"/>
                <w:szCs w:val="26"/>
              </w:rPr>
              <w:t xml:space="preserve"> Кабінету Міністрів України від 13.07.2000 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24E4F" w:rsidRPr="00624E4F">
              <w:rPr>
                <w:rFonts w:ascii="Times New Roman" w:hAnsi="Times New Roman" w:cs="Times New Roman"/>
                <w:sz w:val="26"/>
                <w:szCs w:val="26"/>
              </w:rPr>
              <w:t xml:space="preserve">№ 1120 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(далі – Положення);</w:t>
            </w:r>
          </w:p>
          <w:p w:rsidR="00F2756C" w:rsidRPr="00D57089" w:rsidRDefault="00F2756C" w:rsidP="0062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постанова Кабінету Міністрів України від 12.01.2022 №</w:t>
            </w:r>
            <w:r w:rsidRPr="00D57089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624E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Про реалізацію експериментального проекту з надання в електронній формі висновку щодо того, чи підпадають відходи Зеленого переліку відходів, 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які є об’єктом експорту або імпорту, під дію пунктів 6-33 Положення про контроль за транскордонними перевезеннями небезпечних відходів та їх утилізацією/видаленням</w:t>
            </w:r>
            <w:r w:rsidR="00624E4F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»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624E4F" w:rsidP="00624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Інструкція щодо заповнення повідомлення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затверджена н</w:t>
            </w:r>
            <w:r w:rsidR="00F2756C" w:rsidRPr="00D57089">
              <w:rPr>
                <w:rFonts w:ascii="Times New Roman" w:hAnsi="Times New Roman" w:cs="Times New Roman"/>
                <w:sz w:val="26"/>
                <w:szCs w:val="26"/>
              </w:rPr>
              <w:t>аказ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F2756C"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2756C" w:rsidRPr="00D57089">
              <w:rPr>
                <w:rFonts w:ascii="Times New Roman" w:hAnsi="Times New Roman" w:cs="Times New Roman"/>
                <w:sz w:val="26"/>
                <w:szCs w:val="26"/>
              </w:rPr>
              <w:t>Мінприроди</w:t>
            </w:r>
            <w:proofErr w:type="spellEnd"/>
            <w:r w:rsidR="00F2756C"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від 16.10.2000  № 165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2756C"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зареєстрован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F2756C"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в Міністерстві юстиції України 02.11.2000 №771/4992.</w:t>
            </w:r>
          </w:p>
        </w:tc>
      </w:tr>
      <w:tr w:rsidR="00F2756C" w:rsidRPr="00D57089" w:rsidTr="00FA7B82"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b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Підстави для одержання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Заява/лист в довільній формі щодо отримання висновку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Заява у довільній формі щодо отримання висновку на транскордонне перевезення відходів підписана керівником та скріплена печаткою компанії (за наявності)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Копія контракту на поставку відходів разом із додатками до нього(специфікації, тощо), який дійсний на дату звернення та до моменту перетину кордону відходами в якому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обов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`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язково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вказано об</w:t>
            </w: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`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єм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запланованого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переміщення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через кордон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відходів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Копію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висновку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Торгово-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промислової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палати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чи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іншого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уповноваженого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на те органу про те,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що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відходам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які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плануються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перевезення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присвоєно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код УКТ ЗЕД;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Відомості про склад та походження відходів (протокол аналізу або висновок уповноваженої на те лабораторії (країни експорту/імпорту) за результатами випробувань/досліджень, яким підтверджується відсутність у складі відходів компонентів наведених у Додатку 2 до Положення, у таких кількостях, щоб виявити властивості наведені у Переліку небезпечних властивостей затверджених наказом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Мінприроди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від 16.10.2000 </w:t>
            </w: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№ 165 (крім відходів ганчір`я, одягу, взуття, що були у використанні, гуманітарної допомоги та відходів сільськогосподарського, харчового виробництв та рослинного походження, деревини, макулатури).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Сертифікати щодо відповідності хімічної, радіологічної безпеки та вибухонебезпечності партії відходів, видані уповноваженою на те установою за результатами відповідних випробувань/досліджень (у разі перевезення відходів на основі металу чи металевих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сполук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).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Сертифікати радіологічного дослідження </w:t>
            </w: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та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фітосанітарного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контролю у випадку перевезення відходів деревини.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Сертифікати про відсутність шкідників та знезараження від них у разі перевезення відходів сільськогосподарського та харчового виробництв рослинного походження;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 аналізу акредитованої лабораторії про відсутність небезпечних складників (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сполук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шестивалентного хрому та біоцидів-у випадку перевезення відходів шкіри та хутра).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Інформація про дезінфекцію партії у разі перевезення одягу, взуття та інших текстильних виробів, що були у вжитку у тому числі і тих, що входять до складу гуманітарної допомоги.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Інформація про ступінь зносу (у разі перевезення одягу, взуття та інших текстильних виробів, що були у вжитку у тому числі і тих, що входять до складу гуманітарної допомоги;</w:t>
            </w:r>
          </w:p>
          <w:p w:rsidR="00F2756C" w:rsidRPr="00D57089" w:rsidRDefault="00F2756C" w:rsidP="00FA7B82">
            <w:pPr>
              <w:pStyle w:val="a3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 xml:space="preserve">Інформація про ступінь зносу (у разі перевезення пневматичних шин, за винятком </w:t>
            </w:r>
            <w:proofErr w:type="spellStart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вiдходiв</w:t>
            </w:r>
            <w:proofErr w:type="spellEnd"/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призначених для операцій, передбачених в </w:t>
            </w:r>
            <w:hyperlink r:id="rId5" w:anchor="n286" w:history="1">
              <w:r w:rsidRPr="00D57089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додатку IV А</w:t>
              </w:r>
            </w:hyperlink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). 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Міністерство захисту довкілля та природних ресурсів України може зажадати подання додаткової інформації.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Заява/лист та повний пакет документів, завірений належним чином, подається до Міністерства захисту довкілля та природних ресурсів України:</w:t>
            </w:r>
          </w:p>
          <w:p w:rsidR="00F2756C" w:rsidRPr="00D57089" w:rsidRDefault="00F2756C" w:rsidP="00FA7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1.Нарочно за </w:t>
            </w:r>
            <w:proofErr w:type="spellStart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вул. Митрополита Василя </w:t>
            </w:r>
            <w:proofErr w:type="spellStart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Липківського</w:t>
            </w:r>
            <w:proofErr w:type="spellEnd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35, м. Київ або надсилається поштовим відправленням з описом вкладення.</w:t>
            </w:r>
          </w:p>
          <w:p w:rsidR="00F2756C" w:rsidRPr="00D57089" w:rsidRDefault="00F2756C" w:rsidP="00FA7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2.Через 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Єдину екологічну платформу «</w:t>
            </w:r>
            <w:proofErr w:type="spellStart"/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ЕкоСистема</w:t>
            </w:r>
            <w:proofErr w:type="spellEnd"/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Безоплатно</w:t>
            </w:r>
          </w:p>
          <w:p w:rsidR="00F2756C" w:rsidRPr="00D57089" w:rsidRDefault="00F2756C" w:rsidP="00FA7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разі подання документів:</w:t>
            </w:r>
          </w:p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1.Через Єдину екологічну платформу «</w:t>
            </w:r>
            <w:proofErr w:type="spellStart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ЕкоСистема</w:t>
            </w:r>
            <w:proofErr w:type="spellEnd"/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»-</w:t>
            </w:r>
            <w:r w:rsidR="007C52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</w:t>
            </w: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робочих днів з наступного дня після присвоєння документу реєстраційного номеру;</w:t>
            </w:r>
          </w:p>
          <w:p w:rsidR="00624E4F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У паперовому вигляді – 30 </w:t>
            </w:r>
            <w:r w:rsidR="00FC5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календарних</w:t>
            </w: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днів (перебіг відліку строку передбачено ст. </w:t>
            </w:r>
            <w:r w:rsidR="00624E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253 Цивільного кодексу України)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275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Недостовірність даних у документах, поданих заявником, для отримання висновку;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 разі згоди, яка була отримана від заінтересованих держав шляхом фальсифікації, перекручення чи обману;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 разі транскордонного перевезення способом, який призводить до навмисного видалення (наприклад скиду) небезпечних відходів на порушення Положення і відповідних норм міжнародного права;</w:t>
            </w:r>
          </w:p>
          <w:p w:rsidR="00F2756C" w:rsidRPr="00D57089" w:rsidRDefault="00F2756C" w:rsidP="00F2756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Забороняється ввезення в Україну небезпечних відходів з метою їх зберігання чи захоронення.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Default="00F2756C" w:rsidP="00A63A16">
            <w:pPr>
              <w:pStyle w:val="rvps2"/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57089">
              <w:rPr>
                <w:color w:val="000000" w:themeColor="text1"/>
                <w:sz w:val="26"/>
                <w:szCs w:val="26"/>
              </w:rPr>
              <w:t>1. Видача висновку на транскордонне перевезення відходів, у разі коли вони не містять матеріали, в кількості  достатній  для виявлення  ними небезпечних властивостей.</w:t>
            </w:r>
          </w:p>
          <w:p w:rsidR="00A63A16" w:rsidRPr="00D57089" w:rsidRDefault="00A63A16" w:rsidP="00A63A16">
            <w:pPr>
              <w:pStyle w:val="rvps2"/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2756C" w:rsidRPr="00D57089" w:rsidRDefault="00F2756C" w:rsidP="00A63A16">
            <w:pPr>
              <w:pStyle w:val="rvps2"/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57089">
              <w:rPr>
                <w:color w:val="000000" w:themeColor="text1"/>
                <w:sz w:val="26"/>
                <w:szCs w:val="26"/>
              </w:rPr>
              <w:t>2. Міністерство захисту довкілля та природних ресурсів України  може висунути заперечення або додаткові вимоги, а також зажадати надання додаткової інформації.</w:t>
            </w:r>
          </w:p>
        </w:tc>
      </w:tr>
      <w:tr w:rsidR="00F2756C" w:rsidRPr="00D57089" w:rsidTr="00FA7B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C" w:rsidRPr="00D57089" w:rsidRDefault="00F2756C" w:rsidP="00FA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Особисто заявнику або його представнику за дорученням, або відправляється Укрпоштою </w:t>
            </w:r>
            <w:r w:rsidR="00624E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 тому числі</w:t>
            </w:r>
            <w:r w:rsidR="00624E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D570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кур’єрською  доставкою за рахунок заявника).</w:t>
            </w:r>
          </w:p>
        </w:tc>
      </w:tr>
    </w:tbl>
    <w:p w:rsidR="00F2756C" w:rsidRPr="00D57089" w:rsidRDefault="00F2756C" w:rsidP="00F2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2756C" w:rsidRPr="00D57089" w:rsidRDefault="00F2756C" w:rsidP="00F2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2756C" w:rsidRPr="00ED5716" w:rsidRDefault="00F2756C" w:rsidP="00F2756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Заступник Директора Департаменту – </w:t>
      </w:r>
    </w:p>
    <w:p w:rsidR="00F2756C" w:rsidRPr="00ED5716" w:rsidRDefault="00F2756C" w:rsidP="00F2756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начальник відділу ліцензування та </w:t>
      </w:r>
    </w:p>
    <w:p w:rsidR="00F2756C" w:rsidRPr="00ED5716" w:rsidRDefault="00F2756C" w:rsidP="00F2756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транскордонних відносин</w:t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Євгенія ПОПОВИЧ</w:t>
      </w:r>
    </w:p>
    <w:p w:rsidR="00F2756C" w:rsidRDefault="00F2756C" w:rsidP="00F2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>
      <w:pPr>
        <w:pStyle w:val="rvps2"/>
        <w:suppressAutoHyphens/>
        <w:spacing w:before="0" w:beforeAutospacing="0" w:after="60" w:afterAutospacing="0" w:line="0" w:lineRule="atLeast"/>
        <w:jc w:val="both"/>
        <w:rPr>
          <w:rStyle w:val="rvts9"/>
        </w:rPr>
      </w:pPr>
    </w:p>
    <w:p w:rsidR="00F2756C" w:rsidRDefault="00F2756C" w:rsidP="00F2756C"/>
    <w:sectPr w:rsidR="00F2756C" w:rsidSect="00F404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CD4"/>
    <w:multiLevelType w:val="hybridMultilevel"/>
    <w:tmpl w:val="D77EA6A2"/>
    <w:lvl w:ilvl="0" w:tplc="3A567884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49447813"/>
    <w:multiLevelType w:val="hybridMultilevel"/>
    <w:tmpl w:val="DF160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38E9"/>
    <w:multiLevelType w:val="hybridMultilevel"/>
    <w:tmpl w:val="0BCC1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6C"/>
    <w:rsid w:val="00624E4F"/>
    <w:rsid w:val="007C528B"/>
    <w:rsid w:val="00A63A16"/>
    <w:rsid w:val="00D127A9"/>
    <w:rsid w:val="00D57089"/>
    <w:rsid w:val="00F2756C"/>
    <w:rsid w:val="00FA2337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2815-6028-4E9F-9FA6-88BA4BD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27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6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List Paragraph"/>
    <w:basedOn w:val="a"/>
    <w:uiPriority w:val="34"/>
    <w:qFormat/>
    <w:rsid w:val="00F275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F2756C"/>
  </w:style>
  <w:style w:type="character" w:customStyle="1" w:styleId="rvts23">
    <w:name w:val="rvts23"/>
    <w:basedOn w:val="a0"/>
    <w:rsid w:val="00F2756C"/>
  </w:style>
  <w:style w:type="paragraph" w:customStyle="1" w:styleId="rvps2">
    <w:name w:val="rvps2"/>
    <w:basedOn w:val="a"/>
    <w:rsid w:val="00F2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4">
    <w:name w:val="Hyperlink"/>
    <w:unhideWhenUsed/>
    <w:rsid w:val="00F2756C"/>
    <w:rPr>
      <w:color w:val="0000FF"/>
      <w:u w:val="single"/>
    </w:rPr>
  </w:style>
  <w:style w:type="paragraph" w:customStyle="1" w:styleId="11">
    <w:name w:val="Без інтервалів1"/>
    <w:uiPriority w:val="99"/>
    <w:rsid w:val="00F275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F275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95_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4636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Ульвак Марина Вікторівна</cp:lastModifiedBy>
  <cp:revision>2</cp:revision>
  <cp:lastPrinted>2022-01-26T07:26:00Z</cp:lastPrinted>
  <dcterms:created xsi:type="dcterms:W3CDTF">2022-01-26T07:27:00Z</dcterms:created>
  <dcterms:modified xsi:type="dcterms:W3CDTF">2022-01-26T07:27:00Z</dcterms:modified>
</cp:coreProperties>
</file>