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0" w:rsidRPr="00D74383" w:rsidRDefault="00C215E0" w:rsidP="00FA7B5D">
      <w:pPr>
        <w:tabs>
          <w:tab w:val="center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D7438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АНАЛІЗ РЕГУЛЯТОРНОГО ВПЛИВУ</w:t>
      </w:r>
    </w:p>
    <w:p w:rsidR="005C0157" w:rsidRDefault="0099672F" w:rsidP="00FA7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проє</w:t>
      </w:r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кту</w:t>
      </w:r>
      <w:proofErr w:type="spellEnd"/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наказу Міністерства </w:t>
      </w:r>
      <w:r w:rsidR="0064287D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захисту довкілля</w:t>
      </w:r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13B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природних ресурсів </w:t>
      </w:r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України «Про затвер</w:t>
      </w:r>
      <w:r w:rsidR="00C2176B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дження Режиму</w:t>
      </w:r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рибальства в басейні Чорного моря </w:t>
      </w:r>
      <w:r w:rsidR="00135BF3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  <w:r w:rsidR="008641FE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</w:t>
      </w:r>
      <w:r w:rsidR="00135BF3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  <w:r w:rsidR="00FF6095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35BF3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>у 202</w:t>
      </w:r>
      <w:r w:rsidR="00D13B03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C215E0" w:rsidRPr="00D74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році»</w:t>
      </w:r>
      <w:r w:rsidR="005C0157" w:rsidRPr="005C01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215E0" w:rsidRPr="00D74383" w:rsidRDefault="005C0157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наказу)</w:t>
      </w:r>
    </w:p>
    <w:p w:rsidR="00C215E0" w:rsidRPr="00D74383" w:rsidRDefault="00C215E0" w:rsidP="00FA7B5D">
      <w:pPr>
        <w:tabs>
          <w:tab w:val="center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215E0" w:rsidRPr="00D74383" w:rsidRDefault="00C215E0" w:rsidP="00FA7B5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1" w:name="n89"/>
      <w:bookmarkEnd w:id="1"/>
      <w:r w:rsidRPr="00D7438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Визначення проблеми</w:t>
      </w:r>
    </w:p>
    <w:p w:rsidR="00C215E0" w:rsidRPr="00D74383" w:rsidRDefault="00C215E0" w:rsidP="00FA7B5D">
      <w:pPr>
        <w:spacing w:after="0" w:line="240" w:lineRule="auto"/>
        <w:ind w:left="1429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5D452C" w:rsidRPr="00EB31C5" w:rsidRDefault="005D452C" w:rsidP="005D4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90"/>
      <w:bookmarkStart w:id="3" w:name="n94"/>
      <w:bookmarkEnd w:id="2"/>
      <w:bookmarkEnd w:id="3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статті 31 Закону України «Про рибне господарство, промислове рибальство та охорону водних біоресурсів» з метою забезпечення охорони, раціонального використання окремих видів водних біоресурсів, а також для доповнення, уточнення або зміни правил промислового рибальства, якими визначаються райони, способи і строки вилучення (вилову, добування, збирання) водних біоресурсів, типи, розміри та кількість рибопромислових суден, знаряддя вилову, їх кількість, допустимі до вилову розміри об’єктів промислу, вимоги щодо їх охорони, а також умови користування промисловими ділянками рибогосподарських водних об’єктів (їх частин), навантаження на кожний водний об’єкт за кількістю та потужністю плавзасобів можуть розроблятися режими для окремих рибогосподарських водних об’єктів (їх частин).</w:t>
      </w:r>
    </w:p>
    <w:p w:rsidR="005D452C" w:rsidRPr="00EB31C5" w:rsidRDefault="005D452C" w:rsidP="005D4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доповнення та уточнення Правил промислового рибальства в басейні Чорного моря, затверджених наказом Державного комітету рибного господарства України від 08 грудня 1998 року № 164, зареєстрованих у Міністерстві юстиції України 09 березня 1999 року за № 147/3440 (із змінами) (далі – Правила рибальства), а також здійснення державного нагляду (контролю) природоохоронними органами за вилученням ресурсу загальнодержавного значення (водних біоресурсів) суб’єктами рибного господарства на підставі </w:t>
      </w:r>
      <w:r w:rsidRPr="00EB31C5">
        <w:rPr>
          <w:rStyle w:val="rvts9"/>
          <w:rFonts w:ascii="Times New Roman" w:hAnsi="Times New Roman"/>
          <w:sz w:val="28"/>
          <w:szCs w:val="28"/>
          <w:lang w:val="uk-UA"/>
        </w:rPr>
        <w:t>наукових обґрунтувань державного підприємства «Одеський центр Південного науково-дослідного інституту морського рибного господарства та океанографії»</w:t>
      </w:r>
      <w:r w:rsidRPr="00EB3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наказу.</w:t>
      </w:r>
    </w:p>
    <w:p w:rsidR="005D452C" w:rsidRPr="00EB31C5" w:rsidRDefault="005D452C" w:rsidP="005D45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Прийняття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дасть змогу </w:t>
      </w:r>
      <w:r w:rsidRPr="00EB31C5">
        <w:rPr>
          <w:rFonts w:ascii="Times New Roman" w:hAnsi="Times New Roman"/>
          <w:sz w:val="28"/>
          <w:szCs w:val="28"/>
          <w:lang w:val="uk-UA"/>
        </w:rPr>
        <w:t>впорядкування організації промислового рибальства в басейні Чорного моря у 2021 році, забезпечить раціональне використання водних біоресурсів суб’єктами господарювання всіх форм власності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, які здійснюють промислове рибальство, а також дасть змогу здійснювати природоохоронні заходи уповноваженими, на забезпечення охорони, відтворення та збереження середовища існування водних біоресурсів у рибогосподарських водних об’єктах загальнодержавного значення, державними органами на більш високому рівні.</w:t>
      </w:r>
    </w:p>
    <w:p w:rsidR="00D74383" w:rsidRPr="00D74383" w:rsidRDefault="00D74383" w:rsidP="00FA7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15E0" w:rsidRPr="00D74383" w:rsidRDefault="00C215E0" w:rsidP="00FA7B5D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7438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Основні групи (підгрупи), на які проблема справляє вплив</w:t>
      </w:r>
    </w:p>
    <w:p w:rsidR="00C215E0" w:rsidRPr="00D74383" w:rsidRDefault="00C215E0" w:rsidP="00D82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98"/>
        <w:gridCol w:w="5111"/>
        <w:gridCol w:w="2059"/>
      </w:tblGrid>
      <w:tr w:rsidR="00C215E0" w:rsidRPr="00B93A24" w:rsidTr="00D01144"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n95"/>
            <w:bookmarkEnd w:id="4"/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ідгрупи</w:t>
            </w:r>
            <w:proofErr w:type="spellEnd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C215E0" w:rsidRPr="00B93A24" w:rsidTr="00412FC6"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Громадяни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5C0157" w:rsidP="0039435E">
            <w:pPr>
              <w:spacing w:after="0" w:line="240" w:lineRule="auto"/>
              <w:ind w:right="126" w:firstLine="5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збільшення асортименту рибної </w:t>
            </w:r>
            <w:r w:rsidR="00C215E0"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продукції на ринку України;</w:t>
            </w:r>
          </w:p>
          <w:p w:rsidR="00C215E0" w:rsidRPr="00B93A24" w:rsidRDefault="00C215E0" w:rsidP="0039435E">
            <w:pPr>
              <w:spacing w:after="0" w:line="240" w:lineRule="auto"/>
              <w:ind w:right="126" w:firstLine="5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нових робочих місць та зайнятість населення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особливо в сільській 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місцевості;</w:t>
            </w:r>
          </w:p>
          <w:p w:rsidR="00C215E0" w:rsidRPr="00B93A24" w:rsidRDefault="005C0157" w:rsidP="005C0157">
            <w:pPr>
              <w:spacing w:after="0" w:line="240" w:lineRule="auto"/>
              <w:ind w:right="126" w:firstLine="5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збільшення споживання рибної </w:t>
            </w:r>
            <w:r w:rsidR="00C215E0"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продукції власного виробництва на </w:t>
            </w:r>
            <w:r w:rsidR="00C215E0" w:rsidRPr="00DD653C">
              <w:rPr>
                <w:rFonts w:ascii="Times New Roman" w:hAnsi="Times New Roman"/>
                <w:sz w:val="24"/>
                <w:szCs w:val="24"/>
                <w:lang w:val="uk-UA"/>
              </w:rPr>
              <w:t>душу населення України</w:t>
            </w:r>
            <w:r w:rsidR="0011059F">
              <w:rPr>
                <w:rFonts w:ascii="Times New Roman" w:hAnsi="Times New Roman"/>
                <w:sz w:val="24"/>
                <w:szCs w:val="24"/>
                <w:lang w:val="uk-UA"/>
              </w:rPr>
              <w:t>, яке</w:t>
            </w:r>
            <w:r w:rsidR="00C215E0" w:rsidRPr="00DD6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даний час </w:t>
            </w:r>
            <w:r w:rsidR="00C215E0" w:rsidRPr="001B354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10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тановить </w:t>
            </w:r>
            <w:r w:rsidR="001B354B" w:rsidRPr="001B354B">
              <w:rPr>
                <w:rFonts w:ascii="Times New Roman" w:hAnsi="Times New Roman"/>
                <w:sz w:val="24"/>
                <w:szCs w:val="24"/>
              </w:rPr>
              <w:t xml:space="preserve">12,1 </w:t>
            </w:r>
            <w:r w:rsidR="001B354B" w:rsidRPr="001B354B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  <w:r w:rsidR="001B354B" w:rsidRPr="001B354B">
              <w:rPr>
                <w:sz w:val="24"/>
                <w:szCs w:val="24"/>
                <w:lang w:val="uk-UA"/>
              </w:rPr>
              <w:t xml:space="preserve"> </w:t>
            </w:r>
            <w:r w:rsidR="00C215E0"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5E0" w:rsidRPr="00B93A24" w:rsidTr="00412FC6"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Держава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7A3E21">
            <w:pPr>
              <w:spacing w:after="0" w:line="240" w:lineRule="auto"/>
              <w:ind w:left="127" w:right="126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надходження до Державного бюджету України коштів за використання водних біоресурсів у сумі </w:t>
            </w:r>
            <w:r w:rsidR="005C01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понад </w:t>
            </w:r>
            <w:r w:rsidRPr="00DD6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0157"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="0011059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90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млн</w:t>
            </w:r>
            <w:r w:rsidRPr="002904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C215E0" w:rsidRPr="00B93A24" w:rsidRDefault="00C215E0" w:rsidP="007A3E21">
            <w:pPr>
              <w:spacing w:after="0" w:line="240" w:lineRule="auto"/>
              <w:ind w:left="127" w:right="126"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збереження та стале використання природних ресурсів загальнодержавного значення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5E0" w:rsidRPr="00B93A24" w:rsidTr="00412FC6">
        <w:tc>
          <w:tcPr>
            <w:tcW w:w="1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39435E">
            <w:pPr>
              <w:tabs>
                <w:tab w:val="left" w:pos="1500"/>
              </w:tabs>
              <w:spacing w:after="0" w:line="240" w:lineRule="auto"/>
              <w:ind w:firstLine="4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захист вітчизняного товаровиробника, створення сприятливих умов щодо забезпечення існуючих і новостворених </w:t>
            </w:r>
            <w:proofErr w:type="spellStart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рибопереробних та інших 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дприємств сировиною, організація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створення нових робочих місць;</w:t>
            </w:r>
          </w:p>
          <w:p w:rsidR="00C215E0" w:rsidRPr="00B93A24" w:rsidRDefault="00C215E0" w:rsidP="0039435E">
            <w:pPr>
              <w:spacing w:after="0" w:line="240" w:lineRule="auto"/>
              <w:ind w:left="127" w:right="126" w:firstLine="4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збільшення виробництва рибної продукції з метою гарантування продовольчої безпеки країни, задоволення потреб населення </w:t>
            </w:r>
            <w:r w:rsidR="007225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продукції рибної промисловості</w:t>
            </w:r>
          </w:p>
        </w:tc>
        <w:tc>
          <w:tcPr>
            <w:tcW w:w="10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F0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215E0" w:rsidRPr="00722527" w:rsidRDefault="00C215E0" w:rsidP="001E24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n96"/>
      <w:bookmarkEnd w:id="5"/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Дана проблема не може бути розв’язана за допомогою чинних регуляторних актів, оскільки не буде створено умов для спрощення умов ведення господарської діяльності.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Позиція щодо відмови від врегулювання цієї проблеми не сприяє модернізації системи державного регулювання господарської діяльності та сприяє існуванню ризиків для проявів корупції, а тому є неприйнятною.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Єдиним способом вирішення проблеми, яку передбачається розв’язати шляхом державного регулювання, є прийняття запропонованого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дозволить доповнити та уточнити Правила рибальства. Дія зазначеного акту є обов’язковою та поширюється на підприємства, установи, організації всіх форм власності, що здійснюють промислове рибальство, уповноважені державні органи, які забезпечують охорону, відтворення та збереження середовища існування водних біоресурсів у рибогосподарських водних об’єктах загальнодержавного значення</w:t>
      </w: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B66A03" w:rsidRPr="00B93A24" w:rsidRDefault="00B66A03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Pr="00B93A24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6" w:name="n97"/>
      <w:bookmarkStart w:id="7" w:name="n99"/>
      <w:bookmarkEnd w:id="6"/>
      <w:bookmarkEnd w:id="7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II</w:t>
      </w:r>
      <w:r w:rsidRPr="00B93A2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 Цілі державного регулювання</w:t>
      </w:r>
    </w:p>
    <w:p w:rsidR="00C215E0" w:rsidRPr="00D74383" w:rsidRDefault="00C215E0" w:rsidP="00FA7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Default="00F134CD" w:rsidP="00F134CD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00"/>
      <w:bookmarkEnd w:id="8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Прийняття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забезпечить належне регулювання використання природних ресурсів загальнодержавного значення, в частині промислу водних біоресурсів на промислових ділянках внутрішніх морських вод, територіальному морі, виключній (морській) економічній зоні, що сприятиме їх раціональному використанню та недопущенню завдання шкоди екосистемам.</w:t>
      </w:r>
    </w:p>
    <w:p w:rsidR="00F134CD" w:rsidRPr="00FA7B5D" w:rsidRDefault="00F134CD" w:rsidP="00F134CD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15E0" w:rsidRPr="00B93A24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III.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Визначення</w:t>
      </w:r>
      <w:proofErr w:type="spellEnd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оцінка</w:t>
      </w:r>
      <w:proofErr w:type="spellEnd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альтернативних</w:t>
      </w:r>
      <w:proofErr w:type="spellEnd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способів</w:t>
      </w:r>
      <w:proofErr w:type="spellEnd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досягнення</w:t>
      </w:r>
      <w:proofErr w:type="spellEnd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b/>
          <w:color w:val="000000"/>
          <w:sz w:val="28"/>
          <w:szCs w:val="28"/>
          <w:lang w:eastAsia="ru-RU"/>
        </w:rPr>
        <w:t>цілей</w:t>
      </w:r>
      <w:proofErr w:type="spellEnd"/>
    </w:p>
    <w:p w:rsidR="00C215E0" w:rsidRPr="00FA7B5D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n102"/>
      <w:bookmarkEnd w:id="9"/>
    </w:p>
    <w:p w:rsidR="00C215E0" w:rsidRPr="00B93A24" w:rsidRDefault="00C215E0" w:rsidP="00FA7B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93A24">
        <w:rPr>
          <w:rFonts w:ascii="Times New Roman" w:hAnsi="Times New Roman"/>
          <w:color w:val="000000"/>
          <w:sz w:val="28"/>
          <w:szCs w:val="28"/>
          <w:lang w:val="uk-UA"/>
        </w:rPr>
        <w:t>Визначення альтернативних способів</w:t>
      </w:r>
    </w:p>
    <w:p w:rsidR="00C215E0" w:rsidRPr="00FA7B5D" w:rsidRDefault="00C215E0" w:rsidP="00FA7B5D">
      <w:pPr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Pr="00B93A24" w:rsidRDefault="00AC5CCE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кту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5E0" w:rsidRPr="00B93A24">
        <w:rPr>
          <w:rFonts w:ascii="Times New Roman" w:hAnsi="Times New Roman"/>
          <w:color w:val="000000"/>
          <w:sz w:val="28"/>
          <w:szCs w:val="28"/>
          <w:lang w:val="uk-UA"/>
        </w:rPr>
        <w:t>наказу</w:t>
      </w:r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було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опрацьовано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два 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альтернативні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15E0" w:rsidRPr="00B93A24">
        <w:rPr>
          <w:rFonts w:ascii="Times New Roman" w:hAnsi="Times New Roman"/>
          <w:color w:val="000000"/>
          <w:sz w:val="28"/>
          <w:szCs w:val="28"/>
        </w:rPr>
        <w:t>досягнення</w:t>
      </w:r>
      <w:proofErr w:type="spellEnd"/>
      <w:r w:rsidR="00C215E0" w:rsidRPr="00B93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5E0" w:rsidRPr="00B93A24">
        <w:rPr>
          <w:rFonts w:ascii="Times New Roman" w:hAnsi="Times New Roman"/>
          <w:color w:val="000000"/>
          <w:sz w:val="28"/>
          <w:szCs w:val="28"/>
          <w:lang w:val="uk-UA"/>
        </w:rPr>
        <w:t>вищезазначених цілей:</w:t>
      </w:r>
    </w:p>
    <w:p w:rsidR="00C215E0" w:rsidRPr="00C56490" w:rsidRDefault="00C215E0" w:rsidP="00D82B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33"/>
        <w:gridCol w:w="6835"/>
      </w:tblGrid>
      <w:tr w:rsidR="00C215E0" w:rsidRPr="00B93A24" w:rsidTr="004E6AF5">
        <w:tc>
          <w:tcPr>
            <w:tcW w:w="1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822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0" w:name="n104"/>
            <w:bookmarkEnd w:id="10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822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</w:tr>
      <w:tr w:rsidR="00C215E0" w:rsidRPr="00B93A24" w:rsidTr="004E6AF5">
        <w:tc>
          <w:tcPr>
            <w:tcW w:w="146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6C155C" w:rsidP="006C155C">
            <w:pPr>
              <w:spacing w:after="0" w:line="240" w:lineRule="auto"/>
              <w:ind w:right="142" w:firstLine="2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залишити без змін існуючі Правила рибальства, але даний спосіб не сприятиме раціональному використанню водних біоресурсів у внутрішніх морських водах, територіальному морі, виключній (морській) економічній зоні</w:t>
            </w:r>
          </w:p>
        </w:tc>
      </w:tr>
      <w:tr w:rsidR="00C215E0" w:rsidRPr="00B93A24" w:rsidTr="004E6AF5">
        <w:tc>
          <w:tcPr>
            <w:tcW w:w="146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Альтернатива 2 </w:t>
            </w:r>
          </w:p>
        </w:tc>
        <w:tc>
          <w:tcPr>
            <w:tcW w:w="3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6C155C" w:rsidP="006C155C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прийняття </w:t>
            </w:r>
            <w:proofErr w:type="spellStart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наказу, що забезпечить доповнення та уточнення Правил рибальства, врегулювання питань раціонального використання водних біоресурсів, а також дозволить належним чином здійснювати промислове рибальство суб’єктами господарювання різних форм власності.</w:t>
            </w:r>
          </w:p>
        </w:tc>
      </w:tr>
    </w:tbl>
    <w:p w:rsidR="00C215E0" w:rsidRDefault="00C215E0" w:rsidP="00D74383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05"/>
      <w:bookmarkStart w:id="12" w:name="n106"/>
      <w:bookmarkEnd w:id="11"/>
      <w:bookmarkEnd w:id="12"/>
    </w:p>
    <w:p w:rsidR="00C215E0" w:rsidRPr="00B93A24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3" w:name="n116"/>
      <w:bookmarkEnd w:id="13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вибраних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альтернативних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цілей</w:t>
      </w:r>
      <w:proofErr w:type="spellEnd"/>
    </w:p>
    <w:p w:rsidR="00C215E0" w:rsidRPr="00D74383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Pr="00B93A24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4" w:name="n117"/>
      <w:bookmarkStart w:id="15" w:name="n118"/>
      <w:bookmarkEnd w:id="14"/>
      <w:bookmarkEnd w:id="15"/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сферу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держав</w:t>
      </w:r>
      <w:r w:rsidRPr="00B93A24"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</w:p>
    <w:p w:rsidR="00C215E0" w:rsidRPr="00D74383" w:rsidRDefault="00C215E0" w:rsidP="00C564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6"/>
        <w:gridCol w:w="3505"/>
        <w:gridCol w:w="3957"/>
      </w:tblGrid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117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6" w:name="n119"/>
            <w:bookmarkEnd w:id="16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117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117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117D32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527CC9">
            <w:pPr>
              <w:spacing w:after="0" w:line="240" w:lineRule="auto"/>
              <w:ind w:left="126" w:right="141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зменшення надходжень до </w:t>
            </w:r>
            <w:r w:rsidR="006C15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Державного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бюджету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C15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України 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зв</w:t>
            </w:r>
            <w:r w:rsidR="006C155C"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язку з тим, що суб’єкти господарювання не матимуть змоги належним чином здійснювати свою </w:t>
            </w:r>
            <w:r w:rsidR="006C15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господарську 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діяльність;</w:t>
            </w:r>
          </w:p>
          <w:p w:rsidR="00C215E0" w:rsidRPr="00B93A24" w:rsidRDefault="00C215E0" w:rsidP="00527CC9">
            <w:pPr>
              <w:spacing w:after="0" w:line="240" w:lineRule="auto"/>
              <w:ind w:left="126" w:right="141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зменшення кількості суб’єктів господарювання</w:t>
            </w:r>
            <w:r w:rsidR="006C15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6C155C"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що провадять промислове рибальство;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збільшення соціальної напруги серед </w:t>
            </w:r>
            <w:r w:rsidR="006C155C"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суб’єктів господарювання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872637" w:rsidRPr="00EB31C5" w:rsidRDefault="00872637" w:rsidP="00872637">
            <w:pPr>
              <w:spacing w:after="0" w:line="240" w:lineRule="auto"/>
              <w:ind w:left="126" w:right="141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скорочення робочих місць та зменшення зайнятості 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населення, особливо в сільській місцевості;</w:t>
            </w:r>
          </w:p>
          <w:p w:rsidR="00872637" w:rsidRPr="00EB31C5" w:rsidRDefault="00872637" w:rsidP="00872637">
            <w:pPr>
              <w:spacing w:after="0" w:line="240" w:lineRule="auto"/>
              <w:ind w:left="126" w:right="141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зменшення асортименту рибної продукції вітчизняного виробництва, що надходить на внутрішній ринок;</w:t>
            </w:r>
          </w:p>
          <w:p w:rsidR="00C215E0" w:rsidRPr="00B93A24" w:rsidRDefault="00872637" w:rsidP="00872637">
            <w:pPr>
              <w:spacing w:after="0" w:line="240" w:lineRule="auto"/>
              <w:ind w:left="126" w:right="141" w:firstLine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зменшення споживання рибної продукції на душу населення</w:t>
            </w:r>
          </w:p>
        </w:tc>
      </w:tr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2637" w:rsidRPr="00EB31C5" w:rsidRDefault="00872637" w:rsidP="008726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здійснення діяльності суб’єктами господарювання в правовому полі;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72637" w:rsidRPr="00EB31C5" w:rsidRDefault="00872637" w:rsidP="0087263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надходження до Державного бюджету України коштів за </w:t>
            </w:r>
            <w:r w:rsidRPr="00EB31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водних біоресурсів у сумі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понад 4,</w:t>
            </w:r>
            <w:r w:rsidRPr="00EB31C5">
              <w:rPr>
                <w:rFonts w:ascii="Times New Roman" w:hAnsi="Times New Roman"/>
                <w:sz w:val="24"/>
                <w:szCs w:val="24"/>
                <w:lang w:val="uk-UA"/>
              </w:rPr>
              <w:t>3 млн грн;</w:t>
            </w:r>
          </w:p>
          <w:p w:rsidR="00872637" w:rsidRPr="00EB31C5" w:rsidRDefault="00872637" w:rsidP="00872637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збереження та стале 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використання природних ресурсів; </w:t>
            </w:r>
          </w:p>
          <w:p w:rsidR="00872637" w:rsidRPr="00EB31C5" w:rsidRDefault="00872637" w:rsidP="00872637">
            <w:pPr>
              <w:tabs>
                <w:tab w:val="left" w:pos="150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захист вітчизняного товаровиробника, створення сприятливих умов щодо забезпечення існуючих і новостворених </w:t>
            </w:r>
            <w:proofErr w:type="spellStart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рибопереробних та інших підприємств сировиною, організація та створення нових робочих місць;</w:t>
            </w:r>
          </w:p>
          <w:p w:rsidR="00872637" w:rsidRPr="00EB31C5" w:rsidRDefault="00872637" w:rsidP="00872637">
            <w:pPr>
              <w:spacing w:after="0"/>
              <w:ind w:firstLine="2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збільшення виробництва рибної продукції з метою гарантування продовольчої безпеки держави, задоволення потреб населення в продукції рибної промисловості, розширення її асортименту;</w:t>
            </w:r>
          </w:p>
          <w:p w:rsidR="00C215E0" w:rsidRPr="00B93A24" w:rsidRDefault="00872637" w:rsidP="00872637">
            <w:pPr>
              <w:spacing w:after="0"/>
              <w:ind w:firstLine="2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збільшення споживання рибної продукції населенням України (на даний час </w:t>
            </w:r>
            <w:r w:rsidRPr="00EB31C5">
              <w:rPr>
                <w:rFonts w:ascii="Times New Roman" w:hAnsi="Times New Roman"/>
                <w:sz w:val="24"/>
                <w:szCs w:val="24"/>
                <w:lang w:val="uk-UA"/>
              </w:rPr>
              <w:t>споживається близько 12,1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кг на душу населення при нормі фізіологічних потреб на душу населення – 20 кг)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A968F6">
            <w:pPr>
              <w:spacing w:after="0" w:line="240" w:lineRule="auto"/>
              <w:ind w:left="126" w:right="141" w:firstLine="2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відсутні</w:t>
            </w:r>
          </w:p>
        </w:tc>
      </w:tr>
    </w:tbl>
    <w:p w:rsidR="00C2176B" w:rsidRDefault="00C2176B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7" w:name="n120"/>
      <w:bookmarkStart w:id="18" w:name="n121"/>
      <w:bookmarkStart w:id="19" w:name="n130"/>
      <w:bookmarkEnd w:id="17"/>
      <w:bookmarkEnd w:id="18"/>
      <w:bookmarkEnd w:id="19"/>
    </w:p>
    <w:p w:rsidR="00722527" w:rsidRPr="00D74383" w:rsidRDefault="00722527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Pr="00B93A24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сферу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</w:p>
    <w:p w:rsidR="00C215E0" w:rsidRPr="00D74383" w:rsidRDefault="00C215E0" w:rsidP="00A968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6"/>
        <w:gridCol w:w="3505"/>
        <w:gridCol w:w="3957"/>
      </w:tblGrid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0" w:name="n131"/>
            <w:bookmarkEnd w:id="20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697301" w:rsidP="00FA7B5D">
            <w:pPr>
              <w:spacing w:after="0"/>
              <w:ind w:right="141" w:firstLine="4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зменшення кількості та асортименту рибної </w:t>
            </w:r>
            <w:proofErr w:type="spellStart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продукцїі</w:t>
            </w:r>
            <w:proofErr w:type="spellEnd"/>
          </w:p>
        </w:tc>
      </w:tr>
      <w:tr w:rsidR="00C215E0" w:rsidRPr="00B93A24" w:rsidTr="00F76F6F"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ind w:right="127" w:firstLine="2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збільшення кількості рибної продукції на душу населення;</w:t>
            </w:r>
          </w:p>
          <w:p w:rsidR="00C215E0" w:rsidRPr="00B93A24" w:rsidRDefault="00C215E0" w:rsidP="00FA7B5D">
            <w:pPr>
              <w:spacing w:after="0"/>
              <w:ind w:right="127" w:firstLine="2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створення нових робочих місць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особливо у сільській місцевості;</w:t>
            </w:r>
          </w:p>
          <w:p w:rsidR="00C215E0" w:rsidRPr="00B93A24" w:rsidRDefault="00697301" w:rsidP="00FA7B5D">
            <w:pPr>
              <w:spacing w:after="0"/>
              <w:ind w:right="127" w:firstLine="2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зайнятості населення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</w:tr>
    </w:tbl>
    <w:p w:rsidR="00C215E0" w:rsidRPr="00D74383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1" w:name="n132"/>
      <w:bookmarkStart w:id="22" w:name="n133"/>
      <w:bookmarkStart w:id="23" w:name="n141"/>
      <w:bookmarkEnd w:id="21"/>
      <w:bookmarkEnd w:id="22"/>
      <w:bookmarkEnd w:id="23"/>
    </w:p>
    <w:p w:rsidR="00C215E0" w:rsidRPr="00B93A24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сферу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A24">
        <w:rPr>
          <w:rFonts w:ascii="Times New Roman" w:hAnsi="Times New Roman"/>
          <w:color w:val="000000"/>
          <w:sz w:val="28"/>
          <w:szCs w:val="28"/>
          <w:lang w:eastAsia="ru-RU"/>
        </w:rPr>
        <w:t>господарювання</w:t>
      </w:r>
      <w:proofErr w:type="spellEnd"/>
    </w:p>
    <w:p w:rsidR="00C215E0" w:rsidRPr="00D74383" w:rsidRDefault="00C215E0" w:rsidP="00A968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6"/>
        <w:gridCol w:w="439"/>
        <w:gridCol w:w="1261"/>
        <w:gridCol w:w="1466"/>
        <w:gridCol w:w="340"/>
        <w:gridCol w:w="1029"/>
        <w:gridCol w:w="1367"/>
        <w:gridCol w:w="1560"/>
      </w:tblGrid>
      <w:tr w:rsidR="00C215E0" w:rsidRPr="00B93A24" w:rsidTr="00A30E6C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4" w:name="n142"/>
            <w:bookmarkEnd w:id="24"/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Великі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Середні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Малі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B93A24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Мікро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D139B2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93A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</w:tr>
      <w:tr w:rsidR="00C215E0" w:rsidRPr="00C7122F" w:rsidTr="00A30E6C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підпадають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AF703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AF703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="00871A5B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AF703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F87A4B" w:rsidP="00AF7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C215E0" w:rsidRPr="00C7122F" w:rsidTr="00A30E6C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Питома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загальній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відсоткі</w:t>
            </w:r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871A5B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871A5B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871A5B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C215E0" w:rsidRPr="00C7122F" w:rsidTr="00A30E6C"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C7122F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22527" w:rsidRPr="00C7122F" w:rsidRDefault="00722527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C7122F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F134CD" w:rsidRDefault="00C215E0" w:rsidP="00F134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C7122F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C7122F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5E0" w:rsidRPr="00C7122F" w:rsidRDefault="00C215E0" w:rsidP="00A96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5E0" w:rsidRPr="00C7122F" w:rsidTr="00C860C3"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5" w:name="n143"/>
            <w:bookmarkEnd w:id="25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81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20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215E0" w:rsidRPr="005C0157" w:rsidTr="00C860C3"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181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20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697301" w:rsidP="00722527">
            <w:pPr>
              <w:spacing w:after="0" w:line="288" w:lineRule="auto"/>
              <w:ind w:right="142" w:firstLine="4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блокування здійснення господарської діяльності, суб’єктами рибного господарства що негативно вплине на розвиток підприємництва</w:t>
            </w:r>
          </w:p>
        </w:tc>
      </w:tr>
      <w:tr w:rsidR="00C215E0" w:rsidRPr="00C7122F" w:rsidTr="00C860C3">
        <w:trPr>
          <w:trHeight w:val="65"/>
        </w:trPr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181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697301" w:rsidP="00722527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Уточнення та доповнення Правил рибальства, шляхом регламентації порядку промислу водних біоресурсів у частинах, не передбачених Правилами рибальства, на підставі наукових  обґрунтувань наукових установ</w:t>
            </w:r>
          </w:p>
        </w:tc>
        <w:tc>
          <w:tcPr>
            <w:tcW w:w="20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proofErr w:type="gram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ік –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892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грн;</w:t>
            </w: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5 років – 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460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</w:t>
            </w: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субєктів</w:t>
            </w:r>
            <w:proofErr w:type="spell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малого підприємництва:</w:t>
            </w: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proofErr w:type="gram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ік – 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94 848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грн;</w:t>
            </w:r>
          </w:p>
          <w:p w:rsidR="003B1057" w:rsidRPr="00C7122F" w:rsidRDefault="003B1057" w:rsidP="00FA7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5 років – </w:t>
            </w:r>
            <w:r w:rsidR="005824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474 240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</w:t>
            </w:r>
          </w:p>
          <w:p w:rsidR="00C215E0" w:rsidRPr="00C7122F" w:rsidRDefault="00C215E0" w:rsidP="00870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215E0" w:rsidRPr="00C7122F" w:rsidRDefault="00C215E0" w:rsidP="00D74383">
      <w:pPr>
        <w:spacing w:after="0" w:line="264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26" w:name="n144"/>
      <w:bookmarkStart w:id="27" w:name="n149"/>
      <w:bookmarkEnd w:id="26"/>
      <w:bookmarkEnd w:id="27"/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ВИТРАТИ</w:t>
      </w: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одного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суб’єкта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господарювання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великого і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середнього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виникають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внаслідок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регуляторного акта</w:t>
      </w:r>
    </w:p>
    <w:p w:rsidR="00D74383" w:rsidRPr="00C7122F" w:rsidRDefault="00D74383" w:rsidP="004929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215E0" w:rsidRPr="00C7122F" w:rsidRDefault="00C215E0" w:rsidP="004929FE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</w:p>
    <w:tbl>
      <w:tblPr>
        <w:tblW w:w="506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31"/>
        <w:gridCol w:w="3214"/>
        <w:gridCol w:w="2628"/>
        <w:gridCol w:w="2626"/>
      </w:tblGrid>
      <w:tr w:rsidR="00C215E0" w:rsidRPr="00C7122F" w:rsidTr="00474A50">
        <w:trPr>
          <w:trHeight w:val="253"/>
        </w:trPr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8" w:name="n178"/>
            <w:bookmarkEnd w:id="28"/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о-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перший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сервісне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ind w:hanging="1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не передбачені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сплаті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4D4349">
        <w:trPr>
          <w:trHeight w:val="5770"/>
        </w:trPr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підготовкою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органам,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Витрати на ведення обліку: Журнал прийнятих (ВБР) </w:t>
            </w:r>
          </w:p>
          <w:p w:rsidR="00722527" w:rsidRPr="00C7122F" w:rsidRDefault="00C215E0" w:rsidP="007225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1екз. / 1 рік на </w:t>
            </w:r>
          </w:p>
          <w:p w:rsidR="00C215E0" w:rsidRPr="00C7122F" w:rsidRDefault="003E055F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господ. ×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 грн ×        </w:t>
            </w:r>
            <w:r w:rsidR="00FA7B5D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1 </w:t>
            </w:r>
            <w:proofErr w:type="spellStart"/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екз</w:t>
            </w:r>
            <w:proofErr w:type="spellEnd"/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=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 грн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Журнал обліку (ВБР) 1екз. / 1ланку</w:t>
            </w:r>
          </w:p>
          <w:p w:rsidR="00C215E0" w:rsidRPr="00C7122F" w:rsidRDefault="003E055F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6,5 ланок × 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 грн ×       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екз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.=195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Квитанція 1 шт.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/ в день 0,50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/ 1 шт., робочих днів 2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  <w:r w:rsidR="00C215E0"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*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E055F" w:rsidRPr="00C7122F" w:rsidRDefault="003E055F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226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× 0,50 грн =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113 грн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× 1 ланку на   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1 рік </w:t>
            </w:r>
          </w:p>
          <w:p w:rsidR="00C215E0" w:rsidRPr="00C7122F" w:rsidRDefault="003E055F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6,5 ланок × 113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квитанції на 1 рік = 734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,50 грн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Усього на 1 рік:     </w:t>
            </w:r>
            <w:r w:rsidR="004D4349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</w:t>
            </w:r>
            <w:r w:rsidR="00603F78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929,5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603F78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4 647,5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ініструванням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(контролю)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приписів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дозволів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ліцензій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атестатів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погоджень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висновків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незалежних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Дозвіл видається безкоштовно (на 5 років)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Заповнення заяви, довідки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2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/ 0,50 коп.= 1 грн × 1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госп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= 1 грн  Усього на 1 рік: 1 грн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Дозвіл видається безкоштовно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(на 5 років)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1 грн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Для заповнення заявок, довідок, звітів, квитанцій, журналів: 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5 кулькових ручок /  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603F78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 грн / шт. = 40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3 олівці × 2 грн / шт. =         6 грн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 лінійка</w:t>
            </w:r>
            <w:r w:rsidR="00603F78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× 10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/ шт.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гумка × 6 грн / шт.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 ножиці</w:t>
            </w:r>
            <w:r w:rsidR="00603F78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× 20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шт.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2 пачка скріпок × 3грн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пач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= 6 грн</w:t>
            </w:r>
          </w:p>
          <w:p w:rsidR="00C215E0" w:rsidRPr="00C7122F" w:rsidRDefault="00603F78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/ 1 ланка ×          6,5 ланок =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552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,50 грн Усього: </w:t>
            </w:r>
          </w:p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 1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госп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/ 1 рік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603F78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552,5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603F78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2 762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,50 грн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з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наймом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додаткового персоналу, гривень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Інше (уточнити), г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−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−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(сума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1 + 2 + 3 + 4 + 5 + 6 + 7 + 8),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F78" w:rsidRPr="00C7122F" w:rsidRDefault="00603F78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929,5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(рядок 3) + 1 грн    (рядок 5) +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552,5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 (рядок 6) = </w:t>
            </w:r>
          </w:p>
          <w:p w:rsidR="00C215E0" w:rsidRPr="00C7122F" w:rsidRDefault="00C215E0" w:rsidP="007225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3F78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1 482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603F78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4 647,5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(рядок 3) + 1 грн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(рядок 5) +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2 762,50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t>грн (рядок 6) =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7 410 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</w:t>
            </w:r>
          </w:p>
        </w:tc>
      </w:tr>
      <w:tr w:rsidR="00C215E0" w:rsidRPr="00C7122F" w:rsidTr="00474A50"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поширено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суб’єкти середнього підприємництва – </w:t>
            </w:r>
            <w:r w:rsidR="00AE044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суб’єкти великого підприємництва − 0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суб’єкти середнього підприємництва – </w:t>
            </w:r>
            <w:r w:rsidR="00AE044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суб’єкти великого підприємництва − 0</w:t>
            </w:r>
          </w:p>
        </w:tc>
      </w:tr>
      <w:tr w:rsidR="00C215E0" w:rsidRPr="00AF7037" w:rsidTr="00FA7B5D">
        <w:trPr>
          <w:trHeight w:val="2309"/>
        </w:trPr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(рядок 9 х рядок 10),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суб’єкти середнього підприємництва – 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="00603F78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1 482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 </w:t>
            </w: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t>(рядок 9) ×</w:t>
            </w: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AF70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(рядок 10) =</w:t>
            </w: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871A5B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892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</w:t>
            </w:r>
          </w:p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суб’єкти великого підприємництва − 0</w:t>
            </w:r>
          </w:p>
        </w:tc>
        <w:tc>
          <w:tcPr>
            <w:tcW w:w="1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суб’єкти середнього підприємництва –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="00603F78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7 410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 </w:t>
            </w:r>
            <w:r w:rsidRPr="00C712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(рядок 9) × </w:t>
            </w:r>
          </w:p>
          <w:p w:rsidR="00C215E0" w:rsidRPr="00C7122F" w:rsidRDefault="00AF7037" w:rsidP="004D4349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(рядок 10) =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  <w:r w:rsidR="00871A5B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460</w:t>
            </w:r>
            <w:r w:rsidR="00C215E0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</w:t>
            </w:r>
          </w:p>
          <w:p w:rsidR="00C215E0" w:rsidRPr="00C7122F" w:rsidRDefault="00C215E0" w:rsidP="004D4349">
            <w:pPr>
              <w:spacing w:before="100" w:beforeAutospacing="1" w:after="100" w:afterAutospacing="1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суб’єкти великого підприємництва − 0</w:t>
            </w:r>
          </w:p>
        </w:tc>
      </w:tr>
    </w:tbl>
    <w:p w:rsidR="00C215E0" w:rsidRPr="00C7122F" w:rsidRDefault="00C215E0" w:rsidP="00FA7B5D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</w:pPr>
      <w:bookmarkStart w:id="29" w:name="n179"/>
      <w:bookmarkEnd w:id="29"/>
      <w:r w:rsidRPr="00C7122F"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  <w:t>____________</w:t>
      </w:r>
    </w:p>
    <w:p w:rsidR="00C215E0" w:rsidRPr="00C7122F" w:rsidRDefault="00C215E0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 w:eastAsia="ru-RU"/>
        </w:rPr>
        <w:t>*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Календарний рік налічує 365 днів, з них 70 днів − </w:t>
      </w:r>
      <w:r w:rsidR="003E055F"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нерестова заборона, приблизно 2</w:t>
      </w:r>
      <w:r w:rsidR="00DB768B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дні</w:t>
      </w:r>
      <w:r w:rsidR="008641FE"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−</w:t>
      </w:r>
      <w:r w:rsidR="003E055F"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вихідні, 1</w:t>
      </w:r>
      <w:r w:rsidR="00DB768B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днів − святкові, 30 днів – форс-мажорні обставини (</w:t>
      </w:r>
      <w:r w:rsidR="003E055F"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шторм, льодостав), отримуємо 226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робочих днів.</w:t>
      </w:r>
    </w:p>
    <w:p w:rsidR="00C215E0" w:rsidRPr="00C7122F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одного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господарювання</w:t>
      </w:r>
      <w:proofErr w:type="spellEnd"/>
    </w:p>
    <w:p w:rsidR="00D74383" w:rsidRPr="00C7122F" w:rsidRDefault="00D74383" w:rsidP="00D74383">
      <w:pPr>
        <w:spacing w:after="0" w:line="264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0"/>
        <w:gridCol w:w="1899"/>
        <w:gridCol w:w="1607"/>
        <w:gridCol w:w="1912"/>
      </w:tblGrid>
      <w:tr w:rsidR="00C215E0" w:rsidRPr="00C7122F" w:rsidTr="00DD1026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0" w:name="n180"/>
            <w:bookmarkEnd w:id="30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перший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722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2527"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DD1026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сервісне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кваліфікації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 передбачені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1026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1" w:name="n181"/>
            <w:bookmarkEnd w:id="31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8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сплату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змінених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нововведених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(за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DD1026"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сплаті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</w:tbl>
    <w:p w:rsidR="00722527" w:rsidRPr="00C7122F" w:rsidRDefault="00722527" w:rsidP="004929FE">
      <w:p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  <w:lang w:val="uk-UA" w:eastAsia="ru-RU"/>
        </w:rPr>
      </w:pPr>
      <w:bookmarkStart w:id="32" w:name="n182"/>
      <w:bookmarkEnd w:id="32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63"/>
        <w:gridCol w:w="1775"/>
        <w:gridCol w:w="1775"/>
        <w:gridCol w:w="1676"/>
        <w:gridCol w:w="1479"/>
      </w:tblGrid>
      <w:tr w:rsidR="00C215E0" w:rsidRPr="00C7122F" w:rsidTr="00903D39"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* на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штрафних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F07E96">
        <w:trPr>
          <w:trHeight w:val="95"/>
        </w:trPr>
        <w:tc>
          <w:tcPr>
            <w:tcW w:w="1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F44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підготовкою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органам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персоналу)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8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1D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</w:tbl>
    <w:p w:rsidR="00C215E0" w:rsidRPr="00C7122F" w:rsidRDefault="00C215E0" w:rsidP="00FA7B5D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</w:pPr>
      <w:bookmarkStart w:id="33" w:name="n183"/>
      <w:bookmarkEnd w:id="33"/>
      <w:r w:rsidRPr="00C7122F"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  <w:t>____________</w:t>
      </w:r>
    </w:p>
    <w:p w:rsidR="00C215E0" w:rsidRPr="00C7122F" w:rsidRDefault="00C215E0" w:rsidP="00FA7B5D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*Вартість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46"/>
        <w:gridCol w:w="2353"/>
        <w:gridCol w:w="1663"/>
        <w:gridCol w:w="1303"/>
        <w:gridCol w:w="1303"/>
      </w:tblGrid>
      <w:tr w:rsidR="00C215E0" w:rsidRPr="00C7122F" w:rsidTr="0011364E"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4" w:name="n184"/>
            <w:bookmarkEnd w:id="34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* на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нагляду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(контролю)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штрафних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порушень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11364E"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ініструванням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(контролю)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санкцій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приписів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</w:tbl>
    <w:p w:rsidR="00C215E0" w:rsidRPr="00C7122F" w:rsidRDefault="00C215E0" w:rsidP="00FA7B5D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</w:pPr>
      <w:bookmarkStart w:id="35" w:name="n185"/>
      <w:bookmarkEnd w:id="35"/>
      <w:r w:rsidRPr="00C7122F"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ru-RU"/>
        </w:rPr>
        <w:t>____________</w:t>
      </w:r>
    </w:p>
    <w:p w:rsidR="00C215E0" w:rsidRPr="00C7122F" w:rsidRDefault="00C215E0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*Вартість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C56490" w:rsidRPr="00C7122F" w:rsidRDefault="00C56490" w:rsidP="00492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6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43"/>
        <w:gridCol w:w="1896"/>
        <w:gridCol w:w="1899"/>
        <w:gridCol w:w="1756"/>
        <w:gridCol w:w="1607"/>
      </w:tblGrid>
      <w:tr w:rsidR="00C215E0" w:rsidRPr="00C7122F" w:rsidTr="00450585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6" w:name="n186"/>
            <w:bookmarkEnd w:id="36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процедур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часу,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дозволи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сертифікати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поліси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−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450585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дозволів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ліцензій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атестатів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погоджень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висновків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незалежних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375FCA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375FCA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375FCA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375FCA">
            <w:pPr>
              <w:ind w:left="-12"/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450585"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7" w:name="n187"/>
            <w:bookmarkEnd w:id="37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450585"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</w:tbl>
    <w:p w:rsidR="00FA7B5D" w:rsidRPr="00C7122F" w:rsidRDefault="00FA7B5D" w:rsidP="004929FE">
      <w:pPr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  <w:lang w:val="uk-UA" w:eastAsia="ru-RU"/>
        </w:rPr>
      </w:pPr>
      <w:bookmarkStart w:id="38" w:name="n188"/>
      <w:bookmarkEnd w:id="38"/>
    </w:p>
    <w:tbl>
      <w:tblPr>
        <w:tblW w:w="506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44"/>
        <w:gridCol w:w="3796"/>
        <w:gridCol w:w="3359"/>
      </w:tblGrid>
      <w:tr w:rsidR="00C215E0" w:rsidRPr="00C7122F" w:rsidTr="00450585"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додатково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найманого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персоналу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450585">
        <w:tc>
          <w:tcPr>
            <w:tcW w:w="1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пов’язан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наймом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1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1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75F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</w:tbl>
    <w:p w:rsidR="00C215E0" w:rsidRPr="00C7122F" w:rsidRDefault="00C215E0" w:rsidP="00D82B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39" w:name="n232"/>
      <w:bookmarkStart w:id="40" w:name="n231"/>
      <w:bookmarkStart w:id="41" w:name="n189"/>
      <w:bookmarkStart w:id="42" w:name="n190"/>
      <w:bookmarkEnd w:id="39"/>
      <w:bookmarkEnd w:id="40"/>
      <w:bookmarkEnd w:id="41"/>
      <w:bookmarkEnd w:id="42"/>
    </w:p>
    <w:tbl>
      <w:tblPr>
        <w:tblW w:w="635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5"/>
        <w:gridCol w:w="5405"/>
        <w:gridCol w:w="2496"/>
      </w:tblGrid>
      <w:tr w:rsidR="00C215E0" w:rsidRPr="00C7122F" w:rsidTr="00544FCB">
        <w:trPr>
          <w:gridAfter w:val="1"/>
          <w:wAfter w:w="1015" w:type="pct"/>
        </w:trPr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8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3" w:name="n150"/>
            <w:bookmarkEnd w:id="43"/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альтернативами</w:t>
            </w:r>
          </w:p>
        </w:tc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8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C215E0" w:rsidRPr="00C7122F" w:rsidTr="00544FCB">
        <w:trPr>
          <w:gridAfter w:val="1"/>
          <w:wAfter w:w="1015" w:type="pct"/>
        </w:trPr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D0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010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витрати відсутні</w:t>
            </w:r>
          </w:p>
        </w:tc>
      </w:tr>
      <w:tr w:rsidR="00C215E0" w:rsidRPr="00C7122F" w:rsidTr="00FA7B5D">
        <w:trPr>
          <w:trHeight w:val="2146"/>
        </w:trPr>
        <w:tc>
          <w:tcPr>
            <w:tcW w:w="1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D00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8641FE"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proofErr w:type="gram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ік –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AF7037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892</w:t>
            </w:r>
            <w:r w:rsidR="00AF7037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грн;</w:t>
            </w:r>
          </w:p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5 років –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  <w:r w:rsidR="00AF7037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460</w:t>
            </w:r>
            <w:r w:rsidR="00AF7037"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грн</w:t>
            </w:r>
          </w:p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для </w:t>
            </w:r>
            <w:proofErr w:type="spell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суб</w:t>
            </w:r>
            <w:proofErr w:type="spellEnd"/>
            <w:r w:rsidR="008641FE" w:rsidRPr="00C7122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малого підприємництва:</w:t>
            </w:r>
          </w:p>
          <w:p w:rsidR="00544FCB" w:rsidRPr="00C7122F" w:rsidRDefault="00544FCB" w:rsidP="004D4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proofErr w:type="gramStart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ік –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94 848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грн;</w:t>
            </w:r>
          </w:p>
          <w:p w:rsidR="00C215E0" w:rsidRPr="00C7122F" w:rsidRDefault="00544FCB" w:rsidP="00AF70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5 років – 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474 240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1015" w:type="pct"/>
            <w:tcBorders>
              <w:bottom w:val="outset" w:sz="2" w:space="0" w:color="auto"/>
            </w:tcBorders>
          </w:tcPr>
          <w:p w:rsidR="00C215E0" w:rsidRPr="00C7122F" w:rsidRDefault="00C215E0" w:rsidP="00544FCB"/>
        </w:tc>
      </w:tr>
    </w:tbl>
    <w:p w:rsidR="00C56490" w:rsidRPr="00C7122F" w:rsidRDefault="00C56490" w:rsidP="00FA7B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4" w:name="n151"/>
      <w:bookmarkEnd w:id="44"/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IV.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Вибі</w:t>
      </w:r>
      <w:proofErr w:type="gram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найбільш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оптимального альтернативного способу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досягнення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цілей</w:t>
      </w:r>
      <w:proofErr w:type="spellEnd"/>
    </w:p>
    <w:p w:rsidR="00D74383" w:rsidRPr="00C7122F" w:rsidRDefault="00D74383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5" w:name="n152"/>
      <w:bookmarkEnd w:id="45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6" w:name="n153"/>
      <w:bookmarkEnd w:id="46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7" w:name="n154"/>
      <w:bookmarkEnd w:id="47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4 − цілі прийняття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8" w:name="n155"/>
      <w:bookmarkEnd w:id="48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3 − цілі прийняття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9" w:name="n156"/>
      <w:bookmarkEnd w:id="49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2 − цілі прийняття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50" w:name="n157"/>
      <w:bookmarkEnd w:id="50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1 − цілі прийняття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:rsidR="00F134CD" w:rsidRPr="00EB31C5" w:rsidRDefault="00F134CD" w:rsidP="00F134C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6A1689" w:rsidRPr="00C7122F" w:rsidRDefault="006A1689" w:rsidP="0072252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1"/>
        <w:gridCol w:w="66"/>
        <w:gridCol w:w="2481"/>
        <w:gridCol w:w="978"/>
        <w:gridCol w:w="1651"/>
        <w:gridCol w:w="2351"/>
      </w:tblGrid>
      <w:tr w:rsidR="00C215E0" w:rsidRPr="00C7122F" w:rsidTr="00700936"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1" w:name="n158"/>
            <w:bookmarkEnd w:id="51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чотирибальною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бала</w:t>
            </w:r>
          </w:p>
        </w:tc>
      </w:tr>
      <w:tr w:rsidR="00C215E0" w:rsidRPr="00C7122F" w:rsidTr="000107AD">
        <w:trPr>
          <w:trHeight w:val="3126"/>
        </w:trPr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5A7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18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5A7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AE0448" w:rsidP="004D4349">
            <w:pPr>
              <w:spacing w:after="0"/>
              <w:ind w:right="141" w:firstLine="4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дана альтернатива оцінена відповідним балом у зв’язку з тим, що у випадку залишення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Правил рибальства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без змін залишиться неврегульоване питання спеціального використання водних біоресурсів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здійснення заходів державного нагляду (контролю).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Тому цілі прийняття регуляторного </w:t>
            </w:r>
            <w:proofErr w:type="spellStart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не можуть бути досягнуті (проблема продовжує існувати)</w:t>
            </w:r>
          </w:p>
        </w:tc>
      </w:tr>
      <w:tr w:rsidR="00C215E0" w:rsidRPr="00C7122F" w:rsidTr="00700936"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50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18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BC4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AE0448" w:rsidP="004D4349">
            <w:pPr>
              <w:spacing w:after="0"/>
              <w:ind w:right="141" w:firstLine="4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дана альтернатива оцінена відповідним балом у зв’язку з тим, що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прийняття </w:t>
            </w:r>
            <w:proofErr w:type="spellStart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End"/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наказу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дасть змогу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суб’єктам рибного господарства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раціонально використовувати природні ресурси та врегул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ювати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питання 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здійснення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природоохоронних заходів та 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заходів </w:t>
            </w:r>
            <w:r w:rsidRPr="00EB3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державного нагляду (контролю).</w:t>
            </w:r>
          </w:p>
          <w:p w:rsidR="00C215E0" w:rsidRPr="00C7122F" w:rsidRDefault="00C215E0" w:rsidP="004D4349">
            <w:pPr>
              <w:spacing w:after="0"/>
              <w:ind w:firstLine="4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Тому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цілі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регуляторного акта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досягнуті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повною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мірою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(проблема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існувати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буде)</w:t>
            </w:r>
          </w:p>
        </w:tc>
      </w:tr>
      <w:tr w:rsidR="00C215E0" w:rsidRPr="00C7122F" w:rsidTr="00700936">
        <w:tc>
          <w:tcPr>
            <w:tcW w:w="1107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C215E0" w:rsidRPr="00C7122F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ru-RU"/>
              </w:rPr>
            </w:pPr>
          </w:p>
          <w:p w:rsidR="00C215E0" w:rsidRPr="00C7122F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23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C215E0" w:rsidRPr="00C7122F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C215E0" w:rsidRPr="00C7122F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5E0" w:rsidRPr="00C7122F" w:rsidTr="00700936">
        <w:tc>
          <w:tcPr>
            <w:tcW w:w="11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2" w:name="n159"/>
            <w:bookmarkEnd w:id="52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Вигоди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ідсумок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ідсумок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рейтингу</w:t>
            </w:r>
          </w:p>
        </w:tc>
      </w:tr>
      <w:tr w:rsidR="00C215E0" w:rsidRPr="005D452C" w:rsidTr="00700936">
        <w:tc>
          <w:tcPr>
            <w:tcW w:w="11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ind w:right="1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оцінюючи підсумкові вигоди  даної альтернативи, необхідно зазначити, що проблема буде вирішена шляхом прийняття наказу, що дасть можливість не порушувати нормативно правові акти щодо спеціального використання водних біоресурсів</w:t>
            </w:r>
          </w:p>
        </w:tc>
        <w:tc>
          <w:tcPr>
            <w:tcW w:w="13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ind w:left="125" w:right="1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витрати наведені у відповідних таблицях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враховуючи оцінені у цій таблиці підсумкові витрати та вигоди, необхідно зазначити, що для вирішення проблеми найбільш виправданою та доцільною є Альтернатива 2, тому що вона призведе до повного вирішення проблеми, визначеної розділом I аналізу регуляторного впливу</w:t>
            </w:r>
          </w:p>
        </w:tc>
      </w:tr>
      <w:tr w:rsidR="00C215E0" w:rsidRPr="00C7122F" w:rsidTr="00700936">
        <w:tc>
          <w:tcPr>
            <w:tcW w:w="11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вигоди відсутні</w:t>
            </w:r>
          </w:p>
        </w:tc>
        <w:tc>
          <w:tcPr>
            <w:tcW w:w="13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316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витрати відсутні</w:t>
            </w:r>
          </w:p>
        </w:tc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оцінивши підсумкові вигоди та витрати, необхідно зазначити, що Альтернатива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не сприятиме вирішенню проблеми, а лише поглибить її, тому вибір даної альтернативи не є можливим</w:t>
            </w:r>
          </w:p>
        </w:tc>
      </w:tr>
    </w:tbl>
    <w:p w:rsidR="00C215E0" w:rsidRPr="00C7122F" w:rsidRDefault="00C215E0" w:rsidP="00D82BF2">
      <w:pPr>
        <w:spacing w:after="0" w:line="240" w:lineRule="auto"/>
        <w:jc w:val="both"/>
        <w:rPr>
          <w:rFonts w:ascii="Times New Roman" w:hAnsi="Times New Roman"/>
          <w:vanish/>
          <w:color w:val="000000"/>
          <w:sz w:val="16"/>
          <w:szCs w:val="16"/>
          <w:lang w:val="uk-UA" w:eastAsia="ru-RU"/>
        </w:rPr>
      </w:pPr>
      <w:bookmarkStart w:id="53" w:name="n160"/>
      <w:bookmarkEnd w:id="5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45"/>
        <w:gridCol w:w="4200"/>
        <w:gridCol w:w="3223"/>
      </w:tblGrid>
      <w:tr w:rsidR="00C215E0" w:rsidRPr="00C7122F" w:rsidTr="00E15123"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E15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переваги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обраної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причини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ризику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чинникі</w:t>
            </w:r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</w:tr>
      <w:tr w:rsidR="00C215E0" w:rsidRPr="00C7122F" w:rsidTr="000107AD">
        <w:trPr>
          <w:trHeight w:val="1923"/>
        </w:trPr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D82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ind w:right="130" w:firstLine="3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причиною відмови від даної альтернативи є те, що вона не сприятиме вирішенню проблеми, поглибить її, що сприятиме блокуванню здійснення діяльності суб’єктами рибного господарства та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збільшенню соціального напруги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97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відсутні</w:t>
            </w:r>
          </w:p>
        </w:tc>
      </w:tr>
      <w:tr w:rsidR="00C215E0" w:rsidRPr="00C7122F" w:rsidTr="000107AD">
        <w:trPr>
          <w:trHeight w:val="1371"/>
        </w:trPr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B1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after="0"/>
              <w:ind w:firstLine="3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перевага даної альтернативи п</w:t>
            </w:r>
            <w:r w:rsidR="00F16FE1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олягає в тому, що прийняття </w:t>
            </w:r>
            <w:proofErr w:type="spellStart"/>
            <w:r w:rsidR="00F16FE1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проє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наказу повністю вирішує проблему, визначену в розділі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44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цього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регуляторного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впливу</w:t>
            </w:r>
            <w:proofErr w:type="spellEnd"/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B1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ризики відсутні</w:t>
            </w:r>
          </w:p>
        </w:tc>
      </w:tr>
    </w:tbl>
    <w:p w:rsidR="00C215E0" w:rsidRPr="00C7122F" w:rsidRDefault="00C215E0" w:rsidP="00FA7B5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bookmarkStart w:id="54" w:name="n161"/>
      <w:bookmarkEnd w:id="54"/>
    </w:p>
    <w:p w:rsidR="00C215E0" w:rsidRPr="00C7122F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V.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Механізми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заходи,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забезпечать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розв’язання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визначеної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проблеми</w:t>
      </w:r>
      <w:proofErr w:type="spellEnd"/>
    </w:p>
    <w:p w:rsidR="00D74383" w:rsidRPr="00C7122F" w:rsidRDefault="00D74383" w:rsidP="00FA7B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Проєктом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передбачається затвердити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Режим рибальства в басейні Чорного моря у 2021 році (далі – Режим рибальства), який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регламентувати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промис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ел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водних біоресурсів, щодо яких застосовуються додаткові обмеження. Суб’єкти господарювання під час здійснення промислу будуть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зобов’язані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дотримуватися вимог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ежиму рибальства, який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пропонується визначити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перелік видів риб,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знарядь лову та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район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промислу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заборонені або част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ково заборонені для під час промислу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Крім того, Режимом рибальства пропонується передбачити, що суб’єкти рибного господарства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зобов’язані терміново інформувати територіальні органи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Держрибагентства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територіальні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міжрегіональні територіальні органи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Держекоінспекції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територіальні органи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виявлення захворювань риби та інших водних біоресурсів, погіршення стану середовища їх перебування, випадки загибелі або виникнення загрози їх загибелі.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Механізм процедури здійснення державного контролю та використання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суб’єктами рибного господарства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водних біоресурсів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рибогосподарських 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водних об’єктах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(їх частинах)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загальнодержавного значення залишається незмінним і здійснюється відповідно до законів України «Про рибне господарство, промислове рибальство та охорону водних біоресурсів», «Про охорону навколишнього природного середовища»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тваринний світ». 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Ступінь ефективності обраних принципів і способів досягнення мети державного регулювання оцінюється як високий,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проєктом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забезпечиться належний рівень охорони навколишнього природного середовища, раціональне використання і відтворення природних ресурсів, екологічна безпека життєдіяльності людини і природних екосистем, виконання заходів щодо зменшення нерегульованого, непідзвітного та неконтрольованого рибальства.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Організаційні заходи, які необхідно здійснити для впровадження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центральному органу виконавчої влади, що реалізує державну </w:t>
      </w: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політику у сфері рибного господарства, забезпечити інформування своїх територіальних органів, структурних підрозділів облдержадміністрацій з питань охорони водних біоресурсів, органів місцевого самоврядування, громадськість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інших державних органів, </w:t>
      </w: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вимоги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шляхом його оприлюднення в засобах масової інформації та на офіційному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F134CD" w:rsidRPr="00EB31C5" w:rsidRDefault="00F134CD" w:rsidP="00F13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заходи, які необхідно здійснити суб’єктам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рибного господарства</w:t>
      </w:r>
      <w:r w:rsidRPr="00EB31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є – ознайомлення з Режимом рибальства і доведення його безпосередньо до рибалок, які будуть здійснювати технологічні процеси, пов’язані з промислом водних біоресурсів. Разом з тим користувачі мають дотримуватись вимог та обмежень, що передбачені Режимом рибальства.</w:t>
      </w:r>
      <w:bookmarkStart w:id="55" w:name="n162"/>
      <w:bookmarkEnd w:id="55"/>
    </w:p>
    <w:p w:rsidR="00C215E0" w:rsidRPr="00C7122F" w:rsidRDefault="00C215E0" w:rsidP="00FA7B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56" w:name="n163"/>
      <w:bookmarkEnd w:id="56"/>
    </w:p>
    <w:p w:rsidR="00C215E0" w:rsidRPr="00C7122F" w:rsidRDefault="00C215E0" w:rsidP="00FA7B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C7122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 Оцінка виконання вимог регуляторного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акта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74383" w:rsidRPr="00C7122F" w:rsidRDefault="00D74383" w:rsidP="00FA7B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Витрати суб’єктів господарювання та органів виконавчої влади </w:t>
      </w:r>
      <w:r w:rsidR="008641FE"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розраховані 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додатком 2 та Методикою проведення аналізу впливу регуляторного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215E0" w:rsidRPr="00C7122F" w:rsidRDefault="00C215E0" w:rsidP="00FA7B5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7122F">
        <w:rPr>
          <w:color w:val="000000"/>
          <w:sz w:val="28"/>
          <w:szCs w:val="28"/>
          <w:lang w:val="uk-UA"/>
        </w:rPr>
        <w:t xml:space="preserve">Додаток </w:t>
      </w:r>
      <w:r w:rsidRPr="00C7122F">
        <w:rPr>
          <w:color w:val="000000"/>
          <w:sz w:val="28"/>
          <w:szCs w:val="28"/>
        </w:rPr>
        <w:t>3</w:t>
      </w:r>
      <w:r w:rsidRPr="00C7122F">
        <w:rPr>
          <w:color w:val="000000"/>
          <w:sz w:val="28"/>
          <w:szCs w:val="28"/>
          <w:lang w:val="uk-UA"/>
        </w:rPr>
        <w:t xml:space="preserve"> до Методики проведення аналізу впливу регуляторного </w:t>
      </w:r>
      <w:proofErr w:type="spellStart"/>
      <w:r w:rsidRPr="00C7122F">
        <w:rPr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color w:val="000000"/>
          <w:sz w:val="28"/>
          <w:szCs w:val="28"/>
          <w:lang w:val="uk-UA"/>
        </w:rPr>
        <w:t xml:space="preserve"> не розроблявся, оскільки державним </w:t>
      </w:r>
      <w:r w:rsidRPr="00C7122F">
        <w:rPr>
          <w:color w:val="000000"/>
          <w:sz w:val="28"/>
          <w:szCs w:val="28"/>
        </w:rPr>
        <w:t>орган</w:t>
      </w:r>
      <w:proofErr w:type="spellStart"/>
      <w:r w:rsidRPr="00C7122F">
        <w:rPr>
          <w:color w:val="000000"/>
          <w:sz w:val="28"/>
          <w:szCs w:val="28"/>
          <w:lang w:val="uk-UA"/>
        </w:rPr>
        <w:t>ом</w:t>
      </w:r>
      <w:proofErr w:type="spellEnd"/>
      <w:r w:rsidRPr="00C7122F">
        <w:rPr>
          <w:color w:val="000000"/>
          <w:sz w:val="28"/>
          <w:szCs w:val="28"/>
        </w:rPr>
        <w:t xml:space="preserve">, для </w:t>
      </w:r>
      <w:proofErr w:type="spellStart"/>
      <w:r w:rsidRPr="00C7122F">
        <w:rPr>
          <w:color w:val="000000"/>
          <w:sz w:val="28"/>
          <w:szCs w:val="28"/>
        </w:rPr>
        <w:t>якого</w:t>
      </w:r>
      <w:proofErr w:type="spellEnd"/>
      <w:r w:rsidRPr="00C7122F">
        <w:rPr>
          <w:color w:val="000000"/>
          <w:sz w:val="28"/>
          <w:szCs w:val="28"/>
        </w:rPr>
        <w:t xml:space="preserve"> </w:t>
      </w:r>
      <w:proofErr w:type="spellStart"/>
      <w:r w:rsidRPr="00C7122F">
        <w:rPr>
          <w:color w:val="000000"/>
          <w:sz w:val="28"/>
          <w:szCs w:val="28"/>
        </w:rPr>
        <w:t>здійснюється</w:t>
      </w:r>
      <w:proofErr w:type="spellEnd"/>
      <w:r w:rsidRPr="00C7122F">
        <w:rPr>
          <w:color w:val="000000"/>
          <w:sz w:val="28"/>
          <w:szCs w:val="28"/>
        </w:rPr>
        <w:t xml:space="preserve"> </w:t>
      </w:r>
      <w:proofErr w:type="spellStart"/>
      <w:r w:rsidRPr="00C7122F">
        <w:rPr>
          <w:color w:val="000000"/>
          <w:sz w:val="28"/>
          <w:szCs w:val="28"/>
        </w:rPr>
        <w:t>розрахунок</w:t>
      </w:r>
      <w:proofErr w:type="spellEnd"/>
      <w:r w:rsidRPr="00C7122F">
        <w:rPr>
          <w:color w:val="000000"/>
          <w:sz w:val="28"/>
          <w:szCs w:val="28"/>
        </w:rPr>
        <w:t xml:space="preserve"> </w:t>
      </w:r>
      <w:proofErr w:type="spellStart"/>
      <w:r w:rsidRPr="00C7122F">
        <w:rPr>
          <w:color w:val="000000"/>
          <w:sz w:val="28"/>
          <w:szCs w:val="28"/>
        </w:rPr>
        <w:t>вартості</w:t>
      </w:r>
      <w:proofErr w:type="spellEnd"/>
      <w:r w:rsidRPr="00C7122F">
        <w:rPr>
          <w:color w:val="000000"/>
          <w:sz w:val="28"/>
          <w:szCs w:val="28"/>
        </w:rPr>
        <w:t xml:space="preserve"> </w:t>
      </w:r>
      <w:proofErr w:type="spellStart"/>
      <w:r w:rsidRPr="00C7122F">
        <w:rPr>
          <w:color w:val="000000"/>
          <w:sz w:val="28"/>
          <w:szCs w:val="28"/>
        </w:rPr>
        <w:t>адміністрування</w:t>
      </w:r>
      <w:proofErr w:type="spellEnd"/>
      <w:r w:rsidRPr="00C7122F">
        <w:rPr>
          <w:color w:val="000000"/>
          <w:sz w:val="28"/>
          <w:szCs w:val="28"/>
        </w:rPr>
        <w:t xml:space="preserve"> </w:t>
      </w:r>
      <w:proofErr w:type="spellStart"/>
      <w:r w:rsidRPr="00C7122F">
        <w:rPr>
          <w:color w:val="000000"/>
          <w:sz w:val="28"/>
          <w:szCs w:val="28"/>
        </w:rPr>
        <w:t>регулювання</w:t>
      </w:r>
      <w:proofErr w:type="spellEnd"/>
      <w:r w:rsidRPr="00C7122F">
        <w:rPr>
          <w:color w:val="000000"/>
          <w:sz w:val="28"/>
          <w:szCs w:val="28"/>
          <w:lang w:val="uk-UA"/>
        </w:rPr>
        <w:t xml:space="preserve"> прямих та додаткових витрат, він не передбачається.</w:t>
      </w:r>
    </w:p>
    <w:p w:rsidR="00C215E0" w:rsidRPr="00C7122F" w:rsidRDefault="00C215E0" w:rsidP="00FA7B5D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7122F">
        <w:rPr>
          <w:color w:val="000000"/>
          <w:sz w:val="28"/>
          <w:szCs w:val="28"/>
          <w:lang w:val="uk-UA"/>
        </w:rPr>
        <w:t xml:space="preserve">Додаток 4 до Методики проведення аналізу впливу регуляторного </w:t>
      </w:r>
      <w:proofErr w:type="spellStart"/>
      <w:r w:rsidRPr="00C7122F">
        <w:rPr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color w:val="000000"/>
          <w:sz w:val="28"/>
          <w:szCs w:val="28"/>
          <w:lang w:val="uk-UA"/>
        </w:rPr>
        <w:t xml:space="preserve"> (М-тест) розроблявся та додається відповідно. Регуляторний акт стосується суб’єктів малого підприємництва.</w:t>
      </w:r>
    </w:p>
    <w:p w:rsidR="00C215E0" w:rsidRPr="00C7122F" w:rsidRDefault="00C215E0" w:rsidP="00FA7B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57" w:name="n164"/>
      <w:bookmarkStart w:id="58" w:name="n196"/>
      <w:bookmarkStart w:id="59" w:name="n197"/>
      <w:bookmarkStart w:id="60" w:name="n229"/>
      <w:bookmarkEnd w:id="57"/>
      <w:bookmarkEnd w:id="58"/>
      <w:bookmarkEnd w:id="59"/>
      <w:bookmarkEnd w:id="60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</w:t>
      </w: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малого </w:t>
      </w:r>
      <w:proofErr w:type="spellStart"/>
      <w:proofErr w:type="gram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(М-Тест)</w:t>
      </w:r>
    </w:p>
    <w:p w:rsidR="00C215E0" w:rsidRPr="00C7122F" w:rsidRDefault="00C215E0" w:rsidP="00FA7B5D">
      <w:pPr>
        <w:spacing w:before="10" w:after="1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n200"/>
      <w:bookmarkEnd w:id="61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мікр</w:t>
      </w:r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малого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</w:p>
    <w:p w:rsidR="00C215E0" w:rsidRPr="00C7122F" w:rsidRDefault="00C215E0" w:rsidP="00FA7B5D">
      <w:pPr>
        <w:spacing w:before="10" w:after="1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2" w:name="n201"/>
      <w:bookmarkEnd w:id="62"/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детального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процедур,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необхідн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е</w:t>
      </w:r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, проведен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розробником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C7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AD1">
        <w:rPr>
          <w:rFonts w:ascii="Times New Roman" w:hAnsi="Times New Roman"/>
          <w:sz w:val="28"/>
          <w:szCs w:val="28"/>
          <w:lang w:val="uk-UA"/>
        </w:rPr>
        <w:t>«</w:t>
      </w:r>
      <w:r w:rsidR="00CE7FE5">
        <w:rPr>
          <w:rFonts w:ascii="Times New Roman" w:hAnsi="Times New Roman"/>
          <w:sz w:val="28"/>
          <w:szCs w:val="28"/>
          <w:lang w:val="uk-UA"/>
        </w:rPr>
        <w:t>16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E7FE5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C7122F">
        <w:rPr>
          <w:rFonts w:ascii="Times New Roman" w:hAnsi="Times New Roman"/>
          <w:sz w:val="28"/>
          <w:szCs w:val="28"/>
        </w:rPr>
        <w:t>20</w:t>
      </w:r>
      <w:r w:rsidR="005F6AD1">
        <w:rPr>
          <w:rFonts w:ascii="Times New Roman" w:hAnsi="Times New Roman"/>
          <w:sz w:val="28"/>
          <w:szCs w:val="28"/>
          <w:lang w:val="uk-UA"/>
        </w:rPr>
        <w:t>20</w:t>
      </w:r>
      <w:r w:rsidRPr="00C7122F">
        <w:rPr>
          <w:rFonts w:ascii="Times New Roman" w:hAnsi="Times New Roman"/>
          <w:sz w:val="28"/>
          <w:szCs w:val="28"/>
        </w:rPr>
        <w:t xml:space="preserve"> р.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C7122F">
        <w:rPr>
          <w:rFonts w:ascii="Times New Roman" w:hAnsi="Times New Roman"/>
          <w:sz w:val="28"/>
          <w:szCs w:val="28"/>
        </w:rPr>
        <w:t xml:space="preserve">о </w:t>
      </w:r>
      <w:r w:rsidRPr="00C7122F">
        <w:rPr>
          <w:rFonts w:ascii="Times New Roman" w:hAnsi="Times New Roman"/>
          <w:sz w:val="28"/>
          <w:szCs w:val="28"/>
          <w:lang w:val="uk-UA"/>
        </w:rPr>
        <w:t>«</w:t>
      </w:r>
      <w:r w:rsidR="00CE7FE5">
        <w:rPr>
          <w:rFonts w:ascii="Times New Roman" w:hAnsi="Times New Roman"/>
          <w:sz w:val="28"/>
          <w:szCs w:val="28"/>
          <w:lang w:val="uk-UA"/>
        </w:rPr>
        <w:t>16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E7FE5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C7122F">
        <w:rPr>
          <w:rFonts w:ascii="Times New Roman" w:hAnsi="Times New Roman"/>
          <w:sz w:val="28"/>
          <w:szCs w:val="28"/>
        </w:rPr>
        <w:t>20</w:t>
      </w:r>
      <w:r w:rsidR="005F6AD1">
        <w:rPr>
          <w:rFonts w:ascii="Times New Roman" w:hAnsi="Times New Roman"/>
          <w:sz w:val="28"/>
          <w:szCs w:val="28"/>
          <w:lang w:val="uk-UA"/>
        </w:rPr>
        <w:t>20</w:t>
      </w:r>
      <w:r w:rsidRPr="00C7122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7122F">
        <w:rPr>
          <w:rFonts w:ascii="Times New Roman" w:hAnsi="Times New Roman"/>
          <w:color w:val="000000"/>
          <w:sz w:val="28"/>
          <w:szCs w:val="28"/>
        </w:rPr>
        <w:t>р.</w:t>
      </w:r>
    </w:p>
    <w:p w:rsidR="00C215E0" w:rsidRPr="005F6AD1" w:rsidRDefault="00C215E0" w:rsidP="00C56490">
      <w:pPr>
        <w:spacing w:before="10" w:after="1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1"/>
        <w:gridCol w:w="3326"/>
        <w:gridCol w:w="1866"/>
        <w:gridCol w:w="2815"/>
      </w:tblGrid>
      <w:tr w:rsidR="00C215E0" w:rsidRPr="00C7122F" w:rsidTr="007468ED"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3" w:name="n202"/>
            <w:bookmarkEnd w:id="63"/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публічні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круглі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столи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наради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зустрічі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інтернет-консультації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інтернет-форуми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запити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експертів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науковців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15E0" w:rsidRPr="007468ED" w:rsidTr="007468ED">
        <w:trPr>
          <w:trHeight w:val="1618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7468ED" w:rsidRDefault="00C215E0" w:rsidP="006D3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7468ED" w:rsidRDefault="00C215E0" w:rsidP="007468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Проведено </w:t>
            </w:r>
            <w:r w:rsidR="007468ED"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науково промислову раду </w:t>
            </w:r>
            <w:proofErr w:type="spellStart"/>
            <w:r w:rsidR="007468ED"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Держрибагентства</w:t>
            </w:r>
            <w:proofErr w:type="spellEnd"/>
          </w:p>
        </w:tc>
        <w:tc>
          <w:tcPr>
            <w:tcW w:w="9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7468ED" w:rsidRDefault="007468ED" w:rsidP="006D3E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7468ED" w:rsidRDefault="00C215E0" w:rsidP="005D45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 результатами </w:t>
            </w:r>
            <w:r w:rsidR="005D45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засідання</w:t>
            </w:r>
            <w:r w:rsidRPr="007468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було вирішене питання щодо необхідності прийняття</w:t>
            </w:r>
            <w:r w:rsidR="005809EA" w:rsidRP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Режиму</w:t>
            </w:r>
            <w:r w:rsidRP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рибальства</w:t>
            </w:r>
            <w:r w:rsid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оприлюднення </w:t>
            </w:r>
            <w:r w:rsidR="005D4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його </w:t>
            </w:r>
            <w:r w:rsid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="005D4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</w:t>
            </w:r>
            <w:r w:rsid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сайті</w:t>
            </w:r>
            <w:proofErr w:type="spellEnd"/>
            <w:r w:rsid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468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Держрибагентства</w:t>
            </w:r>
            <w:proofErr w:type="spellEnd"/>
          </w:p>
        </w:tc>
      </w:tr>
    </w:tbl>
    <w:p w:rsidR="00C215E0" w:rsidRPr="00C7122F" w:rsidRDefault="00C215E0" w:rsidP="005D4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4" w:name="n203"/>
      <w:bookmarkEnd w:id="64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мікро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малі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5D452C" w:rsidRDefault="00C215E0" w:rsidP="005D4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5" w:name="n204"/>
      <w:bookmarkEnd w:id="65"/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регулювання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71A5B" w:rsidRPr="00C7122F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82432">
        <w:rPr>
          <w:rFonts w:ascii="Times New Roman" w:hAnsi="Times New Roman"/>
          <w:sz w:val="28"/>
          <w:szCs w:val="28"/>
          <w:lang w:val="uk-UA" w:eastAsia="ru-RU"/>
        </w:rPr>
        <w:t>9</w:t>
      </w:r>
      <w:r w:rsidR="00871A5B" w:rsidRPr="00C7122F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C712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122F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одиниць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), у тому 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числі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 малого 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підприємництва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432">
        <w:rPr>
          <w:rFonts w:ascii="Times New Roman" w:hAnsi="Times New Roman"/>
          <w:sz w:val="28"/>
          <w:szCs w:val="28"/>
          <w:lang w:val="uk-UA" w:eastAsia="ru-RU"/>
        </w:rPr>
        <w:t xml:space="preserve">                    6</w:t>
      </w:r>
      <w:r w:rsidR="003B1057" w:rsidRPr="00C7122F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C7122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одиниць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) та 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мікропідприємництва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432">
        <w:rPr>
          <w:rFonts w:ascii="Times New Roman" w:hAnsi="Times New Roman"/>
          <w:sz w:val="28"/>
          <w:szCs w:val="28"/>
          <w:lang w:val="uk-UA" w:eastAsia="ru-RU"/>
        </w:rPr>
        <w:t>120</w:t>
      </w:r>
      <w:r w:rsidRPr="00C7122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одиниць</w:t>
      </w:r>
      <w:proofErr w:type="spellEnd"/>
      <w:r w:rsidRPr="00C7122F">
        <w:rPr>
          <w:rFonts w:ascii="Times New Roman" w:hAnsi="Times New Roman"/>
          <w:sz w:val="28"/>
          <w:szCs w:val="28"/>
          <w:lang w:eastAsia="ru-RU"/>
        </w:rPr>
        <w:t>);</w:t>
      </w:r>
      <w:bookmarkStart w:id="66" w:name="n205"/>
      <w:bookmarkEnd w:id="66"/>
    </w:p>
    <w:p w:rsidR="00C215E0" w:rsidRPr="005D452C" w:rsidRDefault="00C215E0" w:rsidP="005D45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питома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вага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справляє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sz w:val="28"/>
          <w:szCs w:val="28"/>
          <w:lang w:eastAsia="ru-RU"/>
        </w:rPr>
        <w:t>вплив</w:t>
      </w:r>
      <w:proofErr w:type="spellEnd"/>
      <w:r w:rsidRPr="00C7122F">
        <w:rPr>
          <w:rFonts w:ascii="Times New Roman" w:hAnsi="Times New Roman"/>
          <w:sz w:val="28"/>
          <w:szCs w:val="28"/>
          <w:lang w:val="uk-UA" w:eastAsia="ru-RU"/>
        </w:rPr>
        <w:t>, −</w:t>
      </w:r>
      <w:r w:rsidRPr="00C71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1057" w:rsidRPr="00C7122F">
        <w:rPr>
          <w:rFonts w:ascii="Times New Roman" w:hAnsi="Times New Roman"/>
          <w:sz w:val="28"/>
          <w:szCs w:val="28"/>
          <w:lang w:val="uk-UA" w:eastAsia="ru-RU"/>
        </w:rPr>
        <w:t>97</w:t>
      </w:r>
      <w:r w:rsidRPr="00C7122F">
        <w:rPr>
          <w:rFonts w:ascii="Times New Roman" w:hAnsi="Times New Roman"/>
          <w:sz w:val="28"/>
          <w:szCs w:val="28"/>
          <w:lang w:val="uk-UA" w:eastAsia="ru-RU"/>
        </w:rPr>
        <w:t xml:space="preserve"> %.</w:t>
      </w:r>
      <w:r w:rsidRPr="00C712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15E0" w:rsidRPr="00C7122F" w:rsidRDefault="00C215E0" w:rsidP="00FA7B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7" w:name="n206"/>
      <w:bookmarkEnd w:id="67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2"/>
        <w:gridCol w:w="2628"/>
        <w:gridCol w:w="60"/>
        <w:gridCol w:w="1791"/>
        <w:gridCol w:w="1800"/>
        <w:gridCol w:w="1767"/>
      </w:tblGrid>
      <w:tr w:rsidR="00C215E0" w:rsidRPr="00C7122F" w:rsidTr="00A13D63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68" w:name="n207"/>
            <w:bookmarkEnd w:id="68"/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перший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D16078">
        <w:trPr>
          <w:trHeight w:val="15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пристрої</w:t>
            </w:r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машин,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8E6E7B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8E6E7B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8E6E7B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повірки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постановки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повірки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процедуру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оціночн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обліку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одному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 передбачені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D15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експлуатаційні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215E0" w:rsidRPr="00C7122F" w:rsidRDefault="00C215E0" w:rsidP="00C56490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−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C215E0" w:rsidRPr="00C7122F" w:rsidRDefault="00C215E0" w:rsidP="00C56490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C56490">
            <w:pPr>
              <w:spacing w:before="10" w:after="1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× 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одному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ічне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× 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 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 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одному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передбачені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Разом,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(сума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+ 2 + 3 + 4 + 5)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B433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B433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C507A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B433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B433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27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215E0" w:rsidRPr="00C7122F" w:rsidRDefault="00AA0202" w:rsidP="00AF70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F70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C712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стовпчик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разом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 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(рядок 6 × рядок 7)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215E0" w:rsidRPr="00C7122F" w:rsidRDefault="00C215E0" w:rsidP="00213D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213D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215E0" w:rsidRPr="00C7122F" w:rsidRDefault="00C215E0" w:rsidP="00C507A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C507A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215E0" w:rsidRPr="00C7122F" w:rsidRDefault="00C215E0" w:rsidP="00213D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15E0" w:rsidRPr="00C7122F" w:rsidRDefault="00C215E0" w:rsidP="00213D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15E0" w:rsidRPr="00C7122F" w:rsidTr="00F07E96">
        <w:trPr>
          <w:trHeight w:val="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звітування</w:t>
            </w:r>
            <w:proofErr w:type="spellEnd"/>
          </w:p>
        </w:tc>
      </w:tr>
      <w:tr w:rsidR="00C215E0" w:rsidRPr="00C7122F" w:rsidTr="00D65D31">
        <w:trPr>
          <w:trHeight w:val="969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 та заявок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оціночна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2E7AF5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0,5 год (час, який витрачається суб’єктами на пошук </w:t>
            </w:r>
            <w:r w:rsidR="006F26A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наказу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мережі Інтернет; за результатами консультацій) × 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="00BC5C0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грн (вартість 1 год роботи, виходячи із середньо-місячної заробітної плати) </w:t>
            </w:r>
          </w:p>
          <w:p w:rsidR="00C215E0" w:rsidRPr="002E7AF5" w:rsidRDefault="00C215E0" w:rsidP="002E7A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62592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(кількість нормативно-правових актів, з якими нео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бхідно ознайомитис</w:t>
            </w:r>
            <w:r w:rsidR="00BF6046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ь) = 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14,20</w:t>
            </w:r>
            <w:r w:rsidR="00BF6046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вартість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год роботи, виходячи із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середньо-місячної заробітної плати = </w:t>
            </w:r>
            <w:r w:rsidR="00FE1E31" w:rsidRPr="002E7AF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uk-UA"/>
              </w:rPr>
              <w:t>5000</w:t>
            </w:r>
            <w:r w:rsidRPr="002E7A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грн / 22 дні (кількість робочих днів у  1 місяці) /     </w:t>
            </w:r>
            <w:r w:rsidR="004F44FB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8 год (робочий час 1 дня) = 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44FB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2E7AF5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0,5 год (час, який витрачається суб’єктами на пошук </w:t>
            </w:r>
            <w:r w:rsidR="006F26A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наказу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мережі Інтернет; за результатами консультацій)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×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(вартість 1 год роботи, виходячи із середньо-місячної заробітної плати) </w:t>
            </w:r>
          </w:p>
          <w:p w:rsidR="00C215E0" w:rsidRPr="002E7AF5" w:rsidRDefault="00C215E0" w:rsidP="002E7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62592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(кількість нормативно-правових актів, з якими нео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бхідно ознайомитись) =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14,20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вартість 1 год роботи, виходячи із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середньо-місячної заробітної плати =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5000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/ 22 дні (кількість робочих днів у   1 місяці) /     </w:t>
            </w:r>
            <w:r w:rsidR="004F44FB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8 год (робочий час 1 дня) = 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44FB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2E7AF5" w:rsidRDefault="00C215E0" w:rsidP="004D43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0,5 год (час, який витрачається суб’єктами на пошук </w:t>
            </w:r>
            <w:r w:rsidR="0062592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наказу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мережі Інтернет; за результатами консультацій) ×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(вартість 1 год роботи, виходячи із середньо-місячної заробітної плати) </w:t>
            </w:r>
          </w:p>
          <w:p w:rsidR="00C215E0" w:rsidRPr="002E7AF5" w:rsidRDefault="00C215E0" w:rsidP="002E7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="00625923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(кількість нормативно-правових актів, з якими необхідно ознайомитись) = 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14,20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×5 років =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71 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грн</w:t>
            </w:r>
          </w:p>
        </w:tc>
      </w:tr>
      <w:tr w:rsidR="00C215E0" w:rsidRPr="00C7122F" w:rsidTr="004F44FB">
        <w:trPr>
          <w:trHeight w:val="611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оціночн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2E7AF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0,25 год (час, який витрачається на видачу дозволу на 5 років)</w:t>
            </w:r>
            <w:r w:rsidR="002E7AF5">
              <w:rPr>
                <w:color w:val="000000"/>
              </w:rPr>
              <w:t xml:space="preserve"> </w:t>
            </w:r>
            <w:r w:rsidR="002E7AF5" w:rsidRPr="002E7AF5">
              <w:rPr>
                <w:rFonts w:ascii="Times New Roman" w:hAnsi="Times New Roman"/>
                <w:color w:val="000000"/>
              </w:rPr>
              <w:t>× 2</w:t>
            </w:r>
            <w:r w:rsidR="002E7AF5" w:rsidRPr="002E7AF5">
              <w:rPr>
                <w:rFonts w:ascii="Times New Roman" w:hAnsi="Times New Roman"/>
                <w:color w:val="000000"/>
                <w:lang w:val="uk-UA"/>
              </w:rPr>
              <w:t>8,4</w:t>
            </w:r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1 год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виходячи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середньо-місячної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плати)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D45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= </w:t>
            </w:r>
            <w:r w:rsidR="005A14CF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7,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вартість 1 год роботи, виходячи із середньо-місячної заробітної   плати = </w:t>
            </w:r>
            <w:r w:rsidR="002E7AF5" w:rsidRPr="002E7AF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uk-UA"/>
              </w:rPr>
              <w:t>5000</w:t>
            </w:r>
            <w:r w:rsidR="002E7AF5" w:rsidRPr="002E7A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грн / 22 дні (кількість робочих днів у  1 місяці) /            8 год (робочий час 1 дня) =   28,4 грн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C42F2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0,25 год (час, який витрачається на видачу дозволу на 5 років) </w:t>
            </w:r>
            <w:r w:rsidR="002E7AF5" w:rsidRPr="002E7AF5">
              <w:rPr>
                <w:rFonts w:ascii="Times New Roman" w:hAnsi="Times New Roman"/>
                <w:color w:val="000000"/>
              </w:rPr>
              <w:t>× 2</w:t>
            </w:r>
            <w:r w:rsidR="002E7AF5" w:rsidRPr="002E7AF5">
              <w:rPr>
                <w:rFonts w:ascii="Times New Roman" w:hAnsi="Times New Roman"/>
                <w:color w:val="000000"/>
                <w:lang w:val="uk-UA"/>
              </w:rPr>
              <w:t>8,4</w:t>
            </w:r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1 год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виходячи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середньо-місячної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E7AF5" w:rsidRPr="002E7AF5"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 w:rsidR="002E7AF5" w:rsidRPr="002E7AF5">
              <w:rPr>
                <w:rFonts w:ascii="Times New Roman" w:hAnsi="Times New Roman"/>
                <w:color w:val="000000"/>
              </w:rPr>
              <w:t xml:space="preserve"> плати)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=   7,1 грн вартість 1 год роботи, виходячи із середньо-місячної заробітної   плати = </w:t>
            </w:r>
            <w:r w:rsidR="002E7AF5" w:rsidRPr="002E7AF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uk-UA"/>
              </w:rPr>
              <w:t>5000</w:t>
            </w:r>
            <w:r w:rsidR="002E7AF5" w:rsidRPr="002E7A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E7AF5" w:rsidRP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грн / 22 дні (кількість робочих днів у  1 місяці) /            8 год (робочий час 1 дня) =   28,4 грн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звітування</w:t>
            </w:r>
            <w:proofErr w:type="spellEnd"/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органу,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 +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передачу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засобами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оцінкою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користуються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органу,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зв’язком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+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корегування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помилок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заробітн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оціночн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оригінальних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періодів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6D36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0,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 год (час, який витрачається суб’єктами на надання звіту в електронному вигляді в  мережі Інтернет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територіаль-ному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органу) =    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7,</w:t>
            </w:r>
            <w:r w:rsidR="002E7AF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×    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7,66 місяців =  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54,386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6D36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0,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 год (час, який витрачається суб’єктами на надання звіту в електронному вигляді в  мережі Інтернет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територіаль-ному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органу) =    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7,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×    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7,66 місяців =  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54,386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6D36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0,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 год (час, який витрачається суб’єктами на надання звіту в електронному вигляді в  мережі Інтернет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територіаль-ному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органу)    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7,1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×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 років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69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× 7,66 місяців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=  </w:t>
            </w:r>
            <w:r w:rsidR="005A14CF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271,93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грн 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Процедури щодо забезпечення процесу перевірок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витрати ч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асу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боку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контролюючих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заробітн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плата) ×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оціночн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</w:tr>
      <w:tr w:rsidR="00C215E0" w:rsidRPr="00C7122F" w:rsidTr="004F44FB">
        <w:trPr>
          <w:trHeight w:val="97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F44F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F44F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F44F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0,00 грн (витрати відсутні)</w:t>
            </w:r>
          </w:p>
        </w:tc>
      </w:tr>
      <w:tr w:rsidR="00C215E0" w:rsidRPr="00C7122F" w:rsidTr="00722527">
        <w:trPr>
          <w:trHeight w:val="1888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Разом,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Формула: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(сума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 + 10 + 11 + 12 + 13)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6D3690" w:rsidP="006D369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28,4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 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(рядок 9) + 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(рядок 10) +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54,386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(рядок 11)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89,89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C4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6D3690" w:rsidP="006D36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71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   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(рядок 9) +  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(рядок 10) 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271,93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(рядок 11) =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50,03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B3537D" w:rsidP="00E922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F70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(кількість суб’єктів </w:t>
            </w:r>
            <w:proofErr w:type="spellStart"/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госпо-дарювання</w:t>
            </w:r>
            <w:proofErr w:type="spellEnd"/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які зареєстровані в Єдиному державному реєстрі юридичних осіб, фізичних осіб – підприємців та є суб’єктами малого (у тому числі мікро-) під</w:t>
            </w:r>
            <w:r w:rsidR="00E922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приємництва станом на 16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.1</w:t>
            </w:r>
            <w:r w:rsidR="00E922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.20</w:t>
            </w:r>
            <w:r w:rsidR="00E9229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B3537D" w:rsidP="00AF70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F70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B3537D" w:rsidP="00AF70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F70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DD04EB">
        <w:trPr>
          <w:trHeight w:val="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F35C93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C5649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Формула: </w:t>
            </w:r>
          </w:p>
          <w:p w:rsidR="00C215E0" w:rsidRPr="00C7122F" w:rsidRDefault="00C215E0" w:rsidP="004D4349">
            <w:pPr>
              <w:spacing w:before="10" w:after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відповідний стовпчик «разом» × кількість суб’єктів малого підприємництва, що повинні виконати вимоги регулювання (рядок 14 × рядок 15)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6D3690" w:rsidP="005001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89,89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(рядок 14) ×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E922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(рядок 15) =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0C4D75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B3537D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00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17 079,1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C215E0" w:rsidP="004C42F2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0" w:rsidRPr="00C7122F" w:rsidRDefault="000C4D75" w:rsidP="00500163">
            <w:pPr>
              <w:jc w:val="center"/>
              <w:rPr>
                <w:color w:val="000000"/>
                <w:sz w:val="24"/>
                <w:szCs w:val="24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  <w:r w:rsidR="006D36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0,03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грн (рядок 14) ×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E922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(рядок 15) =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="00722527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5001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66 505,7</w:t>
            </w:r>
            <w:r w:rsidR="00C215E0" w:rsidRPr="00C71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:rsidR="00C215E0" w:rsidRPr="00C7122F" w:rsidRDefault="00C215E0" w:rsidP="00FA7B5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vertAlign w:val="superscript"/>
          <w:lang w:val="uk-UA" w:eastAsia="ru-RU"/>
        </w:rPr>
      </w:pPr>
      <w:bookmarkStart w:id="69" w:name="n208"/>
      <w:bookmarkEnd w:id="69"/>
      <w:r w:rsidRPr="00C7122F">
        <w:rPr>
          <w:rFonts w:ascii="Times New Roman" w:hAnsi="Times New Roman"/>
          <w:b/>
          <w:i/>
          <w:color w:val="000000"/>
          <w:sz w:val="28"/>
          <w:szCs w:val="28"/>
          <w:vertAlign w:val="superscript"/>
          <w:lang w:val="uk-UA" w:eastAsia="ru-RU"/>
        </w:rPr>
        <w:t>____________</w:t>
      </w:r>
    </w:p>
    <w:p w:rsidR="00C215E0" w:rsidRPr="00C7122F" w:rsidRDefault="00C215E0" w:rsidP="00FA7B5D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*В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идача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дозволу на </w:t>
      </w:r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>п’ять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років видається дозвільним центром відповідно до законодавства. </w:t>
      </w:r>
    </w:p>
    <w:p w:rsidR="00C215E0" w:rsidRPr="00C7122F" w:rsidRDefault="00C215E0" w:rsidP="00FA7B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0" w:name="n215"/>
      <w:bookmarkStart w:id="71" w:name="n216"/>
      <w:bookmarkEnd w:id="70"/>
      <w:bookmarkEnd w:id="71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сумарних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0"/>
        <w:gridCol w:w="3671"/>
        <w:gridCol w:w="2153"/>
        <w:gridCol w:w="2274"/>
      </w:tblGrid>
      <w:tr w:rsidR="00C215E0" w:rsidRPr="00C7122F" w:rsidTr="00F35C93">
        <w:tc>
          <w:tcPr>
            <w:tcW w:w="1524" w:type="dxa"/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72" w:name="n217"/>
            <w:bookmarkEnd w:id="72"/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3564" w:type="dxa"/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090" w:type="dxa"/>
            <w:vAlign w:val="center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7" w:type="dxa"/>
            <w:vAlign w:val="center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C215E0" w:rsidRPr="00C7122F" w:rsidTr="00F35C93">
        <w:tc>
          <w:tcPr>
            <w:tcW w:w="1524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2090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2207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F35C93">
        <w:tc>
          <w:tcPr>
            <w:tcW w:w="1524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64" w:type="dxa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процедур для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звітування</w:t>
            </w:r>
            <w:proofErr w:type="spellEnd"/>
          </w:p>
        </w:tc>
        <w:tc>
          <w:tcPr>
            <w:tcW w:w="2090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F35C93">
        <w:tc>
          <w:tcPr>
            <w:tcW w:w="1524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dxa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запланованого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2090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F35C93">
        <w:tc>
          <w:tcPr>
            <w:tcW w:w="1524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dxa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на </w:t>
            </w:r>
            <w:proofErr w:type="spellStart"/>
            <w:proofErr w:type="gram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</w:p>
        </w:tc>
        <w:tc>
          <w:tcPr>
            <w:tcW w:w="2090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15E0" w:rsidRPr="00C7122F" w:rsidTr="00F35C93">
        <w:tc>
          <w:tcPr>
            <w:tcW w:w="1524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4" w:type="dxa"/>
          </w:tcPr>
          <w:p w:rsidR="00C215E0" w:rsidRPr="00C7122F" w:rsidRDefault="00C215E0" w:rsidP="004D4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Сумарні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запланованого</w:t>
            </w:r>
            <w:proofErr w:type="spellEnd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2090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07" w:type="dxa"/>
          </w:tcPr>
          <w:p w:rsidR="00C215E0" w:rsidRPr="00C7122F" w:rsidRDefault="00C215E0" w:rsidP="00F35C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12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134CD" w:rsidRDefault="00F134CD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73" w:name="n218"/>
      <w:bookmarkEnd w:id="73"/>
    </w:p>
    <w:p w:rsidR="00C215E0" w:rsidRPr="00C7122F" w:rsidRDefault="00C215E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корегуючих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пом’якшувальних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малого </w:t>
      </w:r>
      <w:proofErr w:type="spellStart"/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передбачено.</w:t>
      </w:r>
    </w:p>
    <w:p w:rsidR="00C56490" w:rsidRPr="00C7122F" w:rsidRDefault="00C56490" w:rsidP="00FA7B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74" w:name="n219"/>
      <w:bookmarkStart w:id="75" w:name="n224"/>
      <w:bookmarkStart w:id="76" w:name="n166"/>
      <w:bookmarkEnd w:id="74"/>
      <w:bookmarkEnd w:id="75"/>
      <w:bookmarkEnd w:id="76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VII.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Обґрунтування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регуляторного акта</w:t>
      </w:r>
    </w:p>
    <w:p w:rsidR="00C215E0" w:rsidRPr="00C7122F" w:rsidRDefault="00C215E0" w:rsidP="00FA7B5D">
      <w:pPr>
        <w:spacing w:before="10" w:after="1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F134CD" w:rsidRPr="00EB31C5" w:rsidRDefault="00F134CD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7" w:name="n167"/>
      <w:bookmarkEnd w:id="77"/>
      <w:r>
        <w:rPr>
          <w:rFonts w:ascii="Times New Roman" w:hAnsi="Times New Roman"/>
          <w:color w:val="000000"/>
          <w:sz w:val="28"/>
          <w:szCs w:val="28"/>
          <w:lang w:val="uk-UA"/>
        </w:rPr>
        <w:t>Строк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дії регуляторного </w:t>
      </w:r>
      <w:proofErr w:type="spellStart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обмежений у часі.</w:t>
      </w:r>
    </w:p>
    <w:p w:rsidR="00F134CD" w:rsidRPr="00EB31C5" w:rsidRDefault="00F134CD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Оскільки науков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 xml:space="preserve"> обґрунтування, які розробляються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науковими установами</w:t>
      </w:r>
      <w:r w:rsidRPr="00EB31C5">
        <w:rPr>
          <w:rFonts w:ascii="Times New Roman" w:hAnsi="Times New Roman"/>
          <w:color w:val="000000"/>
          <w:sz w:val="28"/>
          <w:szCs w:val="28"/>
          <w:lang w:val="uk-UA"/>
        </w:rPr>
        <w:t>, пропонуються на певний проміжок часу (до кінця 2021 року), виникає потреба щорічно затверджувати Режим рибальства.</w:t>
      </w:r>
    </w:p>
    <w:p w:rsidR="00F134CD" w:rsidRPr="00EB31C5" w:rsidRDefault="00F134CD" w:rsidP="00F134C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1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1C5">
        <w:rPr>
          <w:rStyle w:val="rvts0"/>
          <w:rFonts w:ascii="Times New Roman" w:hAnsi="Times New Roman" w:cs="Times New Roman"/>
          <w:bCs/>
          <w:sz w:val="28"/>
          <w:szCs w:val="28"/>
          <w:lang w:val="uk-UA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:rsidR="00C215E0" w:rsidRPr="00F134CD" w:rsidRDefault="00C215E0" w:rsidP="00FA7B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78" w:name="n168"/>
      <w:bookmarkEnd w:id="78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VIII.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Визначення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показників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результативності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>дії</w:t>
      </w:r>
      <w:proofErr w:type="spellEnd"/>
      <w:r w:rsidRPr="00C7122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регуляторного акта</w:t>
      </w: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9" w:name="n169"/>
      <w:bookmarkEnd w:id="79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надходжень до державних та місцевих бюджетів і державних цільових фондів, пов’язаних із дією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залежить від суми сплати за спеціальне використання водних біоресурсів. Розмір надходжень до бюджетів різних рівнів від справляння плати за спеціальне використання </w:t>
      </w:r>
      <w:r w:rsidR="000C4D75" w:rsidRPr="00C7122F">
        <w:rPr>
          <w:rFonts w:ascii="Times New Roman" w:hAnsi="Times New Roman"/>
          <w:sz w:val="28"/>
          <w:szCs w:val="28"/>
          <w:lang w:val="uk-UA"/>
        </w:rPr>
        <w:t xml:space="preserve">водних </w:t>
      </w:r>
      <w:r w:rsidRPr="00C7122F">
        <w:rPr>
          <w:rFonts w:ascii="Times New Roman" w:hAnsi="Times New Roman"/>
          <w:sz w:val="28"/>
          <w:szCs w:val="28"/>
          <w:lang w:val="uk-UA"/>
        </w:rPr>
        <w:t>біоресурсів, від промисл</w:t>
      </w:r>
      <w:r w:rsidR="000C4D75" w:rsidRPr="00C7122F">
        <w:rPr>
          <w:rFonts w:ascii="Times New Roman" w:hAnsi="Times New Roman"/>
          <w:sz w:val="28"/>
          <w:szCs w:val="28"/>
          <w:lang w:val="uk-UA"/>
        </w:rPr>
        <w:t>ового добуванн</w:t>
      </w:r>
      <w:r w:rsidR="00C56490" w:rsidRPr="00C7122F">
        <w:rPr>
          <w:rFonts w:ascii="Times New Roman" w:hAnsi="Times New Roman"/>
          <w:sz w:val="28"/>
          <w:szCs w:val="28"/>
          <w:lang w:val="uk-UA"/>
        </w:rPr>
        <w:t>я у 20</w:t>
      </w:r>
      <w:r w:rsidR="00AC4B96" w:rsidRPr="00C7122F">
        <w:rPr>
          <w:rFonts w:ascii="Times New Roman" w:hAnsi="Times New Roman"/>
          <w:sz w:val="28"/>
          <w:szCs w:val="28"/>
          <w:lang w:val="uk-UA"/>
        </w:rPr>
        <w:t>20</w:t>
      </w:r>
      <w:r w:rsidR="00C56490" w:rsidRPr="00C7122F">
        <w:rPr>
          <w:rFonts w:ascii="Times New Roman" w:hAnsi="Times New Roman"/>
          <w:sz w:val="28"/>
          <w:szCs w:val="28"/>
          <w:lang w:val="uk-UA"/>
        </w:rPr>
        <w:t xml:space="preserve"> році склав </w:t>
      </w:r>
      <w:r w:rsidR="009B314C">
        <w:rPr>
          <w:rFonts w:ascii="Times New Roman" w:hAnsi="Times New Roman"/>
          <w:sz w:val="28"/>
          <w:szCs w:val="28"/>
          <w:lang w:val="uk-UA"/>
        </w:rPr>
        <w:t>понад</w:t>
      </w:r>
      <w:r w:rsidR="00C56490" w:rsidRPr="00C71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14C">
        <w:rPr>
          <w:rFonts w:ascii="Times New Roman" w:hAnsi="Times New Roman"/>
          <w:sz w:val="28"/>
          <w:szCs w:val="28"/>
          <w:lang w:val="uk-UA"/>
        </w:rPr>
        <w:t>4,</w:t>
      </w:r>
      <w:r w:rsidR="00C2176B" w:rsidRPr="00C7122F">
        <w:rPr>
          <w:rFonts w:ascii="Times New Roman" w:hAnsi="Times New Roman"/>
          <w:sz w:val="28"/>
          <w:szCs w:val="28"/>
          <w:lang w:val="uk-UA"/>
        </w:rPr>
        <w:t>3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 млн гривень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215E0" w:rsidRPr="00C7122F" w:rsidRDefault="00C215E0" w:rsidP="00FA7B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Кількість суб’єктів господарювання або фізичних осіб, на яких поширюється дія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і які на даний час здійснюють спеціальне використання водних біоресурсів, складає 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="000C4D75" w:rsidRPr="00C7122F">
        <w:rPr>
          <w:rFonts w:ascii="Times New Roman" w:hAnsi="Times New Roman"/>
          <w:sz w:val="28"/>
          <w:szCs w:val="28"/>
          <w:lang w:val="uk-UA"/>
        </w:rPr>
        <w:t>1</w:t>
      </w:r>
      <w:r w:rsidR="00E9229F">
        <w:rPr>
          <w:rFonts w:ascii="Times New Roman" w:hAnsi="Times New Roman"/>
          <w:sz w:val="28"/>
          <w:szCs w:val="28"/>
          <w:lang w:val="uk-UA"/>
        </w:rPr>
        <w:t>9</w:t>
      </w:r>
      <w:r w:rsidR="000C4D75" w:rsidRPr="00C7122F">
        <w:rPr>
          <w:rFonts w:ascii="Times New Roman" w:hAnsi="Times New Roman"/>
          <w:sz w:val="28"/>
          <w:szCs w:val="28"/>
          <w:lang w:val="uk-UA"/>
        </w:rPr>
        <w:t>0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користувачів. Дія даного регуляторного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поширюється на користувачів водних  біоресурсів, які здійснюють промисловий вилов риби.</w:t>
      </w:r>
    </w:p>
    <w:p w:rsidR="00C215E0" w:rsidRPr="00C7122F" w:rsidRDefault="00C215E0" w:rsidP="00FA7B5D">
      <w:pPr>
        <w:pStyle w:val="HTML"/>
        <w:tabs>
          <w:tab w:val="clear" w:pos="916"/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22F">
        <w:rPr>
          <w:rFonts w:ascii="Times New Roman" w:hAnsi="Times New Roman"/>
          <w:sz w:val="28"/>
          <w:szCs w:val="28"/>
          <w:lang w:val="uk-UA"/>
        </w:rPr>
        <w:tab/>
        <w:t xml:space="preserve">Додаткових коштів та часу, що витрачаються суб’єктами господарювання або фізичними </w:t>
      </w:r>
      <w:r w:rsidR="00F16FE1" w:rsidRPr="00C7122F">
        <w:rPr>
          <w:rFonts w:ascii="Times New Roman" w:hAnsi="Times New Roman"/>
          <w:sz w:val="28"/>
          <w:szCs w:val="28"/>
          <w:lang w:val="uk-UA"/>
        </w:rPr>
        <w:t xml:space="preserve">особами з основних положень </w:t>
      </w:r>
      <w:proofErr w:type="spellStart"/>
      <w:r w:rsidR="00F16FE1" w:rsidRPr="00C7122F">
        <w:rPr>
          <w:rFonts w:ascii="Times New Roman" w:hAnsi="Times New Roman"/>
          <w:sz w:val="28"/>
          <w:szCs w:val="28"/>
          <w:lang w:val="uk-UA"/>
        </w:rPr>
        <w:t>проє</w:t>
      </w:r>
      <w:r w:rsidRPr="00C7122F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C7122F">
        <w:rPr>
          <w:rFonts w:ascii="Times New Roman" w:hAnsi="Times New Roman"/>
          <w:sz w:val="28"/>
          <w:szCs w:val="28"/>
          <w:lang w:val="uk-UA"/>
        </w:rPr>
        <w:t xml:space="preserve"> наказу не передбачено, але у разі порушення п</w:t>
      </w:r>
      <w:r w:rsidR="003B1057" w:rsidRPr="00C7122F">
        <w:rPr>
          <w:rFonts w:ascii="Times New Roman" w:hAnsi="Times New Roman"/>
          <w:sz w:val="28"/>
          <w:szCs w:val="28"/>
          <w:lang w:val="uk-UA"/>
        </w:rPr>
        <w:t xml:space="preserve">риродоохоронного законодавства 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відповідно до статті 85 Кодексу України про адміністративні правопорушення </w:t>
      </w:r>
      <w:bookmarkStart w:id="80" w:name="523"/>
      <w:bookmarkEnd w:id="80"/>
      <w:r w:rsidRPr="00C7122F">
        <w:rPr>
          <w:rFonts w:ascii="Times New Roman" w:hAnsi="Times New Roman"/>
          <w:sz w:val="28"/>
          <w:szCs w:val="28"/>
          <w:lang w:val="uk-UA"/>
        </w:rPr>
        <w:t xml:space="preserve">порушення правил рибальства тягне за собою попередження або накладення штрафу на громадян від двох до десяти неоподатковуваних мінімумів доходів громадян і </w:t>
      </w:r>
      <w:r w:rsidRPr="00C7122F">
        <w:rPr>
          <w:rFonts w:ascii="Times New Roman" w:hAnsi="Times New Roman"/>
          <w:sz w:val="28"/>
          <w:szCs w:val="28"/>
          <w:lang w:val="uk-UA"/>
        </w:rPr>
        <w:lastRenderedPageBreak/>
        <w:t xml:space="preserve">попередження або накладення штрафу на посадових осіб − від десяти до тридцяти неоподатковуваних мінімумів доходів громадян. </w:t>
      </w:r>
    </w:p>
    <w:p w:rsidR="00C215E0" w:rsidRPr="00C7122F" w:rsidRDefault="00C215E0" w:rsidP="00FA7B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Рівень поінформованості суб’єктів господарювання або фізичних осіб з основ</w:t>
      </w:r>
      <w:r w:rsidR="00F16FE1"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положень </w:t>
      </w:r>
      <w:proofErr w:type="spellStart"/>
      <w:r w:rsidR="00F16FE1"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="00F16FE1"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середній. </w:t>
      </w:r>
      <w:proofErr w:type="spellStart"/>
      <w:r w:rsidR="00F16FE1" w:rsidRPr="00C7122F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Міністерства </w:t>
      </w:r>
      <w:r w:rsidR="000C4D75" w:rsidRPr="00C7122F">
        <w:rPr>
          <w:rFonts w:ascii="Times New Roman" w:hAnsi="Times New Roman"/>
          <w:color w:val="000000"/>
          <w:sz w:val="28"/>
          <w:szCs w:val="28"/>
          <w:lang w:val="uk-UA"/>
        </w:rPr>
        <w:t>захисту довкілля</w:t>
      </w:r>
      <w:r w:rsidR="00AC4B96"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природних ресурсів 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0C4D75" w:rsidRPr="00C7122F">
        <w:rPr>
          <w:rFonts w:ascii="Times New Roman" w:hAnsi="Times New Roman"/>
          <w:color w:val="000000"/>
          <w:sz w:val="28"/>
          <w:szCs w:val="28"/>
          <w:lang w:val="uk-UA"/>
        </w:rPr>
        <w:t>країни «Про затвердження режиму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рибальства в басейні Чорного моря </w:t>
      </w:r>
      <w:r w:rsidR="000C4D75" w:rsidRPr="00C7122F">
        <w:rPr>
          <w:rFonts w:ascii="Times New Roman" w:hAnsi="Times New Roman"/>
          <w:color w:val="000000"/>
          <w:sz w:val="28"/>
          <w:szCs w:val="28"/>
          <w:lang w:val="uk-UA"/>
        </w:rPr>
        <w:t>у 202</w:t>
      </w:r>
      <w:r w:rsidR="00AC4B96" w:rsidRPr="00C7122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D74383"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році» розміщено на </w:t>
      </w:r>
      <w:proofErr w:type="spellStart"/>
      <w:r w:rsidR="00D74383" w:rsidRPr="00C7122F">
        <w:rPr>
          <w:rFonts w:ascii="Times New Roman" w:hAnsi="Times New Roman"/>
          <w:color w:val="000000"/>
          <w:sz w:val="28"/>
          <w:szCs w:val="28"/>
          <w:lang w:val="uk-UA"/>
        </w:rPr>
        <w:t>веб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сайті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Мін</w:t>
      </w:r>
      <w:r w:rsidR="00E9229F">
        <w:rPr>
          <w:rFonts w:ascii="Times New Roman" w:hAnsi="Times New Roman"/>
          <w:color w:val="000000"/>
          <w:sz w:val="28"/>
          <w:szCs w:val="28"/>
          <w:lang w:val="uk-UA"/>
        </w:rPr>
        <w:t>довкілля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C2176B" w:rsidRPr="00C7122F">
        <w:rPr>
          <w:rFonts w:ascii="Times New Roman" w:hAnsi="Times New Roman"/>
          <w:sz w:val="28"/>
          <w:szCs w:val="28"/>
          <w:lang w:val="uk-UA"/>
        </w:rPr>
        <w:t>me</w:t>
      </w:r>
      <w:proofErr w:type="spellEnd"/>
      <w:r w:rsidR="00AC4B96" w:rsidRPr="00C7122F">
        <w:rPr>
          <w:rFonts w:ascii="Times New Roman" w:hAnsi="Times New Roman"/>
          <w:sz w:val="28"/>
          <w:szCs w:val="28"/>
          <w:lang w:val="en-US"/>
        </w:rPr>
        <w:t>p</w:t>
      </w:r>
      <w:r w:rsidR="00C2176B" w:rsidRPr="00C7122F">
        <w:rPr>
          <w:rFonts w:ascii="Times New Roman" w:hAnsi="Times New Roman"/>
          <w:sz w:val="28"/>
          <w:szCs w:val="28"/>
          <w:lang w:val="uk-UA"/>
        </w:rPr>
        <w:t>r.gov.ua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134CD" w:rsidRDefault="00C215E0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Після прийняття регуляторного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він буде опублікований у засобах масової інформації та розміщений н</w:t>
      </w:r>
      <w:r w:rsidR="00F134CD">
        <w:rPr>
          <w:rFonts w:ascii="Times New Roman" w:hAnsi="Times New Roman"/>
          <w:color w:val="000000"/>
          <w:sz w:val="28"/>
          <w:szCs w:val="28"/>
          <w:lang w:val="uk-UA"/>
        </w:rPr>
        <w:t>а сайті Верховної Ради України.</w:t>
      </w:r>
    </w:p>
    <w:p w:rsidR="00F134CD" w:rsidRDefault="00C215E0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Показниками результ</w:t>
      </w:r>
      <w:r w:rsidR="00F134CD">
        <w:rPr>
          <w:rFonts w:ascii="Times New Roman" w:hAnsi="Times New Roman"/>
          <w:color w:val="000000"/>
          <w:sz w:val="28"/>
          <w:szCs w:val="28"/>
          <w:lang w:val="uk-UA"/>
        </w:rPr>
        <w:t xml:space="preserve">ативності регуляторного </w:t>
      </w:r>
      <w:proofErr w:type="spellStart"/>
      <w:r w:rsidR="00F134CD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="00F134CD">
        <w:rPr>
          <w:rFonts w:ascii="Times New Roman" w:hAnsi="Times New Roman"/>
          <w:color w:val="000000"/>
          <w:sz w:val="28"/>
          <w:szCs w:val="28"/>
          <w:lang w:val="uk-UA"/>
        </w:rPr>
        <w:t xml:space="preserve"> є:</w:t>
      </w:r>
    </w:p>
    <w:p w:rsidR="00F134CD" w:rsidRDefault="009D638A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розмі</w:t>
      </w:r>
      <w:proofErr w:type="gramStart"/>
      <w:r w:rsidRPr="00104B81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надходжень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до держаного </w:t>
      </w:r>
      <w:r>
        <w:rPr>
          <w:rFonts w:ascii="Times New Roman" w:hAnsi="Times New Roman"/>
          <w:color w:val="000000"/>
          <w:sz w:val="28"/>
          <w:szCs w:val="28"/>
        </w:rPr>
        <w:t>бюджету</w:t>
      </w:r>
      <w:r w:rsidRPr="00104B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пов’язаних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дією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акта;</w:t>
      </w:r>
    </w:p>
    <w:p w:rsidR="00F134CD" w:rsidRDefault="00C215E0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кількість суб’єктів господарювання або фізичних осіб, у яких буде виявлено порушення природоохоронного законодавства;</w:t>
      </w:r>
      <w:bookmarkStart w:id="81" w:name="n170"/>
      <w:bookmarkEnd w:id="81"/>
    </w:p>
    <w:p w:rsidR="00C215E0" w:rsidRPr="00C7122F" w:rsidRDefault="009D638A" w:rsidP="00F134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суб’єктів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господарювання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поширюється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дія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акта –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суб’єкти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господарювання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10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4B81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дійснюють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промислове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рибальство</w:t>
      </w:r>
      <w:proofErr w:type="spellEnd"/>
      <w:r w:rsidR="004C024A" w:rsidRPr="00C712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56490" w:rsidRPr="00C7122F" w:rsidRDefault="00C56490" w:rsidP="00FA7B5D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15E0" w:rsidRPr="00C7122F" w:rsidRDefault="00C215E0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7122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7122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акта</w:t>
      </w:r>
      <w:proofErr w:type="spellEnd"/>
    </w:p>
    <w:p w:rsidR="00D74383" w:rsidRPr="00C7122F" w:rsidRDefault="00D74383" w:rsidP="00FA7B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2" w:name="n171"/>
      <w:bookmarkEnd w:id="82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буде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здійснюватись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Державним агентством рибного господарства України.</w:t>
      </w: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Базове відстеження результативності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буде здійснено до набрання чинності цим актом шляхом аналізу та підрахунку статистичних даних про кількість суб’єктів, які займаються </w:t>
      </w:r>
      <w:r w:rsidRPr="00C7122F">
        <w:rPr>
          <w:rFonts w:ascii="Times New Roman" w:hAnsi="Times New Roman"/>
          <w:bCs/>
          <w:color w:val="000000"/>
          <w:sz w:val="28"/>
          <w:szCs w:val="28"/>
          <w:lang w:val="uk-UA"/>
        </w:rPr>
        <w:t>спеціальним використанням</w:t>
      </w:r>
      <w:r w:rsidRPr="00C712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7122F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водних біоресурсів у </w:t>
      </w:r>
      <w:r w:rsidR="00845385" w:rsidRPr="00C7122F">
        <w:rPr>
          <w:rFonts w:ascii="Times New Roman" w:hAnsi="Times New Roman"/>
          <w:color w:val="000000"/>
          <w:sz w:val="28"/>
          <w:szCs w:val="28"/>
          <w:lang w:val="uk-UA"/>
        </w:rPr>
        <w:t>внутрішніх морських водах, територіальному морі, виключній (морській) економічній зоні</w:t>
      </w:r>
      <w:r w:rsidRPr="00C7122F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7122F">
        <w:rPr>
          <w:rFonts w:ascii="Times New Roman" w:hAnsi="Times New Roman"/>
          <w:color w:val="000000"/>
          <w:sz w:val="28"/>
          <w:szCs w:val="28"/>
        </w:rPr>
        <w:t>Повторне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</w:rPr>
        <w:t>відстеження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</w:rPr>
        <w:t xml:space="preserve"> буде про</w:t>
      </w: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водитись не </w:t>
      </w:r>
      <w:proofErr w:type="gram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 xml:space="preserve">ізніше ніж за три місяці до втрати чинності цього регуляторного </w:t>
      </w:r>
      <w:proofErr w:type="spellStart"/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акта</w:t>
      </w:r>
      <w:proofErr w:type="spellEnd"/>
      <w:r w:rsidRPr="00C7122F">
        <w:rPr>
          <w:rFonts w:ascii="Times New Roman" w:hAnsi="Times New Roman"/>
          <w:color w:val="000000"/>
          <w:sz w:val="28"/>
          <w:szCs w:val="28"/>
        </w:rPr>
        <w:t>.</w:t>
      </w: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122F">
        <w:rPr>
          <w:rFonts w:ascii="Times New Roman" w:hAnsi="Times New Roman"/>
          <w:color w:val="000000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22F">
        <w:rPr>
          <w:rFonts w:ascii="Times New Roman" w:hAnsi="Times New Roman"/>
          <w:sz w:val="28"/>
          <w:szCs w:val="28"/>
          <w:lang w:val="uk-UA"/>
        </w:rPr>
        <w:t>Вид даних, за допомогою яких здійснюватиметься відстеження результативності, – статистичний.</w:t>
      </w:r>
    </w:p>
    <w:p w:rsidR="00C215E0" w:rsidRPr="00C7122F" w:rsidRDefault="00C215E0" w:rsidP="00FA7B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122F">
        <w:rPr>
          <w:rFonts w:ascii="Times New Roman" w:hAnsi="Times New Roman"/>
          <w:sz w:val="28"/>
          <w:szCs w:val="28"/>
          <w:lang w:val="uk-UA"/>
        </w:rPr>
        <w:t xml:space="preserve">Цільові групи, які будуть залучатись для проведення відстеження, − Інститут рибного господарства НААН України, </w:t>
      </w:r>
      <w:r w:rsidR="00D74383" w:rsidRPr="00C7122F">
        <w:rPr>
          <w:rFonts w:ascii="Times New Roman" w:hAnsi="Times New Roman"/>
          <w:sz w:val="28"/>
          <w:szCs w:val="28"/>
          <w:lang w:val="uk-UA"/>
        </w:rPr>
        <w:t>ДП «</w:t>
      </w:r>
      <w:r w:rsidRPr="00C7122F">
        <w:rPr>
          <w:rFonts w:ascii="Times New Roman" w:hAnsi="Times New Roman"/>
          <w:sz w:val="28"/>
          <w:szCs w:val="28"/>
          <w:lang w:val="uk-UA"/>
        </w:rPr>
        <w:t>Інститут рибного господарства та екології моря</w:t>
      </w:r>
      <w:r w:rsidR="00D74383" w:rsidRPr="00C7122F">
        <w:rPr>
          <w:rFonts w:ascii="Times New Roman" w:hAnsi="Times New Roman"/>
          <w:sz w:val="28"/>
          <w:szCs w:val="28"/>
          <w:lang w:val="uk-UA"/>
        </w:rPr>
        <w:t>»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, ДП </w:t>
      </w:r>
      <w:r w:rsidR="00D74383" w:rsidRPr="00C7122F">
        <w:rPr>
          <w:rFonts w:ascii="Times New Roman" w:hAnsi="Times New Roman"/>
          <w:sz w:val="28"/>
          <w:szCs w:val="28"/>
          <w:lang w:val="uk-UA"/>
        </w:rPr>
        <w:t>«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Одеський центр </w:t>
      </w:r>
      <w:proofErr w:type="spellStart"/>
      <w:r w:rsidRPr="00C7122F">
        <w:rPr>
          <w:rFonts w:ascii="Times New Roman" w:hAnsi="Times New Roman"/>
          <w:sz w:val="28"/>
          <w:szCs w:val="28"/>
          <w:lang w:val="uk-UA"/>
        </w:rPr>
        <w:t>ПівденНІРО</w:t>
      </w:r>
      <w:proofErr w:type="spellEnd"/>
      <w:r w:rsidR="00D74383" w:rsidRPr="00C7122F">
        <w:rPr>
          <w:rFonts w:ascii="Times New Roman" w:hAnsi="Times New Roman"/>
          <w:sz w:val="28"/>
          <w:szCs w:val="28"/>
          <w:lang w:val="uk-UA"/>
        </w:rPr>
        <w:t>»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122F">
        <w:rPr>
          <w:rFonts w:ascii="Times New Roman" w:hAnsi="Times New Roman"/>
          <w:sz w:val="28"/>
          <w:szCs w:val="28"/>
          <w:lang w:val="uk-UA"/>
        </w:rPr>
        <w:br/>
        <w:t>територіальн</w:t>
      </w:r>
      <w:r w:rsidR="00F134CD">
        <w:rPr>
          <w:rFonts w:ascii="Times New Roman" w:hAnsi="Times New Roman"/>
          <w:sz w:val="28"/>
          <w:szCs w:val="28"/>
          <w:lang w:val="uk-UA"/>
        </w:rPr>
        <w:t>і</w:t>
      </w:r>
      <w:r w:rsidR="00013468"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F134CD">
        <w:rPr>
          <w:rFonts w:ascii="Times New Roman" w:hAnsi="Times New Roman"/>
          <w:sz w:val="28"/>
          <w:szCs w:val="28"/>
          <w:lang w:val="uk-UA"/>
        </w:rPr>
        <w:t>и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122F">
        <w:rPr>
          <w:rFonts w:ascii="Times New Roman" w:hAnsi="Times New Roman"/>
          <w:sz w:val="28"/>
          <w:szCs w:val="28"/>
          <w:lang w:val="uk-UA"/>
        </w:rPr>
        <w:t>Держрибагентства</w:t>
      </w:r>
      <w:proofErr w:type="spellEnd"/>
      <w:r w:rsidRPr="00C712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1B07">
        <w:rPr>
          <w:rFonts w:ascii="Times New Roman" w:hAnsi="Times New Roman"/>
          <w:sz w:val="28"/>
          <w:szCs w:val="28"/>
          <w:lang w:val="uk-UA"/>
        </w:rPr>
        <w:t>19</w:t>
      </w:r>
      <w:r w:rsidR="000C4D75" w:rsidRPr="00C7122F">
        <w:rPr>
          <w:rFonts w:ascii="Times New Roman" w:hAnsi="Times New Roman"/>
          <w:sz w:val="28"/>
          <w:szCs w:val="28"/>
          <w:lang w:val="uk-UA"/>
        </w:rPr>
        <w:t>0</w:t>
      </w:r>
      <w:r w:rsidRPr="00C71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22F">
        <w:rPr>
          <w:rFonts w:ascii="Times New Roman" w:hAnsi="Times New Roman"/>
          <w:sz w:val="28"/>
          <w:szCs w:val="28"/>
          <w:lang w:val="uk-UA" w:eastAsia="ru-RU"/>
        </w:rPr>
        <w:t>суб’єктів господарювання</w:t>
      </w:r>
      <w:r w:rsidRPr="00C7122F">
        <w:rPr>
          <w:rFonts w:ascii="Times New Roman" w:hAnsi="Times New Roman"/>
          <w:sz w:val="28"/>
          <w:szCs w:val="28"/>
          <w:lang w:val="uk-UA"/>
        </w:rPr>
        <w:t>.</w:t>
      </w:r>
    </w:p>
    <w:p w:rsidR="00C215E0" w:rsidRPr="00C7122F" w:rsidRDefault="00C215E0" w:rsidP="00FA7B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215E0" w:rsidRPr="00C7122F" w:rsidRDefault="00C215E0" w:rsidP="00FA7B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C4B96" w:rsidRPr="001D7C8E" w:rsidRDefault="00AC4B96" w:rsidP="00AC4B96">
      <w:pPr>
        <w:tabs>
          <w:tab w:val="left" w:pos="709"/>
        </w:tabs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1D7C8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Міністр </w:t>
      </w:r>
      <w:r w:rsidRPr="001D7C8E">
        <w:rPr>
          <w:rFonts w:ascii="Times New Roman" w:hAnsi="Times New Roman"/>
          <w:b/>
          <w:sz w:val="28"/>
          <w:szCs w:val="28"/>
          <w:lang w:val="uk-UA"/>
        </w:rPr>
        <w:t xml:space="preserve">захисту довкілля та </w:t>
      </w:r>
    </w:p>
    <w:p w:rsidR="00AC4B96" w:rsidRPr="001D7C8E" w:rsidRDefault="00AC4B96" w:rsidP="00AC4B96">
      <w:pPr>
        <w:tabs>
          <w:tab w:val="left" w:pos="709"/>
        </w:tabs>
        <w:spacing w:after="0"/>
        <w:ind w:right="-2"/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D7C8E">
        <w:rPr>
          <w:rFonts w:ascii="Times New Roman" w:hAnsi="Times New Roman"/>
          <w:b/>
          <w:sz w:val="28"/>
          <w:szCs w:val="28"/>
          <w:lang w:val="uk-UA"/>
        </w:rPr>
        <w:t xml:space="preserve">природних ресурсів України       </w:t>
      </w:r>
      <w:r w:rsidR="006E6A64" w:rsidRPr="001D7C8E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1D7C8E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1D7C8E">
        <w:rPr>
          <w:rFonts w:ascii="Times New Roman" w:hAnsi="Times New Roman"/>
          <w:b/>
          <w:color w:val="000000"/>
          <w:sz w:val="28"/>
          <w:szCs w:val="28"/>
          <w:lang w:val="uk-UA"/>
        </w:rPr>
        <w:t>Роман</w:t>
      </w:r>
      <w:r w:rsidRPr="001D7C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7C8E">
        <w:rPr>
          <w:rFonts w:ascii="Times New Roman" w:hAnsi="Times New Roman"/>
          <w:b/>
          <w:color w:val="000000"/>
          <w:sz w:val="28"/>
          <w:szCs w:val="28"/>
          <w:lang w:val="uk-UA"/>
        </w:rPr>
        <w:t>АБРАМОВСЬКИЙ</w:t>
      </w:r>
    </w:p>
    <w:p w:rsidR="00AC4B96" w:rsidRPr="001D7C8E" w:rsidRDefault="00AC4B96" w:rsidP="00AC4B96">
      <w:pPr>
        <w:spacing w:after="0"/>
        <w:jc w:val="both"/>
        <w:rPr>
          <w:b/>
          <w:lang w:val="uk-UA"/>
        </w:rPr>
      </w:pPr>
    </w:p>
    <w:p w:rsidR="00C215E0" w:rsidRPr="006A1689" w:rsidRDefault="00C215E0" w:rsidP="00AC4B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C215E0" w:rsidRPr="006A1689" w:rsidSect="00F134C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ED" w:rsidRDefault="002F69ED" w:rsidP="00AD4EC7">
      <w:pPr>
        <w:spacing w:after="0" w:line="240" w:lineRule="auto"/>
      </w:pPr>
      <w:r>
        <w:separator/>
      </w:r>
    </w:p>
  </w:endnote>
  <w:endnote w:type="continuationSeparator" w:id="0">
    <w:p w:rsidR="002F69ED" w:rsidRDefault="002F69ED" w:rsidP="00A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ED" w:rsidRDefault="002F69ED" w:rsidP="00AD4EC7">
      <w:pPr>
        <w:spacing w:after="0" w:line="240" w:lineRule="auto"/>
      </w:pPr>
      <w:r>
        <w:separator/>
      </w:r>
    </w:p>
  </w:footnote>
  <w:footnote w:type="continuationSeparator" w:id="0">
    <w:p w:rsidR="002F69ED" w:rsidRDefault="002F69ED" w:rsidP="00A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2C" w:rsidRPr="004D4349" w:rsidRDefault="005D452C">
    <w:pPr>
      <w:pStyle w:val="a5"/>
      <w:jc w:val="center"/>
      <w:rPr>
        <w:rFonts w:ascii="Times New Roman" w:hAnsi="Times New Roman"/>
        <w:sz w:val="28"/>
        <w:szCs w:val="28"/>
      </w:rPr>
    </w:pPr>
    <w:r w:rsidRPr="004D4349">
      <w:rPr>
        <w:rFonts w:ascii="Times New Roman" w:hAnsi="Times New Roman"/>
        <w:sz w:val="28"/>
        <w:szCs w:val="28"/>
      </w:rPr>
      <w:fldChar w:fldCharType="begin"/>
    </w:r>
    <w:r w:rsidRPr="004D4349">
      <w:rPr>
        <w:rFonts w:ascii="Times New Roman" w:hAnsi="Times New Roman"/>
        <w:sz w:val="28"/>
        <w:szCs w:val="28"/>
      </w:rPr>
      <w:instrText xml:space="preserve"> PAGE   \* MERGEFORMAT </w:instrText>
    </w:r>
    <w:r w:rsidRPr="004D4349">
      <w:rPr>
        <w:rFonts w:ascii="Times New Roman" w:hAnsi="Times New Roman"/>
        <w:sz w:val="28"/>
        <w:szCs w:val="28"/>
      </w:rPr>
      <w:fldChar w:fldCharType="separate"/>
    </w:r>
    <w:r w:rsidR="00A90E4C">
      <w:rPr>
        <w:rFonts w:ascii="Times New Roman" w:hAnsi="Times New Roman"/>
        <w:noProof/>
        <w:sz w:val="28"/>
        <w:szCs w:val="28"/>
      </w:rPr>
      <w:t>3</w:t>
    </w:r>
    <w:r w:rsidRPr="004D434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A43"/>
    <w:multiLevelType w:val="hybridMultilevel"/>
    <w:tmpl w:val="B52A7F78"/>
    <w:lvl w:ilvl="0" w:tplc="7A74124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DB2FBA"/>
    <w:multiLevelType w:val="hybridMultilevel"/>
    <w:tmpl w:val="33D4D69E"/>
    <w:lvl w:ilvl="0" w:tplc="FD82178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9E16C6"/>
    <w:multiLevelType w:val="hybridMultilevel"/>
    <w:tmpl w:val="D70EB600"/>
    <w:lvl w:ilvl="0" w:tplc="4F92F0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A8795B"/>
    <w:multiLevelType w:val="hybridMultilevel"/>
    <w:tmpl w:val="326A77C6"/>
    <w:lvl w:ilvl="0" w:tplc="3F225BB8">
      <w:start w:val="1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2"/>
    <w:rsid w:val="000107AD"/>
    <w:rsid w:val="00013468"/>
    <w:rsid w:val="0001477F"/>
    <w:rsid w:val="00015575"/>
    <w:rsid w:val="00022455"/>
    <w:rsid w:val="00031073"/>
    <w:rsid w:val="00036098"/>
    <w:rsid w:val="0003767A"/>
    <w:rsid w:val="000412B5"/>
    <w:rsid w:val="000502A7"/>
    <w:rsid w:val="00054EFB"/>
    <w:rsid w:val="00055D90"/>
    <w:rsid w:val="00060577"/>
    <w:rsid w:val="00063878"/>
    <w:rsid w:val="00064DA0"/>
    <w:rsid w:val="00071AA3"/>
    <w:rsid w:val="00080891"/>
    <w:rsid w:val="000820FF"/>
    <w:rsid w:val="000855EC"/>
    <w:rsid w:val="00090F32"/>
    <w:rsid w:val="000A0A2D"/>
    <w:rsid w:val="000B124E"/>
    <w:rsid w:val="000B2134"/>
    <w:rsid w:val="000B3C31"/>
    <w:rsid w:val="000B72E1"/>
    <w:rsid w:val="000C14D2"/>
    <w:rsid w:val="000C4D75"/>
    <w:rsid w:val="000C7DE1"/>
    <w:rsid w:val="000D38F6"/>
    <w:rsid w:val="000D6434"/>
    <w:rsid w:val="000E13D9"/>
    <w:rsid w:val="000E1B07"/>
    <w:rsid w:val="000E236E"/>
    <w:rsid w:val="000E6E64"/>
    <w:rsid w:val="000F3C11"/>
    <w:rsid w:val="000F7A02"/>
    <w:rsid w:val="001023D0"/>
    <w:rsid w:val="0010294E"/>
    <w:rsid w:val="0010591D"/>
    <w:rsid w:val="0011059F"/>
    <w:rsid w:val="0011364E"/>
    <w:rsid w:val="00117D32"/>
    <w:rsid w:val="001200AA"/>
    <w:rsid w:val="00121DC2"/>
    <w:rsid w:val="00126EE9"/>
    <w:rsid w:val="00135BF3"/>
    <w:rsid w:val="001402BC"/>
    <w:rsid w:val="00141C00"/>
    <w:rsid w:val="00142242"/>
    <w:rsid w:val="00160FAD"/>
    <w:rsid w:val="001627C6"/>
    <w:rsid w:val="001652C0"/>
    <w:rsid w:val="00171B72"/>
    <w:rsid w:val="00171BBF"/>
    <w:rsid w:val="001930C4"/>
    <w:rsid w:val="0019394F"/>
    <w:rsid w:val="001B354B"/>
    <w:rsid w:val="001B3CB8"/>
    <w:rsid w:val="001B7170"/>
    <w:rsid w:val="001B75C2"/>
    <w:rsid w:val="001B7A25"/>
    <w:rsid w:val="001C5EB6"/>
    <w:rsid w:val="001C60FA"/>
    <w:rsid w:val="001C7BED"/>
    <w:rsid w:val="001D42F3"/>
    <w:rsid w:val="001D58E0"/>
    <w:rsid w:val="001D7C8E"/>
    <w:rsid w:val="001E0F1D"/>
    <w:rsid w:val="001E24BB"/>
    <w:rsid w:val="001E7442"/>
    <w:rsid w:val="00200362"/>
    <w:rsid w:val="00201B5D"/>
    <w:rsid w:val="00213117"/>
    <w:rsid w:val="00213DEF"/>
    <w:rsid w:val="00230844"/>
    <w:rsid w:val="002325BE"/>
    <w:rsid w:val="002358D4"/>
    <w:rsid w:val="00242316"/>
    <w:rsid w:val="0024292B"/>
    <w:rsid w:val="00244ED2"/>
    <w:rsid w:val="0025663B"/>
    <w:rsid w:val="002570CD"/>
    <w:rsid w:val="0026324C"/>
    <w:rsid w:val="002828AE"/>
    <w:rsid w:val="00283EE1"/>
    <w:rsid w:val="0029046A"/>
    <w:rsid w:val="00291D50"/>
    <w:rsid w:val="00295C7B"/>
    <w:rsid w:val="002A06A7"/>
    <w:rsid w:val="002C63CD"/>
    <w:rsid w:val="002D6E49"/>
    <w:rsid w:val="002D71FE"/>
    <w:rsid w:val="002E4F4D"/>
    <w:rsid w:val="002E7AF5"/>
    <w:rsid w:val="002F3218"/>
    <w:rsid w:val="002F4B36"/>
    <w:rsid w:val="002F69ED"/>
    <w:rsid w:val="00300C1C"/>
    <w:rsid w:val="003059EE"/>
    <w:rsid w:val="00307FDB"/>
    <w:rsid w:val="00314C28"/>
    <w:rsid w:val="0031655F"/>
    <w:rsid w:val="00332439"/>
    <w:rsid w:val="00334460"/>
    <w:rsid w:val="0036185C"/>
    <w:rsid w:val="00362EDF"/>
    <w:rsid w:val="00375FCA"/>
    <w:rsid w:val="00384544"/>
    <w:rsid w:val="00387CAF"/>
    <w:rsid w:val="003908C7"/>
    <w:rsid w:val="00391048"/>
    <w:rsid w:val="0039435E"/>
    <w:rsid w:val="0039488E"/>
    <w:rsid w:val="00394DC7"/>
    <w:rsid w:val="003A040F"/>
    <w:rsid w:val="003A17CD"/>
    <w:rsid w:val="003A49CD"/>
    <w:rsid w:val="003B1057"/>
    <w:rsid w:val="003C462E"/>
    <w:rsid w:val="003C76E6"/>
    <w:rsid w:val="003D001A"/>
    <w:rsid w:val="003D2B29"/>
    <w:rsid w:val="003E055F"/>
    <w:rsid w:val="003F1863"/>
    <w:rsid w:val="003F21D7"/>
    <w:rsid w:val="00405AE6"/>
    <w:rsid w:val="00412FC6"/>
    <w:rsid w:val="00421793"/>
    <w:rsid w:val="0043133A"/>
    <w:rsid w:val="004478B2"/>
    <w:rsid w:val="00450585"/>
    <w:rsid w:val="00451647"/>
    <w:rsid w:val="0045213A"/>
    <w:rsid w:val="00452565"/>
    <w:rsid w:val="00453A3F"/>
    <w:rsid w:val="00456AAD"/>
    <w:rsid w:val="004576CA"/>
    <w:rsid w:val="00474A50"/>
    <w:rsid w:val="00484205"/>
    <w:rsid w:val="00485DD7"/>
    <w:rsid w:val="00486A9C"/>
    <w:rsid w:val="0049072C"/>
    <w:rsid w:val="004929FE"/>
    <w:rsid w:val="00492B19"/>
    <w:rsid w:val="00493073"/>
    <w:rsid w:val="004B57B2"/>
    <w:rsid w:val="004C024A"/>
    <w:rsid w:val="004C42F2"/>
    <w:rsid w:val="004D4349"/>
    <w:rsid w:val="004D49E8"/>
    <w:rsid w:val="004E45B7"/>
    <w:rsid w:val="004E522B"/>
    <w:rsid w:val="004E6AF5"/>
    <w:rsid w:val="004F435D"/>
    <w:rsid w:val="004F44FB"/>
    <w:rsid w:val="004F49DE"/>
    <w:rsid w:val="004F7979"/>
    <w:rsid w:val="00500163"/>
    <w:rsid w:val="005149B6"/>
    <w:rsid w:val="00527CC9"/>
    <w:rsid w:val="005301FB"/>
    <w:rsid w:val="00530F44"/>
    <w:rsid w:val="005352D9"/>
    <w:rsid w:val="005354A5"/>
    <w:rsid w:val="00535730"/>
    <w:rsid w:val="0053584E"/>
    <w:rsid w:val="00544FCB"/>
    <w:rsid w:val="00551880"/>
    <w:rsid w:val="00566E30"/>
    <w:rsid w:val="00571C50"/>
    <w:rsid w:val="005809EA"/>
    <w:rsid w:val="00582432"/>
    <w:rsid w:val="005A14CF"/>
    <w:rsid w:val="005A168A"/>
    <w:rsid w:val="005A2387"/>
    <w:rsid w:val="005A26C8"/>
    <w:rsid w:val="005A72A9"/>
    <w:rsid w:val="005A7FD6"/>
    <w:rsid w:val="005B3EAC"/>
    <w:rsid w:val="005B76A8"/>
    <w:rsid w:val="005C0157"/>
    <w:rsid w:val="005C27B8"/>
    <w:rsid w:val="005C5099"/>
    <w:rsid w:val="005C682B"/>
    <w:rsid w:val="005D2922"/>
    <w:rsid w:val="005D452C"/>
    <w:rsid w:val="005D7C44"/>
    <w:rsid w:val="005E1F00"/>
    <w:rsid w:val="005E6F93"/>
    <w:rsid w:val="005F028D"/>
    <w:rsid w:val="005F2764"/>
    <w:rsid w:val="005F6AD1"/>
    <w:rsid w:val="005F70C8"/>
    <w:rsid w:val="005F74FB"/>
    <w:rsid w:val="00602789"/>
    <w:rsid w:val="00603F78"/>
    <w:rsid w:val="006055BA"/>
    <w:rsid w:val="00610189"/>
    <w:rsid w:val="00623123"/>
    <w:rsid w:val="00625923"/>
    <w:rsid w:val="006304C9"/>
    <w:rsid w:val="00630EFD"/>
    <w:rsid w:val="00637E9E"/>
    <w:rsid w:val="00640E40"/>
    <w:rsid w:val="0064287D"/>
    <w:rsid w:val="00651C62"/>
    <w:rsid w:val="0065260B"/>
    <w:rsid w:val="00654D87"/>
    <w:rsid w:val="00655C8D"/>
    <w:rsid w:val="00676925"/>
    <w:rsid w:val="00680C32"/>
    <w:rsid w:val="00681417"/>
    <w:rsid w:val="00684817"/>
    <w:rsid w:val="00690969"/>
    <w:rsid w:val="00697301"/>
    <w:rsid w:val="006A068A"/>
    <w:rsid w:val="006A1689"/>
    <w:rsid w:val="006A4916"/>
    <w:rsid w:val="006A70DF"/>
    <w:rsid w:val="006C155C"/>
    <w:rsid w:val="006C2AB8"/>
    <w:rsid w:val="006C2FC4"/>
    <w:rsid w:val="006C3F27"/>
    <w:rsid w:val="006C5F6D"/>
    <w:rsid w:val="006C6005"/>
    <w:rsid w:val="006D2190"/>
    <w:rsid w:val="006D2A1E"/>
    <w:rsid w:val="006D3690"/>
    <w:rsid w:val="006D3E9D"/>
    <w:rsid w:val="006D7CA7"/>
    <w:rsid w:val="006E66EB"/>
    <w:rsid w:val="006E67F3"/>
    <w:rsid w:val="006E6A64"/>
    <w:rsid w:val="006F26A3"/>
    <w:rsid w:val="00700936"/>
    <w:rsid w:val="00705EC4"/>
    <w:rsid w:val="00711812"/>
    <w:rsid w:val="007150CF"/>
    <w:rsid w:val="00716AB9"/>
    <w:rsid w:val="007217FB"/>
    <w:rsid w:val="00722527"/>
    <w:rsid w:val="00722FEE"/>
    <w:rsid w:val="0073368C"/>
    <w:rsid w:val="00735342"/>
    <w:rsid w:val="00746473"/>
    <w:rsid w:val="007468ED"/>
    <w:rsid w:val="007625A3"/>
    <w:rsid w:val="00782871"/>
    <w:rsid w:val="00782C8C"/>
    <w:rsid w:val="00783E18"/>
    <w:rsid w:val="00787AFB"/>
    <w:rsid w:val="00792A77"/>
    <w:rsid w:val="007A3E21"/>
    <w:rsid w:val="007A4EA2"/>
    <w:rsid w:val="007B51F2"/>
    <w:rsid w:val="007C1FA8"/>
    <w:rsid w:val="007C32B8"/>
    <w:rsid w:val="007C688E"/>
    <w:rsid w:val="007C78E6"/>
    <w:rsid w:val="007D4364"/>
    <w:rsid w:val="007D48D0"/>
    <w:rsid w:val="007E1A6F"/>
    <w:rsid w:val="007F0514"/>
    <w:rsid w:val="007F431F"/>
    <w:rsid w:val="007F47E0"/>
    <w:rsid w:val="007F7AD9"/>
    <w:rsid w:val="0080085F"/>
    <w:rsid w:val="008053DB"/>
    <w:rsid w:val="00805895"/>
    <w:rsid w:val="00822A83"/>
    <w:rsid w:val="00823764"/>
    <w:rsid w:val="00827280"/>
    <w:rsid w:val="00835716"/>
    <w:rsid w:val="0083694D"/>
    <w:rsid w:val="008437EE"/>
    <w:rsid w:val="0084512B"/>
    <w:rsid w:val="00845385"/>
    <w:rsid w:val="00853189"/>
    <w:rsid w:val="00854C4A"/>
    <w:rsid w:val="008641FE"/>
    <w:rsid w:val="00870C8F"/>
    <w:rsid w:val="008718EF"/>
    <w:rsid w:val="00871A5B"/>
    <w:rsid w:val="00872637"/>
    <w:rsid w:val="0087679A"/>
    <w:rsid w:val="008876AE"/>
    <w:rsid w:val="00887FF6"/>
    <w:rsid w:val="008902CC"/>
    <w:rsid w:val="008A7B3F"/>
    <w:rsid w:val="008C1315"/>
    <w:rsid w:val="008C79F1"/>
    <w:rsid w:val="008D140D"/>
    <w:rsid w:val="008D4A2C"/>
    <w:rsid w:val="008D5CD6"/>
    <w:rsid w:val="008E0445"/>
    <w:rsid w:val="008E23C1"/>
    <w:rsid w:val="008E6E7B"/>
    <w:rsid w:val="00903D39"/>
    <w:rsid w:val="009065B4"/>
    <w:rsid w:val="00913511"/>
    <w:rsid w:val="00915370"/>
    <w:rsid w:val="00920D15"/>
    <w:rsid w:val="00930C4E"/>
    <w:rsid w:val="00932E34"/>
    <w:rsid w:val="00942C92"/>
    <w:rsid w:val="00953753"/>
    <w:rsid w:val="009703F0"/>
    <w:rsid w:val="00975E1B"/>
    <w:rsid w:val="00976D57"/>
    <w:rsid w:val="00987F6F"/>
    <w:rsid w:val="0099672F"/>
    <w:rsid w:val="009A5EC8"/>
    <w:rsid w:val="009B10D6"/>
    <w:rsid w:val="009B314C"/>
    <w:rsid w:val="009B5E42"/>
    <w:rsid w:val="009B6E5C"/>
    <w:rsid w:val="009C47CF"/>
    <w:rsid w:val="009C569F"/>
    <w:rsid w:val="009D1FA8"/>
    <w:rsid w:val="009D638A"/>
    <w:rsid w:val="009E048A"/>
    <w:rsid w:val="009E0BD6"/>
    <w:rsid w:val="009F17EF"/>
    <w:rsid w:val="009F1DD1"/>
    <w:rsid w:val="00A134FD"/>
    <w:rsid w:val="00A13D63"/>
    <w:rsid w:val="00A174EE"/>
    <w:rsid w:val="00A20F2A"/>
    <w:rsid w:val="00A23E3E"/>
    <w:rsid w:val="00A30E6C"/>
    <w:rsid w:val="00A379FB"/>
    <w:rsid w:val="00A37C08"/>
    <w:rsid w:val="00A452AD"/>
    <w:rsid w:val="00A46B33"/>
    <w:rsid w:val="00A72B88"/>
    <w:rsid w:val="00A744DB"/>
    <w:rsid w:val="00A76F9D"/>
    <w:rsid w:val="00A77644"/>
    <w:rsid w:val="00A863DE"/>
    <w:rsid w:val="00A901B3"/>
    <w:rsid w:val="00A90E4C"/>
    <w:rsid w:val="00A96065"/>
    <w:rsid w:val="00A968F6"/>
    <w:rsid w:val="00AA0202"/>
    <w:rsid w:val="00AA047C"/>
    <w:rsid w:val="00AA4D85"/>
    <w:rsid w:val="00AA510E"/>
    <w:rsid w:val="00AA545B"/>
    <w:rsid w:val="00AB4B7D"/>
    <w:rsid w:val="00AB5C0A"/>
    <w:rsid w:val="00AC4B96"/>
    <w:rsid w:val="00AC5CCE"/>
    <w:rsid w:val="00AD13F3"/>
    <w:rsid w:val="00AD20AA"/>
    <w:rsid w:val="00AD4EC7"/>
    <w:rsid w:val="00AE0448"/>
    <w:rsid w:val="00AE23A8"/>
    <w:rsid w:val="00AF7037"/>
    <w:rsid w:val="00AF73CE"/>
    <w:rsid w:val="00B05FB3"/>
    <w:rsid w:val="00B107CE"/>
    <w:rsid w:val="00B27B63"/>
    <w:rsid w:val="00B3537D"/>
    <w:rsid w:val="00B43321"/>
    <w:rsid w:val="00B45119"/>
    <w:rsid w:val="00B46645"/>
    <w:rsid w:val="00B55A34"/>
    <w:rsid w:val="00B56B3B"/>
    <w:rsid w:val="00B62844"/>
    <w:rsid w:val="00B63EA6"/>
    <w:rsid w:val="00B645BC"/>
    <w:rsid w:val="00B66A03"/>
    <w:rsid w:val="00B82288"/>
    <w:rsid w:val="00B86899"/>
    <w:rsid w:val="00B86D27"/>
    <w:rsid w:val="00B86D61"/>
    <w:rsid w:val="00B92547"/>
    <w:rsid w:val="00B925F6"/>
    <w:rsid w:val="00B92A66"/>
    <w:rsid w:val="00B93A24"/>
    <w:rsid w:val="00B9519B"/>
    <w:rsid w:val="00B96BA5"/>
    <w:rsid w:val="00BA70A8"/>
    <w:rsid w:val="00BC3618"/>
    <w:rsid w:val="00BC42AE"/>
    <w:rsid w:val="00BC55F5"/>
    <w:rsid w:val="00BC5C03"/>
    <w:rsid w:val="00BF0139"/>
    <w:rsid w:val="00BF4369"/>
    <w:rsid w:val="00BF4CF5"/>
    <w:rsid w:val="00BF6046"/>
    <w:rsid w:val="00C02EB3"/>
    <w:rsid w:val="00C07965"/>
    <w:rsid w:val="00C11009"/>
    <w:rsid w:val="00C17859"/>
    <w:rsid w:val="00C17C46"/>
    <w:rsid w:val="00C20700"/>
    <w:rsid w:val="00C20842"/>
    <w:rsid w:val="00C215E0"/>
    <w:rsid w:val="00C2176B"/>
    <w:rsid w:val="00C2339F"/>
    <w:rsid w:val="00C237A1"/>
    <w:rsid w:val="00C23D93"/>
    <w:rsid w:val="00C264CC"/>
    <w:rsid w:val="00C267EE"/>
    <w:rsid w:val="00C26F5D"/>
    <w:rsid w:val="00C30D90"/>
    <w:rsid w:val="00C33A81"/>
    <w:rsid w:val="00C34B9E"/>
    <w:rsid w:val="00C507AC"/>
    <w:rsid w:val="00C52EDE"/>
    <w:rsid w:val="00C56490"/>
    <w:rsid w:val="00C6362E"/>
    <w:rsid w:val="00C65A96"/>
    <w:rsid w:val="00C7122F"/>
    <w:rsid w:val="00C860C3"/>
    <w:rsid w:val="00C9450F"/>
    <w:rsid w:val="00CB026E"/>
    <w:rsid w:val="00CB263D"/>
    <w:rsid w:val="00CD1560"/>
    <w:rsid w:val="00CE788B"/>
    <w:rsid w:val="00CE7FE5"/>
    <w:rsid w:val="00CF03EF"/>
    <w:rsid w:val="00CF4D4D"/>
    <w:rsid w:val="00D01144"/>
    <w:rsid w:val="00D04C10"/>
    <w:rsid w:val="00D071F8"/>
    <w:rsid w:val="00D075D1"/>
    <w:rsid w:val="00D139B2"/>
    <w:rsid w:val="00D13B03"/>
    <w:rsid w:val="00D15479"/>
    <w:rsid w:val="00D156F9"/>
    <w:rsid w:val="00D16078"/>
    <w:rsid w:val="00D16B0C"/>
    <w:rsid w:val="00D20E76"/>
    <w:rsid w:val="00D21FAD"/>
    <w:rsid w:val="00D2225B"/>
    <w:rsid w:val="00D26BE5"/>
    <w:rsid w:val="00D33AC6"/>
    <w:rsid w:val="00D47DB5"/>
    <w:rsid w:val="00D52853"/>
    <w:rsid w:val="00D5638F"/>
    <w:rsid w:val="00D62AA2"/>
    <w:rsid w:val="00D65A8E"/>
    <w:rsid w:val="00D65D31"/>
    <w:rsid w:val="00D72882"/>
    <w:rsid w:val="00D73FBA"/>
    <w:rsid w:val="00D74383"/>
    <w:rsid w:val="00D80B83"/>
    <w:rsid w:val="00D82BF2"/>
    <w:rsid w:val="00D85566"/>
    <w:rsid w:val="00DB30FF"/>
    <w:rsid w:val="00DB41B0"/>
    <w:rsid w:val="00DB768B"/>
    <w:rsid w:val="00DC4D98"/>
    <w:rsid w:val="00DD04EB"/>
    <w:rsid w:val="00DD1026"/>
    <w:rsid w:val="00DD3A81"/>
    <w:rsid w:val="00DD653C"/>
    <w:rsid w:val="00DE344D"/>
    <w:rsid w:val="00DE3A98"/>
    <w:rsid w:val="00DF173E"/>
    <w:rsid w:val="00DF5C9D"/>
    <w:rsid w:val="00E02594"/>
    <w:rsid w:val="00E1042F"/>
    <w:rsid w:val="00E132FF"/>
    <w:rsid w:val="00E15123"/>
    <w:rsid w:val="00E167BB"/>
    <w:rsid w:val="00E2182E"/>
    <w:rsid w:val="00E21A5E"/>
    <w:rsid w:val="00E31289"/>
    <w:rsid w:val="00E31D9D"/>
    <w:rsid w:val="00E46090"/>
    <w:rsid w:val="00E4685F"/>
    <w:rsid w:val="00E53B01"/>
    <w:rsid w:val="00E54250"/>
    <w:rsid w:val="00E60D66"/>
    <w:rsid w:val="00E63627"/>
    <w:rsid w:val="00E64FC5"/>
    <w:rsid w:val="00E6520A"/>
    <w:rsid w:val="00E664F6"/>
    <w:rsid w:val="00E7591B"/>
    <w:rsid w:val="00E76706"/>
    <w:rsid w:val="00E80096"/>
    <w:rsid w:val="00E9229F"/>
    <w:rsid w:val="00E93A43"/>
    <w:rsid w:val="00EC044B"/>
    <w:rsid w:val="00EC5230"/>
    <w:rsid w:val="00EC6546"/>
    <w:rsid w:val="00ED025A"/>
    <w:rsid w:val="00ED73E3"/>
    <w:rsid w:val="00EE7E81"/>
    <w:rsid w:val="00EF2F8F"/>
    <w:rsid w:val="00EF5D9B"/>
    <w:rsid w:val="00F02A44"/>
    <w:rsid w:val="00F07E96"/>
    <w:rsid w:val="00F134CD"/>
    <w:rsid w:val="00F16FE1"/>
    <w:rsid w:val="00F30426"/>
    <w:rsid w:val="00F30E43"/>
    <w:rsid w:val="00F31D2C"/>
    <w:rsid w:val="00F32054"/>
    <w:rsid w:val="00F35C93"/>
    <w:rsid w:val="00F3651F"/>
    <w:rsid w:val="00F45DD1"/>
    <w:rsid w:val="00F76F6F"/>
    <w:rsid w:val="00F8236D"/>
    <w:rsid w:val="00F82EA8"/>
    <w:rsid w:val="00F87A4B"/>
    <w:rsid w:val="00F92E11"/>
    <w:rsid w:val="00F97EB2"/>
    <w:rsid w:val="00FA7B5D"/>
    <w:rsid w:val="00FB07D8"/>
    <w:rsid w:val="00FB19CC"/>
    <w:rsid w:val="00FB31F5"/>
    <w:rsid w:val="00FB4C92"/>
    <w:rsid w:val="00FC005B"/>
    <w:rsid w:val="00FC3054"/>
    <w:rsid w:val="00FD00E7"/>
    <w:rsid w:val="00FE1E31"/>
    <w:rsid w:val="00FF0B04"/>
    <w:rsid w:val="00FF5B08"/>
    <w:rsid w:val="00FF609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D82BF2"/>
    <w:rPr>
      <w:rFonts w:cs="Times New Roman"/>
    </w:rPr>
  </w:style>
  <w:style w:type="paragraph" w:customStyle="1" w:styleId="rvps2">
    <w:name w:val="rvps2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D82BF2"/>
    <w:rPr>
      <w:rFonts w:cs="Times New Roman"/>
    </w:rPr>
  </w:style>
  <w:style w:type="character" w:customStyle="1" w:styleId="rvts46">
    <w:name w:val="rvts46"/>
    <w:uiPriority w:val="99"/>
    <w:rsid w:val="00D82BF2"/>
    <w:rPr>
      <w:rFonts w:cs="Times New Roman"/>
    </w:rPr>
  </w:style>
  <w:style w:type="character" w:styleId="a3">
    <w:name w:val="Hyperlink"/>
    <w:uiPriority w:val="99"/>
    <w:semiHidden/>
    <w:rsid w:val="00D82BF2"/>
    <w:rPr>
      <w:rFonts w:cs="Times New Roman"/>
      <w:color w:val="0000FF"/>
      <w:u w:val="single"/>
    </w:rPr>
  </w:style>
  <w:style w:type="character" w:customStyle="1" w:styleId="rvts0">
    <w:name w:val="rvts0"/>
    <w:rsid w:val="00D82BF2"/>
  </w:style>
  <w:style w:type="character" w:customStyle="1" w:styleId="rvts9">
    <w:name w:val="rvts9"/>
    <w:uiPriority w:val="99"/>
    <w:rsid w:val="00D82BF2"/>
  </w:style>
  <w:style w:type="paragraph" w:styleId="a4">
    <w:name w:val="List Paragraph"/>
    <w:basedOn w:val="a"/>
    <w:uiPriority w:val="99"/>
    <w:qFormat/>
    <w:rsid w:val="00D82BF2"/>
    <w:pPr>
      <w:ind w:left="720"/>
      <w:contextualSpacing/>
    </w:pPr>
  </w:style>
  <w:style w:type="character" w:customStyle="1" w:styleId="rvts23">
    <w:name w:val="rvts23"/>
    <w:uiPriority w:val="99"/>
    <w:rsid w:val="00022455"/>
    <w:rPr>
      <w:rFonts w:cs="Times New Roman"/>
    </w:rPr>
  </w:style>
  <w:style w:type="paragraph" w:styleId="a5">
    <w:name w:val="header"/>
    <w:basedOn w:val="a"/>
    <w:link w:val="a6"/>
    <w:uiPriority w:val="99"/>
    <w:rsid w:val="00AD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D4EC7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AD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4EC7"/>
    <w:rPr>
      <w:rFonts w:cs="Times New Roman"/>
      <w:sz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94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94DC7"/>
    <w:rPr>
      <w:rFonts w:ascii="Courier New" w:hAnsi="Courier New" w:cs="Times New Roman"/>
      <w:color w:val="000000"/>
      <w:sz w:val="17"/>
    </w:rPr>
  </w:style>
  <w:style w:type="paragraph" w:styleId="a9">
    <w:name w:val="No Spacing"/>
    <w:uiPriority w:val="99"/>
    <w:qFormat/>
    <w:rsid w:val="001E24BB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716A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16AB9"/>
    <w:rPr>
      <w:rFonts w:ascii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uiPriority w:val="99"/>
    <w:rsid w:val="005C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lang w:eastAsia="zh-CN"/>
    </w:rPr>
  </w:style>
  <w:style w:type="character" w:styleId="aa">
    <w:name w:val="Strong"/>
    <w:uiPriority w:val="22"/>
    <w:qFormat/>
    <w:locked/>
    <w:rsid w:val="005809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44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D82BF2"/>
    <w:rPr>
      <w:rFonts w:cs="Times New Roman"/>
    </w:rPr>
  </w:style>
  <w:style w:type="paragraph" w:customStyle="1" w:styleId="rvps2">
    <w:name w:val="rvps2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D82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D82BF2"/>
    <w:rPr>
      <w:rFonts w:cs="Times New Roman"/>
    </w:rPr>
  </w:style>
  <w:style w:type="character" w:customStyle="1" w:styleId="rvts46">
    <w:name w:val="rvts46"/>
    <w:uiPriority w:val="99"/>
    <w:rsid w:val="00D82BF2"/>
    <w:rPr>
      <w:rFonts w:cs="Times New Roman"/>
    </w:rPr>
  </w:style>
  <w:style w:type="character" w:styleId="a3">
    <w:name w:val="Hyperlink"/>
    <w:uiPriority w:val="99"/>
    <w:semiHidden/>
    <w:rsid w:val="00D82BF2"/>
    <w:rPr>
      <w:rFonts w:cs="Times New Roman"/>
      <w:color w:val="0000FF"/>
      <w:u w:val="single"/>
    </w:rPr>
  </w:style>
  <w:style w:type="character" w:customStyle="1" w:styleId="rvts0">
    <w:name w:val="rvts0"/>
    <w:rsid w:val="00D82BF2"/>
  </w:style>
  <w:style w:type="character" w:customStyle="1" w:styleId="rvts9">
    <w:name w:val="rvts9"/>
    <w:uiPriority w:val="99"/>
    <w:rsid w:val="00D82BF2"/>
  </w:style>
  <w:style w:type="paragraph" w:styleId="a4">
    <w:name w:val="List Paragraph"/>
    <w:basedOn w:val="a"/>
    <w:uiPriority w:val="99"/>
    <w:qFormat/>
    <w:rsid w:val="00D82BF2"/>
    <w:pPr>
      <w:ind w:left="720"/>
      <w:contextualSpacing/>
    </w:pPr>
  </w:style>
  <w:style w:type="character" w:customStyle="1" w:styleId="rvts23">
    <w:name w:val="rvts23"/>
    <w:uiPriority w:val="99"/>
    <w:rsid w:val="00022455"/>
    <w:rPr>
      <w:rFonts w:cs="Times New Roman"/>
    </w:rPr>
  </w:style>
  <w:style w:type="paragraph" w:styleId="a5">
    <w:name w:val="header"/>
    <w:basedOn w:val="a"/>
    <w:link w:val="a6"/>
    <w:uiPriority w:val="99"/>
    <w:rsid w:val="00AD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D4EC7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AD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D4EC7"/>
    <w:rPr>
      <w:rFonts w:cs="Times New Roman"/>
      <w:sz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94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94DC7"/>
    <w:rPr>
      <w:rFonts w:ascii="Courier New" w:hAnsi="Courier New" w:cs="Times New Roman"/>
      <w:color w:val="000000"/>
      <w:sz w:val="17"/>
    </w:rPr>
  </w:style>
  <w:style w:type="paragraph" w:styleId="a9">
    <w:name w:val="No Spacing"/>
    <w:uiPriority w:val="99"/>
    <w:qFormat/>
    <w:rsid w:val="001E24BB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716A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16AB9"/>
    <w:rPr>
      <w:rFonts w:ascii="Times New Roman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uiPriority w:val="99"/>
    <w:rsid w:val="005C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lang w:eastAsia="zh-CN"/>
    </w:rPr>
  </w:style>
  <w:style w:type="character" w:styleId="aa">
    <w:name w:val="Strong"/>
    <w:uiPriority w:val="22"/>
    <w:qFormat/>
    <w:locked/>
    <w:rsid w:val="005809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F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44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A39E-3B41-4A54-AE95-B530AD3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21887</Words>
  <Characters>12477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ПАВЛЮК Іван Ярославович</cp:lastModifiedBy>
  <cp:revision>2</cp:revision>
  <cp:lastPrinted>2020-12-21T15:32:00Z</cp:lastPrinted>
  <dcterms:created xsi:type="dcterms:W3CDTF">2021-01-12T07:52:00Z</dcterms:created>
  <dcterms:modified xsi:type="dcterms:W3CDTF">2021-01-12T07:52:00Z</dcterms:modified>
</cp:coreProperties>
</file>