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5B22" w14:textId="77777777" w:rsidR="00591790" w:rsidRDefault="00FE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АНАЛІЗ РЕГУЛЯТОРНОГО ВПЛИВУ</w:t>
      </w:r>
    </w:p>
    <w:p w14:paraId="1CABF62E" w14:textId="77777777" w:rsidR="00591790" w:rsidRDefault="00FE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проєкту </w:t>
      </w:r>
      <w:bookmarkStart w:id="2" w:name="bookmark=id.30j0zll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постанови Кабінету Міністрів України «</w:t>
      </w:r>
      <w:r w:rsidR="00DA6450">
        <w:rPr>
          <w:rFonts w:ascii="Times New Roman" w:eastAsia="Times New Roman" w:hAnsi="Times New Roman" w:cs="Times New Roman"/>
          <w:b/>
          <w:sz w:val="28"/>
          <w:szCs w:val="28"/>
        </w:rPr>
        <w:t>Про затвердження п</w:t>
      </w:r>
      <w:r w:rsidR="009D224E">
        <w:rPr>
          <w:rFonts w:ascii="Times New Roman" w:hAnsi="Times New Roman" w:cs="Times New Roman"/>
          <w:b/>
          <w:sz w:val="28"/>
          <w:szCs w:val="28"/>
        </w:rPr>
        <w:t>орядку створення та адміністрування інформаційної системи управління відходами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C0FF97D" w14:textId="77777777" w:rsidR="00591790" w:rsidRDefault="0059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E2DB6B" w14:textId="77777777" w:rsidR="00591790" w:rsidRDefault="00FE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І. Визначення проблеми </w:t>
      </w:r>
    </w:p>
    <w:p w14:paraId="29087BC1" w14:textId="77777777" w:rsidR="00591790" w:rsidRDefault="0059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0EA01E" w14:textId="77777777" w:rsidR="009D224E" w:rsidRPr="009D224E" w:rsidRDefault="009D224E" w:rsidP="009D2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4E">
        <w:rPr>
          <w:rFonts w:ascii="Times New Roman" w:eastAsia="Times New Roman" w:hAnsi="Times New Roman" w:cs="Times New Roman"/>
          <w:color w:val="000000"/>
          <w:sz w:val="28"/>
          <w:szCs w:val="28"/>
        </w:rPr>
        <w:t>Поглиблення екологічної кризи і загострення соціально-економічної ситуації в суспільстві обумовлює необхідність реформування і розвитку з урахуванням вітчизняного та світового досвіду всієї правової та економічної системи, що регулює використання природних ресурсів у цілому та управління відходами зокрема. Проблема відходів є однією з ключових екологічних проблем і більш вагомою в ресурсному аспекті.</w:t>
      </w:r>
    </w:p>
    <w:p w14:paraId="37219F54" w14:textId="45FF50C9" w:rsidR="009D224E" w:rsidRDefault="009D224E" w:rsidP="009D2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Відмінність ситуації, що склалася з відходами в Україні, порівняно з іншими країнами полягає у великих обсягах утворення відходів, відсутності інфраструктури поводження з ними та електронної системи контролю щодо обліку, моніторингу життєвого циклу відходів для аналізу, оперативного реагування, прогнозу. </w:t>
      </w:r>
    </w:p>
    <w:p w14:paraId="6ECB0509" w14:textId="44A104C2" w:rsidR="00EC62EC" w:rsidRDefault="00EC62EC" w:rsidP="009D2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 на сьогодні залишаються не вирішеними наступні проблеми у сфері управління відходами:</w:t>
      </w:r>
    </w:p>
    <w:p w14:paraId="75FA8748" w14:textId="209D4C06" w:rsidR="00F53633" w:rsidRDefault="00EC62EC" w:rsidP="00F53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53633" w:rsidRPr="00DD35A1">
        <w:rPr>
          <w:rFonts w:ascii="Times New Roman" w:eastAsia="Times New Roman" w:hAnsi="Times New Roman" w:cs="Times New Roman"/>
          <w:sz w:val="28"/>
          <w:szCs w:val="28"/>
        </w:rPr>
        <w:t>ідсутній вільний доступ</w:t>
      </w:r>
      <w:r w:rsidR="00F53633" w:rsidRPr="00DD35A1">
        <w:rPr>
          <w:rFonts w:ascii="Times New Roman" w:eastAsia="Times New Roman" w:hAnsi="Times New Roman" w:cs="Times New Roman"/>
          <w:sz w:val="28"/>
          <w:szCs w:val="28"/>
        </w:rPr>
        <w:t xml:space="preserve"> громадян до інформації про стан довкілля, існуючі екологічні ризики/загрози в сфері управління відходами;</w:t>
      </w:r>
    </w:p>
    <w:p w14:paraId="4D7A379A" w14:textId="02151A17" w:rsidR="00DD35A1" w:rsidRPr="00DD35A1" w:rsidRDefault="00DD35A1" w:rsidP="00DD3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непрозорі та фінансово обтяжливі процедури щодо надання адміністративних послуг у сфері управління відходами</w:t>
      </w:r>
      <w:r w:rsidR="00482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сьогодні </w:t>
      </w:r>
      <w:r w:rsidR="00482C54"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тримання адміністративних послуг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82C54"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 сфері управління відходами 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фактично здійснюється в паперовій формі, у зв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’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язку з чим, </w:t>
      </w:r>
      <w:r w:rsidR="00482C54"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бізнес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витрача</w:t>
      </w:r>
      <w:r w:rsidR="00482C54"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є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значні часові та фінансові ресурси. Так, мінімальні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витрати суб’єктів господарювання, яких станом на 29 липня 2022 року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нараховується 211 ліцензіатів, на отримання адміністративних послуг з питань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ліцензування господарської діяльності у сфері поводження з небезпечними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відходами в паперовій формі, становлять близько 300 тис.грн в рік. Крім того,</w:t>
      </w:r>
      <w:r w:rsidR="00482C54"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під час розгляду органом ліцензування документів</w:t>
      </w:r>
      <w:r w:rsidR="00482C54"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в паперовій формі існують</w:t>
      </w:r>
      <w:r w:rsidR="00482C54"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ризики отримання рішення про відмову у видачі адміністративної послуги</w:t>
      </w:r>
      <w:r w:rsidR="00482C54"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через технічні помилки та неточності у відомостях. Такі ризики, можливо було</w:t>
      </w:r>
      <w:r w:rsidR="00482C54"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б уникнути якби існувала інформаційна взаємодія Міндовкілля із такими</w:t>
      </w:r>
      <w:r w:rsidR="00482C54"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електронними інформаційними ресурсами або системами, як: Єдиний</w:t>
      </w:r>
      <w:r w:rsidR="00482C54"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державний реєстр юридичних осіб, фізичних осіб — підприємців та</w:t>
      </w:r>
      <w:r w:rsidR="00482C54"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громадських формувань, Державний реєстр речових прав на нерухоме майно,</w:t>
      </w:r>
      <w:r w:rsidR="00482C54"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Єдина державна електронна система дозвільних документів, Єдиний реєстр з</w:t>
      </w:r>
      <w:r w:rsidR="00482C54"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оцінки впливу на довкілля тощо</w:t>
      </w:r>
      <w:r w:rsidR="00482C5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24D4C3" w14:textId="4F27FA7B" w:rsidR="00F53633" w:rsidRPr="00DD35A1" w:rsidRDefault="00EC62EC" w:rsidP="00F53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53633" w:rsidRPr="00DD35A1">
        <w:rPr>
          <w:rFonts w:ascii="Times New Roman" w:eastAsia="Times New Roman" w:hAnsi="Times New Roman" w:cs="Times New Roman"/>
          <w:sz w:val="28"/>
          <w:szCs w:val="28"/>
        </w:rPr>
        <w:t>еналежний рівень</w:t>
      </w:r>
      <w:r w:rsidR="00F53633" w:rsidRPr="00DD35A1">
        <w:rPr>
          <w:rFonts w:ascii="Times New Roman" w:eastAsia="Times New Roman" w:hAnsi="Times New Roman" w:cs="Times New Roman"/>
          <w:sz w:val="28"/>
          <w:szCs w:val="28"/>
        </w:rPr>
        <w:t xml:space="preserve"> державного управління в питаннях управління відходами та запобігання надзвичайним ситуаціям техногенного та природного характеру, що є причиною безконтрольних операцій </w:t>
      </w:r>
      <w:r w:rsidRPr="00DD35A1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F53633" w:rsidRPr="00DD35A1">
        <w:rPr>
          <w:rFonts w:ascii="Times New Roman" w:eastAsia="Times New Roman" w:hAnsi="Times New Roman" w:cs="Times New Roman"/>
          <w:sz w:val="28"/>
          <w:szCs w:val="28"/>
        </w:rPr>
        <w:t xml:space="preserve">відходами; </w:t>
      </w:r>
    </w:p>
    <w:p w14:paraId="4B02FD34" w14:textId="01E94460" w:rsidR="00F53633" w:rsidRPr="00DD35A1" w:rsidRDefault="00EC62EC" w:rsidP="00F53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1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F53633" w:rsidRPr="00DD35A1">
        <w:rPr>
          <w:rFonts w:ascii="Times New Roman" w:eastAsia="Times New Roman" w:hAnsi="Times New Roman" w:cs="Times New Roman"/>
          <w:sz w:val="28"/>
          <w:szCs w:val="28"/>
        </w:rPr>
        <w:t xml:space="preserve">ідсутність </w:t>
      </w:r>
      <w:r w:rsidR="00F53633" w:rsidRPr="00DD35A1">
        <w:rPr>
          <w:rFonts w:ascii="Times New Roman" w:eastAsia="Times New Roman" w:hAnsi="Times New Roman" w:cs="Times New Roman"/>
          <w:sz w:val="28"/>
          <w:szCs w:val="28"/>
        </w:rPr>
        <w:t>єдиної цифрової геоінформаційної інфраструктури органів державної влади та органів місцевого самоврядування для виконання їх повноважень у сфері охорони навколишнього природного середовища, що пов'язані з управлінням відходами;</w:t>
      </w:r>
    </w:p>
    <w:p w14:paraId="0491E38F" w14:textId="18ED77F8" w:rsidR="00F53633" w:rsidRPr="00DD35A1" w:rsidRDefault="00EC62EC" w:rsidP="00F53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53633" w:rsidRPr="00DD35A1">
        <w:rPr>
          <w:rFonts w:ascii="Times New Roman" w:eastAsia="Times New Roman" w:hAnsi="Times New Roman" w:cs="Times New Roman"/>
          <w:sz w:val="28"/>
          <w:szCs w:val="28"/>
        </w:rPr>
        <w:t>едостатньо впроваджено</w:t>
      </w:r>
      <w:r w:rsidR="00F53633" w:rsidRPr="00DD35A1">
        <w:rPr>
          <w:rFonts w:ascii="Times New Roman" w:eastAsia="Times New Roman" w:hAnsi="Times New Roman" w:cs="Times New Roman"/>
          <w:sz w:val="28"/>
          <w:szCs w:val="28"/>
        </w:rPr>
        <w:t xml:space="preserve"> ефективних превентивних механізмів запобігання та протидії корупції, зменшення впливу корупційних ризиків і посилення громадського контролю за діяльністю органів державної влади та органів місцевого самоврядування у сфері поводження з відходами.</w:t>
      </w:r>
    </w:p>
    <w:p w14:paraId="0533D17F" w14:textId="558B8280" w:rsidR="00FF4C94" w:rsidRPr="00DD35A1" w:rsidRDefault="00FF4C94" w:rsidP="00FF4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1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статті </w:t>
      </w:r>
      <w:r w:rsidRPr="00DD35A1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DD35A1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управління відходами»(далі – Закон)</w:t>
      </w:r>
      <w:r w:rsidRPr="00DD3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5A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D35A1">
        <w:rPr>
          <w:rFonts w:ascii="Times New Roman" w:eastAsia="Times New Roman" w:hAnsi="Times New Roman" w:cs="Times New Roman"/>
          <w:sz w:val="28"/>
          <w:szCs w:val="28"/>
        </w:rPr>
        <w:t xml:space="preserve"> метою забезпечення належного обліку, звітності, узагальнення та аналізу інформації у сфері управління відходами центральний орган виконавчої влади, що реалізує державну політику у сфері управління відходами, створює та адмініструє інформаційну систему управління відходами, яка ведеться у вигляді електронної бази даних.</w:t>
      </w:r>
      <w:r w:rsidRPr="00DD3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5A1">
        <w:rPr>
          <w:rFonts w:ascii="Times New Roman" w:eastAsia="Times New Roman" w:hAnsi="Times New Roman" w:cs="Times New Roman"/>
          <w:sz w:val="28"/>
          <w:szCs w:val="28"/>
        </w:rPr>
        <w:t>Інформаційна система управління відходами є державною власністю.</w:t>
      </w:r>
      <w:r w:rsidRPr="00DD3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5A1">
        <w:rPr>
          <w:rFonts w:ascii="Times New Roman" w:eastAsia="Times New Roman" w:hAnsi="Times New Roman" w:cs="Times New Roman"/>
          <w:sz w:val="28"/>
          <w:szCs w:val="28"/>
        </w:rPr>
        <w:t>Ведення інформаційної системи управління відходами здійснюється на основі програмного забезпечення, що забезпечує його сумісність і взаємодію з іншими базами даних та інформаційними системами. Інформаційна система управління відходами складається з підсистем звітності, надання адміністративних послуг і реєстрів.</w:t>
      </w:r>
    </w:p>
    <w:p w14:paraId="2FF8A850" w14:textId="77777777" w:rsidR="00FF4C94" w:rsidRPr="00DD35A1" w:rsidRDefault="00FF4C94" w:rsidP="00FF4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1">
        <w:rPr>
          <w:rFonts w:ascii="Times New Roman" w:eastAsia="Times New Roman" w:hAnsi="Times New Roman" w:cs="Times New Roman"/>
          <w:sz w:val="28"/>
          <w:szCs w:val="28"/>
        </w:rPr>
        <w:t>Підсистема звітності забезпечує отримання, аналіз та узагальнення інформації про обсяг, код та найменування, джерела утворення відходів, зміну власника відходів, онлайн-інформування про збирання, перевезення та оброблення відходів.</w:t>
      </w:r>
    </w:p>
    <w:p w14:paraId="39963195" w14:textId="77777777" w:rsidR="00FF4C94" w:rsidRPr="00DD35A1" w:rsidRDefault="00FF4C94" w:rsidP="00FF4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1">
        <w:rPr>
          <w:rFonts w:ascii="Times New Roman" w:eastAsia="Times New Roman" w:hAnsi="Times New Roman" w:cs="Times New Roman"/>
          <w:sz w:val="28"/>
          <w:szCs w:val="28"/>
        </w:rPr>
        <w:t>Підсистема надання адміністративних послуг забезпечує отримання суб’єктами господарювання адміністративних послуг з видачі дозволу на здійснення операцій з оброблення відходів, ліцензії на здійснення господарської діяльності з управління небезпечними відходами тощо.</w:t>
      </w:r>
    </w:p>
    <w:p w14:paraId="55CCA444" w14:textId="77777777" w:rsidR="00FF4C94" w:rsidRPr="00DD35A1" w:rsidRDefault="00FF4C94" w:rsidP="00FF4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1">
        <w:rPr>
          <w:rFonts w:ascii="Times New Roman" w:eastAsia="Times New Roman" w:hAnsi="Times New Roman" w:cs="Times New Roman"/>
          <w:sz w:val="28"/>
          <w:szCs w:val="28"/>
        </w:rPr>
        <w:t>Підсистема реєстрів складається з:</w:t>
      </w:r>
    </w:p>
    <w:p w14:paraId="30A55F2A" w14:textId="77777777" w:rsidR="00FF4C94" w:rsidRPr="00DD35A1" w:rsidRDefault="00FF4C94" w:rsidP="00FF4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1">
        <w:rPr>
          <w:rFonts w:ascii="Times New Roman" w:eastAsia="Times New Roman" w:hAnsi="Times New Roman" w:cs="Times New Roman"/>
          <w:sz w:val="28"/>
          <w:szCs w:val="28"/>
        </w:rPr>
        <w:t>Реєстру дозволів на здійснення операцій оброблення з відходів;</w:t>
      </w:r>
    </w:p>
    <w:p w14:paraId="7038F2E0" w14:textId="77777777" w:rsidR="00FF4C94" w:rsidRPr="00DD35A1" w:rsidRDefault="00FF4C94" w:rsidP="00FF4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1">
        <w:rPr>
          <w:rFonts w:ascii="Times New Roman" w:eastAsia="Times New Roman" w:hAnsi="Times New Roman" w:cs="Times New Roman"/>
          <w:sz w:val="28"/>
          <w:szCs w:val="28"/>
        </w:rPr>
        <w:t>Реєстру ліцензій на здійснення господарської діяльності з управління небезпечними відходами;</w:t>
      </w:r>
    </w:p>
    <w:p w14:paraId="1827C335" w14:textId="77777777" w:rsidR="00FF4C94" w:rsidRPr="00DD35A1" w:rsidRDefault="00FF4C94" w:rsidP="00FF4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1">
        <w:rPr>
          <w:rFonts w:ascii="Times New Roman" w:eastAsia="Times New Roman" w:hAnsi="Times New Roman" w:cs="Times New Roman"/>
          <w:sz w:val="28"/>
          <w:szCs w:val="28"/>
        </w:rPr>
        <w:t>Реєстру письмових згод (повідомлень) на транскордонне перевезення небезпечних відходів та висновків на транскордонне перевезення відходів;</w:t>
      </w:r>
    </w:p>
    <w:p w14:paraId="533D8EF0" w14:textId="77777777" w:rsidR="00FF4C94" w:rsidRPr="00DD35A1" w:rsidRDefault="00FF4C94" w:rsidP="00FF4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1">
        <w:rPr>
          <w:rFonts w:ascii="Times New Roman" w:eastAsia="Times New Roman" w:hAnsi="Times New Roman" w:cs="Times New Roman"/>
          <w:sz w:val="28"/>
          <w:szCs w:val="28"/>
        </w:rPr>
        <w:t>Реєстру виробників продукції, щодо якої встановлено розширену відповідальність виробника;</w:t>
      </w:r>
    </w:p>
    <w:p w14:paraId="7BE0135B" w14:textId="77777777" w:rsidR="00FF4C94" w:rsidRPr="00DD35A1" w:rsidRDefault="00FF4C94" w:rsidP="00FF4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1">
        <w:rPr>
          <w:rFonts w:ascii="Times New Roman" w:eastAsia="Times New Roman" w:hAnsi="Times New Roman" w:cs="Times New Roman"/>
          <w:sz w:val="28"/>
          <w:szCs w:val="28"/>
        </w:rPr>
        <w:t>Реєстру організацій розширеної відповідальності виробника;</w:t>
      </w:r>
    </w:p>
    <w:p w14:paraId="44FA88F3" w14:textId="77777777" w:rsidR="00FF4C94" w:rsidRPr="00DD35A1" w:rsidRDefault="00FF4C94" w:rsidP="00FF4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1">
        <w:rPr>
          <w:rFonts w:ascii="Times New Roman" w:eastAsia="Times New Roman" w:hAnsi="Times New Roman" w:cs="Times New Roman"/>
          <w:sz w:val="28"/>
          <w:szCs w:val="28"/>
        </w:rPr>
        <w:t>Реєстру суб’єктів господарювання у сфері оброблення відходів;</w:t>
      </w:r>
    </w:p>
    <w:p w14:paraId="64485FC4" w14:textId="77777777" w:rsidR="00FF4C94" w:rsidRPr="00DD35A1" w:rsidRDefault="00FF4C94" w:rsidP="00FF4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1">
        <w:rPr>
          <w:rFonts w:ascii="Times New Roman" w:eastAsia="Times New Roman" w:hAnsi="Times New Roman" w:cs="Times New Roman"/>
          <w:sz w:val="28"/>
          <w:szCs w:val="28"/>
        </w:rPr>
        <w:t>інших реєстрів, визначених законодавством.</w:t>
      </w:r>
    </w:p>
    <w:p w14:paraId="4BD90C42" w14:textId="77777777" w:rsidR="00FF4C94" w:rsidRPr="00DD35A1" w:rsidRDefault="00FF4C94" w:rsidP="00FF4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1">
        <w:rPr>
          <w:rFonts w:ascii="Times New Roman" w:eastAsia="Times New Roman" w:hAnsi="Times New Roman" w:cs="Times New Roman"/>
          <w:sz w:val="28"/>
          <w:szCs w:val="28"/>
        </w:rPr>
        <w:t>Інформація та дані, що містяться в підсистемі реєстрів, крім випадків, встановлених законом, є відкритими та оприлюднюються у встановленому порядку у формі відкритих даних.</w:t>
      </w:r>
    </w:p>
    <w:p w14:paraId="14E53485" w14:textId="2A8741C7" w:rsidR="00FF4C94" w:rsidRPr="00DD35A1" w:rsidRDefault="00DF5D3A" w:rsidP="00FF4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1">
        <w:rPr>
          <w:rFonts w:ascii="Times New Roman" w:eastAsia="Times New Roman" w:hAnsi="Times New Roman" w:cs="Times New Roman"/>
          <w:sz w:val="28"/>
          <w:szCs w:val="28"/>
        </w:rPr>
        <w:lastRenderedPageBreak/>
        <w:t>Відповідно до Закону п</w:t>
      </w:r>
      <w:r w:rsidR="00FF4C94" w:rsidRPr="00DD35A1">
        <w:rPr>
          <w:rFonts w:ascii="Times New Roman" w:eastAsia="Times New Roman" w:hAnsi="Times New Roman" w:cs="Times New Roman"/>
          <w:sz w:val="28"/>
          <w:szCs w:val="28"/>
        </w:rPr>
        <w:t>орядок створення та адміністрування інформаційної системи управління відходами, порядок ведення реєстрів затверджуються Кабінетом Міністрів України.</w:t>
      </w:r>
    </w:p>
    <w:p w14:paraId="21F326D1" w14:textId="0C439772" w:rsidR="00DD35A1" w:rsidRPr="00DD35A1" w:rsidRDefault="00DD35A1" w:rsidP="00DD3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1"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r w:rsidR="00324E12">
        <w:rPr>
          <w:rFonts w:ascii="Times New Roman" w:eastAsia="Times New Roman" w:hAnsi="Times New Roman" w:cs="Times New Roman"/>
          <w:sz w:val="28"/>
          <w:szCs w:val="28"/>
        </w:rPr>
        <w:t xml:space="preserve">також </w:t>
      </w:r>
      <w:r w:rsidRPr="00DD35A1">
        <w:rPr>
          <w:rFonts w:ascii="Times New Roman" w:eastAsia="Times New Roman" w:hAnsi="Times New Roman" w:cs="Times New Roman"/>
          <w:sz w:val="28"/>
          <w:szCs w:val="28"/>
        </w:rPr>
        <w:t>передбач</w:t>
      </w:r>
      <w:r w:rsidR="00E15C6D">
        <w:rPr>
          <w:rFonts w:ascii="Times New Roman" w:eastAsia="Times New Roman" w:hAnsi="Times New Roman" w:cs="Times New Roman"/>
          <w:sz w:val="28"/>
          <w:szCs w:val="28"/>
        </w:rPr>
        <w:t>ається</w:t>
      </w:r>
      <w:r w:rsidRPr="00DD35A1">
        <w:rPr>
          <w:rFonts w:ascii="Times New Roman" w:eastAsia="Times New Roman" w:hAnsi="Times New Roman" w:cs="Times New Roman"/>
          <w:sz w:val="28"/>
          <w:szCs w:val="28"/>
        </w:rPr>
        <w:t>, що с</w:t>
      </w:r>
      <w:r w:rsidRPr="00DD35A1">
        <w:rPr>
          <w:rFonts w:ascii="Times New Roman" w:eastAsia="Times New Roman" w:hAnsi="Times New Roman" w:cs="Times New Roman"/>
          <w:sz w:val="28"/>
          <w:szCs w:val="28"/>
        </w:rPr>
        <w:t>уб’єкти господарювання у сфері управління відходами зобов’язані</w:t>
      </w:r>
      <w:r w:rsidRPr="00DD35A1">
        <w:rPr>
          <w:rFonts w:ascii="Times New Roman" w:eastAsia="Times New Roman" w:hAnsi="Times New Roman" w:cs="Times New Roman"/>
          <w:sz w:val="28"/>
          <w:szCs w:val="28"/>
        </w:rPr>
        <w:t xml:space="preserve">, зокрема </w:t>
      </w:r>
      <w:r w:rsidRPr="00DD35A1">
        <w:rPr>
          <w:rFonts w:ascii="Times New Roman" w:eastAsia="Times New Roman" w:hAnsi="Times New Roman" w:cs="Times New Roman"/>
          <w:sz w:val="28"/>
          <w:szCs w:val="28"/>
        </w:rPr>
        <w:t>вести облік відходів, що утворилися у результаті їхньої діяльності чи були отримані від інших суб’єктів господарювання, облік операцій з управління відходами та подавати звітність відповідно до закону</w:t>
      </w:r>
      <w:r w:rsidRPr="00DD35A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35A1">
        <w:t xml:space="preserve"> </w:t>
      </w:r>
      <w:r w:rsidRPr="00DD35A1">
        <w:rPr>
          <w:rFonts w:ascii="Times New Roman" w:eastAsia="Times New Roman" w:hAnsi="Times New Roman" w:cs="Times New Roman"/>
          <w:sz w:val="28"/>
          <w:szCs w:val="28"/>
        </w:rPr>
        <w:t>Для здійснення обліку відходів та операцій з управління відходами, суб’єкти господарювання, які в результаті господарської діяльності є утворювачами та/або власниками відходів, зобов’язані вести облік утворення відходів та здійснення операцій з управління відходами в електронному вигляді.</w:t>
      </w:r>
    </w:p>
    <w:p w14:paraId="5360BAE6" w14:textId="2AD4DB5D" w:rsidR="00EC62EC" w:rsidRDefault="00DF5D3A" w:rsidP="00904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Також </w:t>
      </w:r>
      <w:r w:rsidR="009041D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</w:t>
      </w:r>
      <w:r w:rsidR="0090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41D9" w:rsidRPr="009041D9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90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передбачено, що </w:t>
      </w:r>
      <w:r w:rsidR="009041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041D9" w:rsidRPr="009041D9">
        <w:rPr>
          <w:rFonts w:ascii="Times New Roman" w:eastAsia="Times New Roman" w:hAnsi="Times New Roman" w:cs="Times New Roman"/>
          <w:color w:val="000000"/>
          <w:sz w:val="28"/>
          <w:szCs w:val="28"/>
        </w:rPr>
        <w:t>уб’єкти господарювання, які мають намір здійснювати або здійснюють діяльність у сфері оброблення відходів, зобов’язані створити обліковий запис в інформаційній системі управління відходами та внести до системи визначені законодавством необхідні відомості.</w:t>
      </w:r>
    </w:p>
    <w:p w14:paraId="42F03912" w14:textId="2B300161" w:rsidR="008622C1" w:rsidRDefault="008622C1" w:rsidP="00862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Тобто, на сьогодні всі права та обов’язки суб’єктів господарювання у сфері управління відходами встановлені Законом, який набирає чинності з 09 липня 2023 року. Поряд з цим, відповідно до частини 8 Прикінцевих та перехідних положень Закону </w:t>
      </w:r>
      <w:r w:rsidRPr="008622C1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 Міністрів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має, зокрема, </w:t>
      </w:r>
      <w:r w:rsidRPr="008622C1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 прийняття нормативно-правових актів, необхідних для реалізації цього Закону, до моменту набрання чинності цим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E2F4C8A" w14:textId="641A38D2" w:rsidR="00591790" w:rsidRDefault="00FE2137" w:rsidP="00DF5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Тому, з метою підвищення якості надання адміністративних послуг з </w:t>
      </w:r>
      <w:r w:rsidR="00172967" w:rsidRPr="00DF5D3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 відходами, надання громадянам вільного доступу до інформації про стан довкілля, існуючі екологічні ризики/загрози в сфері управління відходами; підвищення ефективності державного управління в питаннях управління відходами та запобігання надзвичайним ситуаціям техногенного та природного характеру, що є причиною безконтрольних операцій відходами; формування єдиної цифрової геоінформаційної інфраструктури органів державної влади та органів місцевого самоврядування для виконання їх повноважень у сфері охорони навколишнього природного середовища, що пов'язані з управлінням відходами; оптимізація інформаційних взаємозв’язків між дозвільними, контролюючими, звітними, моніторинговими та іншими інформаційними ресурсами у сфері управління відходами; впровадження ефективних превентивних механізмів запобігання та протидії корупції, зменшення впливу корупційних ризиків і посилення громадського контролю за діяльністю органів державної влади та органів місцевого самоврядування у сфері поводження з відходами; впровадження комплексного підходу та механізмів автоматизованої інтегральної оцінки даних про суб’єктів управління відходами, які в процесі своєї діяльності використовують природні ресурси та спричиняють вплив на довкілля</w:t>
      </w:r>
      <w:r w:rsidRPr="00DF5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Міністерством захисту довкілля та природних ресурсів розроблено проєкт постанови Кабінету Міністрів України «Про затвердження Порядку </w:t>
      </w:r>
      <w:r w:rsidR="00172967" w:rsidRPr="00DF5D3A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 та адміністрування інформаційної системи управління відходами</w:t>
      </w:r>
      <w:r w:rsidRPr="00DF5D3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5D02C5B3" w14:textId="06169167" w:rsidR="00482C54" w:rsidRPr="00DF5D3A" w:rsidRDefault="00482C54" w:rsidP="00DF5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981CB4" w14:textId="77777777" w:rsidR="00591790" w:rsidRDefault="00591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9205AC" w14:textId="77777777" w:rsidR="00591790" w:rsidRDefault="00FE2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Основні групи (підгрупи), на які проблема має вплив:</w:t>
      </w:r>
    </w:p>
    <w:p w14:paraId="39F080FC" w14:textId="77777777" w:rsidR="00591790" w:rsidRDefault="0059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e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3244"/>
        <w:gridCol w:w="1560"/>
      </w:tblGrid>
      <w:tr w:rsidR="00591790" w14:paraId="30690C95" w14:textId="77777777">
        <w:tc>
          <w:tcPr>
            <w:tcW w:w="4689" w:type="dxa"/>
          </w:tcPr>
          <w:p w14:paraId="5A9113CB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 (підгрупи)</w:t>
            </w:r>
          </w:p>
        </w:tc>
        <w:tc>
          <w:tcPr>
            <w:tcW w:w="3244" w:type="dxa"/>
          </w:tcPr>
          <w:p w14:paraId="0AB14132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560" w:type="dxa"/>
          </w:tcPr>
          <w:p w14:paraId="4D1EC499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591790" w14:paraId="1492AD5F" w14:textId="77777777">
        <w:tc>
          <w:tcPr>
            <w:tcW w:w="4689" w:type="dxa"/>
          </w:tcPr>
          <w:p w14:paraId="4914724A" w14:textId="77777777" w:rsidR="00591790" w:rsidRDefault="00FE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3244" w:type="dxa"/>
          </w:tcPr>
          <w:p w14:paraId="307169A2" w14:textId="77777777" w:rsidR="00591790" w:rsidRDefault="001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14:paraId="09EE4326" w14:textId="77777777" w:rsidR="00591790" w:rsidRDefault="001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1790" w14:paraId="3BD99320" w14:textId="77777777">
        <w:tc>
          <w:tcPr>
            <w:tcW w:w="4689" w:type="dxa"/>
          </w:tcPr>
          <w:p w14:paraId="5A11E190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Держава</w:t>
            </w:r>
          </w:p>
        </w:tc>
        <w:tc>
          <w:tcPr>
            <w:tcW w:w="3244" w:type="dxa"/>
          </w:tcPr>
          <w:p w14:paraId="7B073929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14:paraId="5F28D0A8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1790" w14:paraId="70A2234E" w14:textId="77777777">
        <w:tc>
          <w:tcPr>
            <w:tcW w:w="4689" w:type="dxa"/>
          </w:tcPr>
          <w:p w14:paraId="24EE0127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 господарювання,</w:t>
            </w:r>
          </w:p>
        </w:tc>
        <w:tc>
          <w:tcPr>
            <w:tcW w:w="3244" w:type="dxa"/>
          </w:tcPr>
          <w:p w14:paraId="59AEF66E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14:paraId="2830BBD2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1790" w14:paraId="5B90ECC7" w14:textId="77777777">
        <w:tc>
          <w:tcPr>
            <w:tcW w:w="4689" w:type="dxa"/>
          </w:tcPr>
          <w:p w14:paraId="17315422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тому числі суб’єкти малого підприємництва</w:t>
            </w:r>
          </w:p>
        </w:tc>
        <w:tc>
          <w:tcPr>
            <w:tcW w:w="3244" w:type="dxa"/>
          </w:tcPr>
          <w:p w14:paraId="5A756C4C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65C8988B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61D877CA" w14:textId="77777777" w:rsidR="00591790" w:rsidRDefault="00591790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87876FE" w14:textId="77777777" w:rsidR="00591790" w:rsidRDefault="00FE2137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Врегулювання зазначених проблемних питань не може бути здійснено за допомогою:</w:t>
      </w:r>
    </w:p>
    <w:p w14:paraId="5079DCB8" w14:textId="77777777" w:rsidR="00591790" w:rsidRDefault="00FE2137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ринкових механізмів, оскільки такі питання регулюються виключно нормативно-правовими актами;</w:t>
      </w:r>
    </w:p>
    <w:p w14:paraId="6E154EA4" w14:textId="77777777" w:rsidR="00591790" w:rsidRDefault="00FE2137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діючих регуляторних актів, оскільки чинним законодавством порушені питання не врегульовані. </w:t>
      </w:r>
    </w:p>
    <w:p w14:paraId="4276D493" w14:textId="77777777" w:rsidR="00591790" w:rsidRDefault="0059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3C5F3ED" w14:textId="77777777" w:rsidR="00591790" w:rsidRDefault="00FE2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ІІ. Цілі державного регулювання  </w:t>
      </w:r>
    </w:p>
    <w:p w14:paraId="3C2BB3D9" w14:textId="77777777" w:rsidR="00591790" w:rsidRDefault="00591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9F631F" w14:textId="2B14019B" w:rsidR="00591790" w:rsidRDefault="00FE2137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Основними цілями державного регулювання є: </w:t>
      </w:r>
    </w:p>
    <w:p w14:paraId="398E672F" w14:textId="77777777" w:rsidR="005F77B5" w:rsidRDefault="005F77B5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B030B35" w14:textId="12077661" w:rsidR="005F77B5" w:rsidRDefault="005F77B5" w:rsidP="005F77B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B5">
        <w:rPr>
          <w:rFonts w:ascii="Times New Roman" w:eastAsia="Times New Roman" w:hAnsi="Times New Roman" w:cs="Times New Roman"/>
          <w:sz w:val="28"/>
          <w:szCs w:val="28"/>
        </w:rPr>
        <w:t>забезпечення прозорості даних у сфері поводження з відходами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5514A5" w14:textId="43F7951D" w:rsidR="005F77B5" w:rsidRPr="005F77B5" w:rsidRDefault="00CA2859" w:rsidP="005F77B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забезпечення належного контролю за операціями з відходами;</w:t>
      </w:r>
    </w:p>
    <w:p w14:paraId="0C59F112" w14:textId="77777777" w:rsidR="00591790" w:rsidRPr="005F77B5" w:rsidRDefault="00FE21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B5">
        <w:rPr>
          <w:rFonts w:ascii="Times New Roman" w:eastAsia="Times New Roman" w:hAnsi="Times New Roman" w:cs="Times New Roman"/>
          <w:sz w:val="28"/>
          <w:szCs w:val="28"/>
        </w:rPr>
        <w:t>зменшення фінансових та часових витрат бізнесу на 80%;</w:t>
      </w:r>
    </w:p>
    <w:p w14:paraId="7E17F41C" w14:textId="4CC6AE12" w:rsidR="005F77B5" w:rsidRDefault="005F77B5" w:rsidP="005F77B5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B5">
        <w:rPr>
          <w:rFonts w:ascii="Times New Roman" w:eastAsia="Times New Roman" w:hAnsi="Times New Roman" w:cs="Times New Roman"/>
          <w:sz w:val="28"/>
          <w:szCs w:val="28"/>
        </w:rPr>
        <w:t>зниження негативних наслідків від діяльності з управління відходами</w:t>
      </w:r>
      <w:r w:rsidR="00CA285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10C55F" w14:textId="3AF768B5" w:rsidR="00CA2859" w:rsidRPr="00FF4C94" w:rsidRDefault="00CA2859" w:rsidP="005F77B5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зменшення корупційних ризиків.</w:t>
      </w:r>
    </w:p>
    <w:p w14:paraId="1FEA826C" w14:textId="77777777" w:rsidR="00591790" w:rsidRPr="008219AD" w:rsidRDefault="0059179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29A30CC" w14:textId="77777777" w:rsidR="00591790" w:rsidRDefault="0059179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4EA121" w14:textId="77777777" w:rsidR="00591790" w:rsidRDefault="00FE2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ІІІ. Визначення та оцінка альтернативних способів досягнення цілей</w:t>
      </w:r>
    </w:p>
    <w:p w14:paraId="1388507A" w14:textId="77777777" w:rsidR="00591790" w:rsidRDefault="005917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84087F" w14:textId="77777777" w:rsidR="00591790" w:rsidRDefault="00FE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Визначення альтернативних способів.</w:t>
      </w:r>
    </w:p>
    <w:p w14:paraId="3746E879" w14:textId="77777777" w:rsidR="00591790" w:rsidRDefault="0059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ff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776"/>
      </w:tblGrid>
      <w:tr w:rsidR="00591790" w14:paraId="78F1D162" w14:textId="77777777">
        <w:tc>
          <w:tcPr>
            <w:tcW w:w="2830" w:type="dxa"/>
            <w:vAlign w:val="center"/>
          </w:tcPr>
          <w:p w14:paraId="36513902" w14:textId="77777777" w:rsidR="00591790" w:rsidRDefault="00FE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альтернативи</w:t>
            </w:r>
          </w:p>
          <w:p w14:paraId="6504CD67" w14:textId="77777777" w:rsidR="00591790" w:rsidRDefault="0059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6" w:type="dxa"/>
          </w:tcPr>
          <w:p w14:paraId="0448D3CB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 альтернативи</w:t>
            </w:r>
          </w:p>
        </w:tc>
      </w:tr>
      <w:tr w:rsidR="00591790" w14:paraId="1731D402" w14:textId="77777777">
        <w:tc>
          <w:tcPr>
            <w:tcW w:w="2830" w:type="dxa"/>
          </w:tcPr>
          <w:p w14:paraId="6FFA971B" w14:textId="77777777" w:rsidR="00591790" w:rsidRDefault="00FE2137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Альтернатива 1.</w:t>
            </w:r>
          </w:p>
          <w:p w14:paraId="7B83E668" w14:textId="77777777" w:rsidR="00591790" w:rsidRDefault="00FE2137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Залишення чинного регулювання</w:t>
            </w:r>
          </w:p>
          <w:p w14:paraId="0E2B30E0" w14:textId="77777777" w:rsidR="00591790" w:rsidRDefault="00591790">
            <w:pPr>
              <w:widowControl w:val="0"/>
              <w:tabs>
                <w:tab w:val="left" w:pos="990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6" w:type="dxa"/>
          </w:tcPr>
          <w:p w14:paraId="29FEB60D" w14:textId="77777777" w:rsidR="00591790" w:rsidRDefault="00FE2137">
            <w:pPr>
              <w:tabs>
                <w:tab w:val="left" w:pos="851"/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Така альтернатива досягнення цілей державного регулювання не дозволить вирішити проблеми, зазначені у розділ 1 Аналізу, а також не дозволить досягти цілей державного регулювання, спрямованих, зокрема, на:</w:t>
            </w:r>
          </w:p>
          <w:p w14:paraId="2B9ADECD" w14:textId="77777777" w:rsidR="00546D15" w:rsidRPr="00020527" w:rsidRDefault="00546D15" w:rsidP="00546D15">
            <w:pPr>
              <w:pStyle w:val="a8"/>
              <w:ind w:firstLine="567"/>
              <w:rPr>
                <w:szCs w:val="28"/>
              </w:rPr>
            </w:pPr>
            <w:bookmarkStart w:id="3" w:name="_Hlk118274098"/>
            <w:r w:rsidRPr="00020527">
              <w:rPr>
                <w:szCs w:val="28"/>
              </w:rPr>
              <w:t>надання громадянам вільного доступу до інформації про стан довкілля, існуючі екологічні ризики/загрози в сфері управління відходами;</w:t>
            </w:r>
          </w:p>
          <w:p w14:paraId="6F621C49" w14:textId="77777777" w:rsidR="00546D15" w:rsidRPr="00020527" w:rsidRDefault="00546D15" w:rsidP="00546D15">
            <w:pPr>
              <w:pStyle w:val="a8"/>
              <w:ind w:firstLine="567"/>
              <w:rPr>
                <w:szCs w:val="28"/>
              </w:rPr>
            </w:pPr>
            <w:r w:rsidRPr="00020527">
              <w:rPr>
                <w:szCs w:val="28"/>
              </w:rPr>
              <w:lastRenderedPageBreak/>
              <w:t xml:space="preserve">підвищення ефективності державного управління в питаннях управління відходами та запобігання надзвичайним ситуаціям техногенного та природного характеру, що є причиною безконтрольних операцій відходами; </w:t>
            </w:r>
          </w:p>
          <w:p w14:paraId="21E4171B" w14:textId="77777777" w:rsidR="00546D15" w:rsidRPr="00020527" w:rsidRDefault="00546D15" w:rsidP="00546D15">
            <w:pPr>
              <w:pStyle w:val="a8"/>
              <w:ind w:firstLine="567"/>
              <w:rPr>
                <w:szCs w:val="28"/>
              </w:rPr>
            </w:pPr>
            <w:r w:rsidRPr="00020527">
              <w:rPr>
                <w:szCs w:val="28"/>
              </w:rPr>
              <w:t>формування єдиної цифрової геоінформаційної інфраструктури органів державної влади та органів місцевого самоврядування для виконання їх повноважень у сфері охорони навколишнього природного середовища, що пов'язані з управлінням відходами;</w:t>
            </w:r>
          </w:p>
          <w:p w14:paraId="46572094" w14:textId="77777777" w:rsidR="00546D15" w:rsidRPr="00020527" w:rsidRDefault="00546D15" w:rsidP="00546D15">
            <w:pPr>
              <w:pStyle w:val="a8"/>
              <w:ind w:firstLine="567"/>
              <w:rPr>
                <w:szCs w:val="28"/>
              </w:rPr>
            </w:pPr>
            <w:r w:rsidRPr="00020527">
              <w:rPr>
                <w:szCs w:val="28"/>
              </w:rPr>
              <w:t>впровадження ефективних превентивних механізмів запобігання та протидії корупції, зменшення впливу корупційних ризиків і посилення громадського контролю за діяльністю органів державної влади та органів місцевого самоврядування</w:t>
            </w:r>
            <w:r>
              <w:rPr>
                <w:szCs w:val="28"/>
              </w:rPr>
              <w:t xml:space="preserve"> у сфері поводження з відходами.</w:t>
            </w:r>
          </w:p>
          <w:bookmarkEnd w:id="3"/>
          <w:p w14:paraId="1789A955" w14:textId="77777777" w:rsidR="00591790" w:rsidRDefault="0059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1790" w14:paraId="75882F55" w14:textId="77777777">
        <w:tc>
          <w:tcPr>
            <w:tcW w:w="2830" w:type="dxa"/>
          </w:tcPr>
          <w:p w14:paraId="6D9F180E" w14:textId="77777777" w:rsidR="00591790" w:rsidRDefault="00FE2137">
            <w:pPr>
              <w:widowControl w:val="0"/>
              <w:tabs>
                <w:tab w:val="left" w:pos="990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Альтернатива 2.</w:t>
            </w:r>
          </w:p>
          <w:p w14:paraId="0B6ACE4B" w14:textId="77777777" w:rsidR="00591790" w:rsidRDefault="00FE2137">
            <w:pPr>
              <w:widowControl w:val="0"/>
              <w:tabs>
                <w:tab w:val="left" w:pos="990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Розроблення </w:t>
            </w:r>
            <w:r w:rsidR="00546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Порядку </w:t>
            </w:r>
            <w:r w:rsidR="00546D15" w:rsidRPr="00546D15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 та адміністрування інформаційної системи управління відходами</w:t>
            </w:r>
          </w:p>
          <w:p w14:paraId="1B78DACE" w14:textId="77777777" w:rsidR="00591790" w:rsidRDefault="00591790">
            <w:pPr>
              <w:widowControl w:val="0"/>
              <w:tabs>
                <w:tab w:val="left" w:pos="990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6" w:type="dxa"/>
          </w:tcPr>
          <w:p w14:paraId="066ED639" w14:textId="77777777" w:rsidR="00546D15" w:rsidRDefault="00FE2137">
            <w:pPr>
              <w:shd w:val="clear" w:color="auto" w:fill="FFFFFF"/>
              <w:tabs>
                <w:tab w:val="left" w:pos="604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Альтернатива передбачає розроблення та затвердження Порядку </w:t>
            </w:r>
            <w:r w:rsidR="00546D15" w:rsidRPr="0054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створення та адміністрування інформаційної системи управління відходами</w:t>
            </w:r>
            <w:r w:rsidR="0054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651D03D3" w14:textId="77777777" w:rsidR="00546D15" w:rsidRPr="00020527" w:rsidRDefault="00FE2137" w:rsidP="00546D15">
            <w:pPr>
              <w:pStyle w:val="a8"/>
              <w:ind w:firstLine="567"/>
              <w:rPr>
                <w:szCs w:val="28"/>
              </w:rPr>
            </w:pPr>
            <w:r>
              <w:rPr>
                <w:rFonts w:cs="Times New Roman"/>
                <w:szCs w:val="28"/>
              </w:rPr>
              <w:t>Даний порядок передбачатиме</w:t>
            </w:r>
            <w:r w:rsidR="00546D15">
              <w:rPr>
                <w:szCs w:val="28"/>
              </w:rPr>
              <w:t>:</w:t>
            </w:r>
          </w:p>
          <w:p w14:paraId="25289B8F" w14:textId="3A516251" w:rsidR="00546D15" w:rsidRPr="00020527" w:rsidRDefault="00546D15" w:rsidP="00546D15">
            <w:pPr>
              <w:pStyle w:val="a8"/>
              <w:tabs>
                <w:tab w:val="left" w:pos="1680"/>
                <w:tab w:val="left" w:pos="3517"/>
                <w:tab w:val="left" w:pos="4464"/>
                <w:tab w:val="left" w:pos="5531"/>
                <w:tab w:val="left" w:pos="6891"/>
                <w:tab w:val="left" w:pos="8334"/>
                <w:tab w:val="left" w:pos="8770"/>
              </w:tabs>
              <w:ind w:firstLine="567"/>
              <w:rPr>
                <w:szCs w:val="28"/>
              </w:rPr>
            </w:pPr>
            <w:r w:rsidRPr="00020527">
              <w:rPr>
                <w:szCs w:val="28"/>
              </w:rPr>
              <w:t xml:space="preserve">впровадження сучасної </w:t>
            </w:r>
            <w:r>
              <w:rPr>
                <w:szCs w:val="28"/>
              </w:rPr>
              <w:t>інформацій системи управління відходами</w:t>
            </w:r>
            <w:r w:rsidRPr="00020527">
              <w:rPr>
                <w:szCs w:val="28"/>
              </w:rPr>
              <w:t xml:space="preserve"> відповідно до найкращих Європейських практик забезпечить скорочення обсягів споживання природних ресурсів за рахунок стимулюванню суб’єктів господарювання до провадження виробничої діяльності з використанням безвідходних та екологічно безпечних технологій;- створення системи інформаційного забезпечення управління відходами, удосконалення порядку ведення обліку відходів, інформування про розташування місць чи об’єктів управління відходами, їх вплив на стан навколишнього природного середовища і здоров’я людини;</w:t>
            </w:r>
          </w:p>
          <w:p w14:paraId="21E471A0" w14:textId="2443F109" w:rsidR="00546D15" w:rsidRPr="00020527" w:rsidRDefault="00546D15" w:rsidP="00546D15">
            <w:pPr>
              <w:pStyle w:val="a8"/>
              <w:tabs>
                <w:tab w:val="left" w:pos="1680"/>
                <w:tab w:val="left" w:pos="3517"/>
                <w:tab w:val="left" w:pos="4464"/>
                <w:tab w:val="left" w:pos="5531"/>
                <w:tab w:val="left" w:pos="6891"/>
                <w:tab w:val="left" w:pos="8334"/>
                <w:tab w:val="left" w:pos="8770"/>
              </w:tabs>
              <w:ind w:firstLine="567"/>
              <w:rPr>
                <w:szCs w:val="28"/>
              </w:rPr>
            </w:pPr>
            <w:r w:rsidRPr="00020527">
              <w:rPr>
                <w:szCs w:val="28"/>
              </w:rPr>
              <w:t>спрощення дозвільних та ліцензійних процедур у сфері управління відходами, подання декларацій про відходи;</w:t>
            </w:r>
          </w:p>
          <w:p w14:paraId="53E7D533" w14:textId="7822B11B" w:rsidR="00546D15" w:rsidRPr="00020527" w:rsidRDefault="00546D15" w:rsidP="00546D15">
            <w:pPr>
              <w:pStyle w:val="a8"/>
              <w:tabs>
                <w:tab w:val="left" w:pos="1680"/>
                <w:tab w:val="left" w:pos="3517"/>
                <w:tab w:val="left" w:pos="4464"/>
                <w:tab w:val="left" w:pos="5531"/>
                <w:tab w:val="left" w:pos="6891"/>
                <w:tab w:val="left" w:pos="8334"/>
                <w:tab w:val="left" w:pos="8770"/>
              </w:tabs>
              <w:ind w:firstLine="567"/>
              <w:rPr>
                <w:szCs w:val="28"/>
              </w:rPr>
            </w:pPr>
            <w:r w:rsidRPr="00020527">
              <w:rPr>
                <w:szCs w:val="28"/>
              </w:rPr>
              <w:t>запровадження онлайн моніторингу відстеження руху відходів у системі утворювач – перевізник - утилізатор;</w:t>
            </w:r>
          </w:p>
          <w:p w14:paraId="7FEAE9B4" w14:textId="748F3540" w:rsidR="00546D15" w:rsidRPr="00020527" w:rsidRDefault="00546D15" w:rsidP="00546D15">
            <w:pPr>
              <w:pStyle w:val="a8"/>
              <w:tabs>
                <w:tab w:val="left" w:pos="1680"/>
                <w:tab w:val="left" w:pos="3517"/>
                <w:tab w:val="left" w:pos="4464"/>
                <w:tab w:val="left" w:pos="5531"/>
                <w:tab w:val="left" w:pos="6891"/>
                <w:tab w:val="left" w:pos="8334"/>
                <w:tab w:val="left" w:pos="8770"/>
              </w:tabs>
              <w:ind w:firstLine="567"/>
              <w:rPr>
                <w:szCs w:val="28"/>
              </w:rPr>
            </w:pPr>
            <w:r w:rsidRPr="00020527">
              <w:rPr>
                <w:szCs w:val="28"/>
              </w:rPr>
              <w:t xml:space="preserve">дотримання вимог екологічної безпеки під час експлуатації об’єктів управління  відходами і </w:t>
            </w:r>
            <w:r w:rsidRPr="00020527">
              <w:rPr>
                <w:szCs w:val="28"/>
              </w:rPr>
              <w:lastRenderedPageBreak/>
              <w:t>зниженню рівня соціальної напруги;</w:t>
            </w:r>
          </w:p>
          <w:p w14:paraId="721498F8" w14:textId="15FB4FB7" w:rsidR="00546D15" w:rsidRPr="00020527" w:rsidRDefault="00546D15" w:rsidP="00546D15">
            <w:pPr>
              <w:pStyle w:val="a8"/>
              <w:tabs>
                <w:tab w:val="left" w:pos="1680"/>
                <w:tab w:val="left" w:pos="3517"/>
                <w:tab w:val="left" w:pos="4464"/>
                <w:tab w:val="left" w:pos="5531"/>
                <w:tab w:val="left" w:pos="6891"/>
                <w:tab w:val="left" w:pos="8334"/>
                <w:tab w:val="left" w:pos="8770"/>
              </w:tabs>
              <w:ind w:firstLine="567"/>
              <w:rPr>
                <w:szCs w:val="28"/>
              </w:rPr>
            </w:pPr>
            <w:r w:rsidRPr="00020527">
              <w:rPr>
                <w:szCs w:val="28"/>
              </w:rPr>
              <w:t>сприяння залучення інвестицій у сферу управління відходами та створення сучасної інфраструктури управління відходами, за рахунок  доступу до реєстрів даних щодо обсягів збирання, заготівлі та оброблення відходів як вторинної сировини;</w:t>
            </w:r>
          </w:p>
          <w:p w14:paraId="1B3D6898" w14:textId="2CB1D3C5" w:rsidR="00546D15" w:rsidRPr="00020527" w:rsidRDefault="00546D15" w:rsidP="00546D15">
            <w:pPr>
              <w:pStyle w:val="a8"/>
              <w:tabs>
                <w:tab w:val="left" w:pos="1680"/>
                <w:tab w:val="left" w:pos="3517"/>
                <w:tab w:val="left" w:pos="4464"/>
                <w:tab w:val="left" w:pos="5531"/>
                <w:tab w:val="left" w:pos="6891"/>
                <w:tab w:val="left" w:pos="8334"/>
                <w:tab w:val="left" w:pos="8770"/>
              </w:tabs>
              <w:ind w:firstLine="567"/>
              <w:rPr>
                <w:szCs w:val="28"/>
              </w:rPr>
            </w:pPr>
            <w:r w:rsidRPr="00020527">
              <w:rPr>
                <w:szCs w:val="28"/>
              </w:rPr>
              <w:t>запровадження новітніх технологій оброблення відходів, зменшення обсягів їх захоронення на полігонах;</w:t>
            </w:r>
          </w:p>
          <w:p w14:paraId="1DE2447F" w14:textId="0D0FA2DA" w:rsidR="00546D15" w:rsidRPr="00020527" w:rsidRDefault="00546D15" w:rsidP="00546D15">
            <w:pPr>
              <w:pStyle w:val="a8"/>
              <w:tabs>
                <w:tab w:val="left" w:pos="1680"/>
                <w:tab w:val="left" w:pos="3517"/>
                <w:tab w:val="left" w:pos="4464"/>
                <w:tab w:val="left" w:pos="5531"/>
                <w:tab w:val="left" w:pos="6891"/>
                <w:tab w:val="left" w:pos="8334"/>
                <w:tab w:val="left" w:pos="8770"/>
              </w:tabs>
              <w:ind w:firstLine="567"/>
              <w:rPr>
                <w:szCs w:val="28"/>
              </w:rPr>
            </w:pPr>
            <w:r w:rsidRPr="00020527">
              <w:rPr>
                <w:szCs w:val="28"/>
              </w:rPr>
              <w:t>зменшення кількості об’єктів управління відходами, що не відповідають вимогам законодавства, вивільнення земель після закриття полігонів та звалищ;</w:t>
            </w:r>
          </w:p>
          <w:p w14:paraId="0C6A753C" w14:textId="5EB2A475" w:rsidR="00546D15" w:rsidRPr="00020527" w:rsidRDefault="00546D15" w:rsidP="00546D15">
            <w:pPr>
              <w:pStyle w:val="a8"/>
              <w:tabs>
                <w:tab w:val="left" w:pos="1680"/>
                <w:tab w:val="left" w:pos="3517"/>
                <w:tab w:val="left" w:pos="4464"/>
                <w:tab w:val="left" w:pos="5531"/>
                <w:tab w:val="left" w:pos="6891"/>
                <w:tab w:val="left" w:pos="8334"/>
                <w:tab w:val="left" w:pos="8770"/>
              </w:tabs>
              <w:ind w:firstLine="567"/>
              <w:rPr>
                <w:szCs w:val="28"/>
              </w:rPr>
            </w:pPr>
            <w:r w:rsidRPr="00020527">
              <w:rPr>
                <w:szCs w:val="28"/>
              </w:rPr>
              <w:t>стимулювання суб’єктів господарювання до провадження виробничої діяльності з використанням безвідходних та екологічно безпечних технологій;</w:t>
            </w:r>
          </w:p>
          <w:p w14:paraId="6B204201" w14:textId="15EE8721" w:rsidR="00546D15" w:rsidRPr="00020527" w:rsidRDefault="00546D15" w:rsidP="00546D15">
            <w:pPr>
              <w:pStyle w:val="a8"/>
              <w:tabs>
                <w:tab w:val="left" w:pos="1680"/>
                <w:tab w:val="left" w:pos="3517"/>
                <w:tab w:val="left" w:pos="4464"/>
                <w:tab w:val="left" w:pos="5531"/>
                <w:tab w:val="left" w:pos="6891"/>
                <w:tab w:val="left" w:pos="8334"/>
                <w:tab w:val="left" w:pos="8770"/>
              </w:tabs>
              <w:ind w:firstLine="567"/>
              <w:rPr>
                <w:szCs w:val="28"/>
              </w:rPr>
            </w:pPr>
            <w:r w:rsidRPr="00020527">
              <w:rPr>
                <w:szCs w:val="28"/>
              </w:rPr>
              <w:t>додаткові надходження до бюджетів всіх рівнів завдяки легалізації операцій оброблення відходів;</w:t>
            </w:r>
          </w:p>
          <w:p w14:paraId="4F911DF1" w14:textId="1A3AB3EE" w:rsidR="00546D15" w:rsidRDefault="00546D15" w:rsidP="00546D15">
            <w:pPr>
              <w:pStyle w:val="a8"/>
              <w:tabs>
                <w:tab w:val="left" w:pos="1680"/>
                <w:tab w:val="left" w:pos="3517"/>
                <w:tab w:val="left" w:pos="4464"/>
                <w:tab w:val="left" w:pos="5531"/>
                <w:tab w:val="left" w:pos="6891"/>
                <w:tab w:val="left" w:pos="8334"/>
                <w:tab w:val="left" w:pos="8770"/>
              </w:tabs>
              <w:ind w:firstLine="567"/>
              <w:rPr>
                <w:szCs w:val="28"/>
              </w:rPr>
            </w:pPr>
            <w:r w:rsidRPr="00020527">
              <w:rPr>
                <w:szCs w:val="28"/>
              </w:rPr>
              <w:t>підвищення ефективності використання коштів державного та місцевих бюджетів для здійснення заходів у сфері управління відходами з метою запобігання негативному впливу на навколишнє природне середовище і здоров’я людини.</w:t>
            </w:r>
          </w:p>
          <w:p w14:paraId="7AA25282" w14:textId="6096FA8D" w:rsidR="00591790" w:rsidRDefault="008751AB" w:rsidP="00FA7A13">
            <w:pPr>
              <w:shd w:val="clear" w:color="auto" w:fill="FFFFFF"/>
              <w:tabs>
                <w:tab w:val="left" w:pos="604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FE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Така альтернатива є найбільш оптимальною, оскільки дозволить в повній мірі досягти цілей державного регулювання та спрямована на вирішення проблемних питань зазначених в розділі 1 даного аналізу.</w:t>
            </w:r>
            <w:r w:rsidR="008B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1015469" w14:textId="1C25487F" w:rsidR="00FA7A13" w:rsidRDefault="008751AB" w:rsidP="00FA7A13">
            <w:pPr>
              <w:shd w:val="clear" w:color="auto" w:fill="FFFFFF"/>
              <w:tabs>
                <w:tab w:val="left" w:pos="604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FA7A13" w:rsidRPr="00FA7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Дана альтернатива забезпечує економію коштів</w:t>
            </w:r>
            <w:r w:rsidR="00FA7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бізнесу на адміністрування дозвільно-ліцензійних процедур</w:t>
            </w:r>
            <w:r w:rsidR="00FA7A13" w:rsidRPr="00FA7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A7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більше </w:t>
            </w:r>
            <w:r w:rsidR="00FA7A13" w:rsidRPr="00FA7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млрд.грн. в рік.</w:t>
            </w:r>
          </w:p>
          <w:p w14:paraId="0160B18D" w14:textId="4078AFE9" w:rsidR="00CA2859" w:rsidRPr="00FA7A13" w:rsidRDefault="00CA2859" w:rsidP="00FA7A13">
            <w:pPr>
              <w:shd w:val="clear" w:color="auto" w:fill="FFFFFF"/>
              <w:tabs>
                <w:tab w:val="left" w:pos="604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48CCA2B" w14:textId="77777777" w:rsidR="00591790" w:rsidRDefault="0059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8347D0F" w14:textId="77777777" w:rsidR="00591790" w:rsidRDefault="00FE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Оцінка вибраних альтернативних способів досягнення цілей</w:t>
      </w:r>
    </w:p>
    <w:p w14:paraId="00AE6D16" w14:textId="77777777" w:rsidR="00591790" w:rsidRDefault="00591790">
      <w:pPr>
        <w:widowControl w:val="0"/>
        <w:tabs>
          <w:tab w:val="left" w:pos="99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E9BA727" w14:textId="77777777" w:rsidR="00591790" w:rsidRDefault="00FE2137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Оцінка впливу на сферу інтересів держави</w:t>
      </w:r>
    </w:p>
    <w:p w14:paraId="74686BEA" w14:textId="77777777" w:rsidR="00591790" w:rsidRDefault="00591790">
      <w:pPr>
        <w:widowControl w:val="0"/>
        <w:tabs>
          <w:tab w:val="left" w:pos="99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aff0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3005"/>
      </w:tblGrid>
      <w:tr w:rsidR="00591790" w14:paraId="43E0A1D7" w14:textId="77777777">
        <w:tc>
          <w:tcPr>
            <w:tcW w:w="2552" w:type="dxa"/>
            <w:vAlign w:val="center"/>
          </w:tcPr>
          <w:p w14:paraId="6500F920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альтернативи</w:t>
            </w:r>
          </w:p>
          <w:p w14:paraId="71622A0C" w14:textId="77777777" w:rsidR="00591790" w:rsidRDefault="0059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DF3FE00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005" w:type="dxa"/>
          </w:tcPr>
          <w:p w14:paraId="746438B6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591790" w14:paraId="6E599634" w14:textId="77777777">
        <w:tc>
          <w:tcPr>
            <w:tcW w:w="2552" w:type="dxa"/>
          </w:tcPr>
          <w:p w14:paraId="1BAD9B89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</w:t>
            </w:r>
          </w:p>
          <w:p w14:paraId="6E3495DB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7265F083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Відсутні.</w:t>
            </w:r>
          </w:p>
        </w:tc>
        <w:tc>
          <w:tcPr>
            <w:tcW w:w="3005" w:type="dxa"/>
          </w:tcPr>
          <w:p w14:paraId="4BC8B877" w14:textId="77777777" w:rsidR="00591790" w:rsidRDefault="0054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r w:rsidR="00FE21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1790" w14:paraId="0D3C60E2" w14:textId="77777777">
        <w:tc>
          <w:tcPr>
            <w:tcW w:w="2552" w:type="dxa"/>
          </w:tcPr>
          <w:p w14:paraId="7DE43515" w14:textId="77777777" w:rsidR="00591790" w:rsidRDefault="00FE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Альтернатива 2</w:t>
            </w:r>
          </w:p>
          <w:p w14:paraId="36D571EC" w14:textId="77777777" w:rsidR="00591790" w:rsidRDefault="00FE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358037FD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Передбачаються наступні вигоди для держави:</w:t>
            </w:r>
          </w:p>
          <w:p w14:paraId="12F0A2CE" w14:textId="3D2AEA48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покращення якості надання адміністративних послуг; </w:t>
            </w:r>
          </w:p>
          <w:p w14:paraId="34A26DA9" w14:textId="5E1C7191" w:rsidR="00591790" w:rsidRDefault="00FF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належний</w:t>
            </w:r>
            <w:r w:rsidR="00FE2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облік та моніторинг життєвого циклу відходів для аналізу, оперативного реагування, прогнозу, прийняття управлінських рішень, звітності та планування;</w:t>
            </w:r>
          </w:p>
          <w:p w14:paraId="5655C868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 прозорості даних у сфері поводження з відходами;</w:t>
            </w:r>
          </w:p>
          <w:p w14:paraId="33F619B8" w14:textId="77777777" w:rsidR="00591790" w:rsidRDefault="005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покращення іміджу держави;</w:t>
            </w:r>
          </w:p>
          <w:p w14:paraId="03457CD1" w14:textId="043DA21E" w:rsidR="00546D15" w:rsidRDefault="005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D15">
              <w:rPr>
                <w:rFonts w:ascii="Times New Roman" w:eastAsia="Times New Roman" w:hAnsi="Times New Roman" w:cs="Times New Roman"/>
                <w:sz w:val="28"/>
                <w:szCs w:val="28"/>
              </w:rPr>
              <w:t>зменшення кількості об’єктів управління відходами, що не відповідають вимогам законодавства</w:t>
            </w:r>
            <w:r w:rsidR="00E609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BD210A8" w14:textId="77777777" w:rsidR="00591790" w:rsidRDefault="0059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64D5AF62" w14:textId="56AB9F12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прогнозуються додаткових витрат, оскільки фінансування створення </w:t>
            </w:r>
            <w:r w:rsidR="00E6092B" w:rsidRPr="00E6092B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</w:t>
            </w:r>
            <w:r w:rsidR="00E6092B">
              <w:rPr>
                <w:rFonts w:ascii="Times New Roman" w:eastAsia="Times New Roman" w:hAnsi="Times New Roman" w:cs="Times New Roman"/>
                <w:sz w:val="28"/>
                <w:szCs w:val="28"/>
              </w:rPr>
              <w:t>ої</w:t>
            </w:r>
            <w:r w:rsidR="00E6092B" w:rsidRPr="00E60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</w:t>
            </w:r>
            <w:r w:rsidR="00E6092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E6092B" w:rsidRPr="00E60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управління відходами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здійснюватиметься в межах коштів, передбачених у Державному бюджеті України у відповідному році на фінансування органів влади та заходів з цифровізації державних послуг, а також за рахунок інших джерел, не заборонених законодавством.</w:t>
            </w:r>
          </w:p>
          <w:p w14:paraId="74B635D7" w14:textId="77777777" w:rsidR="00591790" w:rsidRDefault="0059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05D879B" w14:textId="77777777" w:rsidR="00591790" w:rsidRDefault="0059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14:paraId="7F28266A" w14:textId="77777777" w:rsidR="00591790" w:rsidRDefault="00FE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Оцінка впливу на сферу інтересів громадян: </w:t>
      </w:r>
    </w:p>
    <w:p w14:paraId="425699EF" w14:textId="77777777" w:rsidR="00591790" w:rsidRDefault="0059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1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969"/>
        <w:gridCol w:w="2948"/>
      </w:tblGrid>
      <w:tr w:rsidR="00591790" w14:paraId="5048994F" w14:textId="77777777">
        <w:tc>
          <w:tcPr>
            <w:tcW w:w="2689" w:type="dxa"/>
          </w:tcPr>
          <w:p w14:paraId="0F5C2F2F" w14:textId="77777777" w:rsidR="00591790" w:rsidRDefault="00FE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969" w:type="dxa"/>
          </w:tcPr>
          <w:p w14:paraId="5E8ACAE1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Вигоди</w:t>
            </w:r>
          </w:p>
          <w:p w14:paraId="0D960B68" w14:textId="77777777" w:rsidR="00591790" w:rsidRDefault="0059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14:paraId="50405D50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591790" w14:paraId="5CB74836" w14:textId="77777777">
        <w:tc>
          <w:tcPr>
            <w:tcW w:w="2689" w:type="dxa"/>
          </w:tcPr>
          <w:p w14:paraId="0C2E3DF9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</w:t>
            </w:r>
          </w:p>
          <w:p w14:paraId="650C3DDD" w14:textId="77777777" w:rsidR="00591790" w:rsidRDefault="00FE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21AE4145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Відсутні.</w:t>
            </w:r>
          </w:p>
          <w:p w14:paraId="350AC2D1" w14:textId="77777777" w:rsidR="00591790" w:rsidRDefault="0059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14:paraId="78E0A217" w14:textId="0E1C7244" w:rsidR="00591790" w:rsidRDefault="00E1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Існують витрати, п</w:t>
            </w:r>
            <w:r w:rsidR="00E6092B">
              <w:rPr>
                <w:rFonts w:ascii="Times New Roman" w:eastAsia="Times New Roman" w:hAnsi="Times New Roman" w:cs="Times New Roman"/>
                <w:sz w:val="28"/>
                <w:szCs w:val="28"/>
              </w:rPr>
              <w:t>ов’язані із необхідністю отримання інформації про стан довкілля з різних джерел.</w:t>
            </w:r>
          </w:p>
        </w:tc>
      </w:tr>
      <w:tr w:rsidR="00591790" w14:paraId="47EB6C28" w14:textId="77777777">
        <w:tc>
          <w:tcPr>
            <w:tcW w:w="2689" w:type="dxa"/>
          </w:tcPr>
          <w:p w14:paraId="7E5A2332" w14:textId="77777777" w:rsidR="00591790" w:rsidRDefault="00FE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</w:t>
            </w:r>
          </w:p>
          <w:p w14:paraId="63051E5D" w14:textId="77777777" w:rsidR="00591790" w:rsidRDefault="00FE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566AB086" w14:textId="5CF93BFB" w:rsidR="00591790" w:rsidRDefault="005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46D15">
              <w:rPr>
                <w:rFonts w:ascii="Times New Roman" w:eastAsia="Times New Roman" w:hAnsi="Times New Roman" w:cs="Times New Roman"/>
                <w:sz w:val="28"/>
                <w:szCs w:val="28"/>
              </w:rPr>
              <w:t>адання громадянам вільного доступу до інформації про стан довкілля, існуючі екологічні ризики/загрози в сфері управління відходами</w:t>
            </w:r>
            <w:r w:rsidR="007E0E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8" w:type="dxa"/>
          </w:tcPr>
          <w:p w14:paraId="5602DD3E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Відсутні.</w:t>
            </w:r>
          </w:p>
          <w:p w14:paraId="46EE8830" w14:textId="77777777" w:rsidR="00591790" w:rsidRDefault="0059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DA128C1" w14:textId="77777777" w:rsidR="00591790" w:rsidRDefault="0059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AA52F02" w14:textId="77777777" w:rsidR="00546D15" w:rsidRDefault="00546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E0930B9" w14:textId="77777777" w:rsidR="00546D15" w:rsidRDefault="00546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19F109B" w14:textId="77777777" w:rsidR="00546D15" w:rsidRDefault="00546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E4CFD9F" w14:textId="77777777" w:rsidR="00591790" w:rsidRDefault="00FE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Оцінка впливу на сферу інтересів суб’єктів господарювання:</w:t>
      </w:r>
    </w:p>
    <w:p w14:paraId="4AAAAB81" w14:textId="77777777" w:rsidR="00591790" w:rsidRDefault="0059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1392"/>
        <w:gridCol w:w="1170"/>
        <w:gridCol w:w="1260"/>
        <w:gridCol w:w="1980"/>
        <w:gridCol w:w="1533"/>
      </w:tblGrid>
      <w:tr w:rsidR="0076752E" w:rsidRPr="0076752E" w14:paraId="65B12DCD" w14:textId="77777777" w:rsidTr="008E5441">
        <w:trPr>
          <w:trHeight w:val="565"/>
          <w:jc w:val="center"/>
        </w:trPr>
        <w:tc>
          <w:tcPr>
            <w:tcW w:w="2293" w:type="dxa"/>
          </w:tcPr>
          <w:p w14:paraId="6074FFBE" w14:textId="77777777" w:rsidR="0076752E" w:rsidRPr="0076752E" w:rsidRDefault="0076752E" w:rsidP="0076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Показник</w:t>
            </w:r>
          </w:p>
        </w:tc>
        <w:tc>
          <w:tcPr>
            <w:tcW w:w="1392" w:type="dxa"/>
          </w:tcPr>
          <w:p w14:paraId="038400CE" w14:textId="77777777" w:rsidR="0076752E" w:rsidRPr="0076752E" w:rsidRDefault="0076752E" w:rsidP="0076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2E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Великі с/г</w:t>
            </w:r>
          </w:p>
        </w:tc>
        <w:tc>
          <w:tcPr>
            <w:tcW w:w="1170" w:type="dxa"/>
          </w:tcPr>
          <w:p w14:paraId="7A1F9E12" w14:textId="77777777" w:rsidR="0076752E" w:rsidRPr="0076752E" w:rsidRDefault="0076752E" w:rsidP="0076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2E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Середні</w:t>
            </w:r>
          </w:p>
          <w:p w14:paraId="2A00246F" w14:textId="77777777" w:rsidR="0076752E" w:rsidRPr="0076752E" w:rsidRDefault="0076752E" w:rsidP="0076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2E">
              <w:rPr>
                <w:rFonts w:ascii="Times New Roman" w:eastAsia="Times New Roman" w:hAnsi="Times New Roman" w:cs="Times New Roman"/>
                <w:sz w:val="28"/>
                <w:szCs w:val="28"/>
              </w:rPr>
              <w:t>с/г</w:t>
            </w:r>
          </w:p>
        </w:tc>
        <w:tc>
          <w:tcPr>
            <w:tcW w:w="1260" w:type="dxa"/>
          </w:tcPr>
          <w:p w14:paraId="62826E98" w14:textId="77777777" w:rsidR="0076752E" w:rsidRPr="0076752E" w:rsidRDefault="0076752E" w:rsidP="0076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2E">
              <w:rPr>
                <w:rFonts w:ascii="Times New Roman" w:eastAsia="Times New Roman" w:hAnsi="Times New Roman" w:cs="Times New Roman"/>
                <w:sz w:val="28"/>
                <w:szCs w:val="28"/>
              </w:rPr>
              <w:t>Малі</w:t>
            </w:r>
          </w:p>
          <w:p w14:paraId="40D9A6DE" w14:textId="77777777" w:rsidR="0076752E" w:rsidRPr="0076752E" w:rsidRDefault="0076752E" w:rsidP="0076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2E">
              <w:rPr>
                <w:rFonts w:ascii="Times New Roman" w:eastAsia="Times New Roman" w:hAnsi="Times New Roman" w:cs="Times New Roman"/>
                <w:sz w:val="28"/>
                <w:szCs w:val="28"/>
              </w:rPr>
              <w:t>с/г</w:t>
            </w:r>
          </w:p>
        </w:tc>
        <w:tc>
          <w:tcPr>
            <w:tcW w:w="1980" w:type="dxa"/>
          </w:tcPr>
          <w:p w14:paraId="78E370D5" w14:textId="77777777" w:rsidR="0076752E" w:rsidRPr="0076752E" w:rsidRDefault="0076752E" w:rsidP="0076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2E"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</w:t>
            </w:r>
          </w:p>
          <w:p w14:paraId="486C8195" w14:textId="77777777" w:rsidR="0076752E" w:rsidRPr="0076752E" w:rsidRDefault="0076752E" w:rsidP="0076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2E">
              <w:rPr>
                <w:rFonts w:ascii="Times New Roman" w:eastAsia="Times New Roman" w:hAnsi="Times New Roman" w:cs="Times New Roman"/>
                <w:sz w:val="28"/>
                <w:szCs w:val="28"/>
              </w:rPr>
              <w:t>с/г</w:t>
            </w:r>
          </w:p>
        </w:tc>
        <w:tc>
          <w:tcPr>
            <w:tcW w:w="1533" w:type="dxa"/>
          </w:tcPr>
          <w:p w14:paraId="05B401AE" w14:textId="77777777" w:rsidR="0076752E" w:rsidRPr="0076752E" w:rsidRDefault="0076752E" w:rsidP="0076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2E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</w:t>
            </w:r>
          </w:p>
        </w:tc>
      </w:tr>
      <w:tr w:rsidR="0076752E" w:rsidRPr="0076752E" w14:paraId="69BBE4D1" w14:textId="77777777" w:rsidTr="008E5441">
        <w:trPr>
          <w:trHeight w:val="2701"/>
          <w:jc w:val="center"/>
        </w:trPr>
        <w:tc>
          <w:tcPr>
            <w:tcW w:w="2293" w:type="dxa"/>
          </w:tcPr>
          <w:p w14:paraId="5936F726" w14:textId="77777777" w:rsidR="0076752E" w:rsidRPr="0076752E" w:rsidRDefault="0076752E" w:rsidP="0076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2E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суб’єктів господарювання малого та мікро-підприємництва,  одиниць</w:t>
            </w:r>
          </w:p>
          <w:p w14:paraId="2CB4594D" w14:textId="77777777" w:rsidR="0076752E" w:rsidRPr="0076752E" w:rsidRDefault="0076752E" w:rsidP="0076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2E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Станом на 2019 рік.</w:t>
            </w:r>
          </w:p>
        </w:tc>
        <w:tc>
          <w:tcPr>
            <w:tcW w:w="1392" w:type="dxa"/>
            <w:vAlign w:val="center"/>
          </w:tcPr>
          <w:p w14:paraId="1DD2B96A" w14:textId="77777777" w:rsidR="0076752E" w:rsidRPr="0076752E" w:rsidRDefault="0076752E" w:rsidP="0076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2E">
              <w:rPr>
                <w:rFonts w:ascii="Times New Roman" w:eastAsia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1170" w:type="dxa"/>
            <w:vAlign w:val="center"/>
          </w:tcPr>
          <w:p w14:paraId="381FD433" w14:textId="77777777" w:rsidR="0076752E" w:rsidRPr="0076752E" w:rsidRDefault="0076752E" w:rsidP="0076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2E">
              <w:rPr>
                <w:rFonts w:ascii="Times New Roman" w:eastAsia="Times New Roman" w:hAnsi="Times New Roman" w:cs="Times New Roman"/>
                <w:sz w:val="28"/>
                <w:szCs w:val="28"/>
              </w:rPr>
              <w:t>17751</w:t>
            </w:r>
          </w:p>
        </w:tc>
        <w:tc>
          <w:tcPr>
            <w:tcW w:w="1260" w:type="dxa"/>
            <w:vAlign w:val="center"/>
          </w:tcPr>
          <w:p w14:paraId="381C8750" w14:textId="77777777" w:rsidR="0076752E" w:rsidRPr="0076752E" w:rsidRDefault="0076752E" w:rsidP="0076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2E">
              <w:rPr>
                <w:rFonts w:ascii="Times New Roman" w:eastAsia="Times New Roman" w:hAnsi="Times New Roman" w:cs="Times New Roman"/>
                <w:sz w:val="28"/>
                <w:szCs w:val="28"/>
              </w:rPr>
              <w:t>362404</w:t>
            </w:r>
          </w:p>
        </w:tc>
        <w:tc>
          <w:tcPr>
            <w:tcW w:w="1980" w:type="dxa"/>
            <w:vAlign w:val="center"/>
          </w:tcPr>
          <w:p w14:paraId="397FD949" w14:textId="77777777" w:rsidR="0076752E" w:rsidRPr="0076752E" w:rsidRDefault="0076752E" w:rsidP="0076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2E">
              <w:rPr>
                <w:rFonts w:ascii="Times New Roman" w:eastAsia="Times New Roman" w:hAnsi="Times New Roman" w:cs="Times New Roman"/>
                <w:sz w:val="28"/>
                <w:szCs w:val="28"/>
              </w:rPr>
              <w:t>1561028</w:t>
            </w:r>
          </w:p>
        </w:tc>
        <w:tc>
          <w:tcPr>
            <w:tcW w:w="1533" w:type="dxa"/>
            <w:vAlign w:val="center"/>
          </w:tcPr>
          <w:p w14:paraId="78BF9B76" w14:textId="77777777" w:rsidR="0076752E" w:rsidRPr="0076752E" w:rsidRDefault="0076752E" w:rsidP="0076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2E">
              <w:rPr>
                <w:rFonts w:ascii="Times New Roman" w:eastAsia="Times New Roman" w:hAnsi="Times New Roman" w:cs="Times New Roman"/>
                <w:sz w:val="28"/>
                <w:szCs w:val="28"/>
              </w:rPr>
              <w:t>1941701</w:t>
            </w:r>
          </w:p>
        </w:tc>
      </w:tr>
      <w:tr w:rsidR="0076752E" w:rsidRPr="0076752E" w14:paraId="1B4A701C" w14:textId="77777777" w:rsidTr="008E5441">
        <w:trPr>
          <w:jc w:val="center"/>
        </w:trPr>
        <w:tc>
          <w:tcPr>
            <w:tcW w:w="2293" w:type="dxa"/>
          </w:tcPr>
          <w:p w14:paraId="684615F1" w14:textId="77777777" w:rsidR="0076752E" w:rsidRPr="0076752E" w:rsidRDefault="0076752E" w:rsidP="0076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2E">
              <w:rPr>
                <w:rFonts w:ascii="Times New Roman" w:eastAsia="Times New Roman" w:hAnsi="Times New Roman" w:cs="Times New Roman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1392" w:type="dxa"/>
            <w:vAlign w:val="center"/>
          </w:tcPr>
          <w:p w14:paraId="63C4AD98" w14:textId="77777777" w:rsidR="0076752E" w:rsidRPr="0076752E" w:rsidRDefault="0076752E" w:rsidP="0076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6752E">
              <w:rPr>
                <w:rFonts w:ascii="Times New Roman" w:eastAsia="Times New Roman" w:hAnsi="Times New Roman" w:cs="Times New Roman"/>
                <w:sz w:val="28"/>
                <w:szCs w:val="28"/>
              </w:rPr>
              <w:t>0,02%</w:t>
            </w:r>
          </w:p>
        </w:tc>
        <w:tc>
          <w:tcPr>
            <w:tcW w:w="1170" w:type="dxa"/>
            <w:vAlign w:val="center"/>
          </w:tcPr>
          <w:p w14:paraId="0B448167" w14:textId="77777777" w:rsidR="0076752E" w:rsidRPr="0076752E" w:rsidRDefault="0076752E" w:rsidP="0076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2E">
              <w:rPr>
                <w:rFonts w:ascii="Times New Roman" w:eastAsia="Times New Roman" w:hAnsi="Times New Roman" w:cs="Times New Roman"/>
                <w:sz w:val="28"/>
                <w:szCs w:val="28"/>
              </w:rPr>
              <w:t>0,9%</w:t>
            </w:r>
          </w:p>
        </w:tc>
        <w:tc>
          <w:tcPr>
            <w:tcW w:w="1260" w:type="dxa"/>
            <w:vAlign w:val="center"/>
          </w:tcPr>
          <w:p w14:paraId="5E251672" w14:textId="77777777" w:rsidR="0076752E" w:rsidRPr="0076752E" w:rsidRDefault="0076752E" w:rsidP="0076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2E">
              <w:rPr>
                <w:rFonts w:ascii="Times New Roman" w:eastAsia="Times New Roman" w:hAnsi="Times New Roman" w:cs="Times New Roman"/>
                <w:sz w:val="28"/>
                <w:szCs w:val="28"/>
              </w:rPr>
              <w:t>18,7%</w:t>
            </w:r>
          </w:p>
        </w:tc>
        <w:tc>
          <w:tcPr>
            <w:tcW w:w="1980" w:type="dxa"/>
            <w:vAlign w:val="center"/>
          </w:tcPr>
          <w:p w14:paraId="4FDAFEEF" w14:textId="77777777" w:rsidR="0076752E" w:rsidRPr="0076752E" w:rsidRDefault="0076752E" w:rsidP="0076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2E">
              <w:rPr>
                <w:rFonts w:ascii="Times New Roman" w:eastAsia="Times New Roman" w:hAnsi="Times New Roman" w:cs="Times New Roman"/>
                <w:sz w:val="28"/>
                <w:szCs w:val="28"/>
              </w:rPr>
              <w:t>80,4%</w:t>
            </w:r>
          </w:p>
        </w:tc>
        <w:tc>
          <w:tcPr>
            <w:tcW w:w="1533" w:type="dxa"/>
            <w:vAlign w:val="center"/>
          </w:tcPr>
          <w:p w14:paraId="1F7309C4" w14:textId="77777777" w:rsidR="0076752E" w:rsidRPr="0076752E" w:rsidRDefault="0076752E" w:rsidP="0076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2E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14:paraId="0E3615D5" w14:textId="19C7179C" w:rsidR="00591790" w:rsidRDefault="00767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52E">
        <w:rPr>
          <w:rFonts w:ascii="Times New Roman" w:eastAsia="Times New Roman" w:hAnsi="Times New Roman" w:cs="Times New Roman"/>
          <w:sz w:val="28"/>
          <w:szCs w:val="28"/>
        </w:rPr>
        <w:t>* За даними Держстату (</w:t>
      </w:r>
      <w:hyperlink r:id="rId9" w:history="1">
        <w:r w:rsidRPr="00AD5F3C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http://www.ukrstat.gov.ua/</w:t>
        </w:r>
      </w:hyperlink>
      <w:r w:rsidRPr="0076752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5E17359" w14:textId="77777777" w:rsidR="008622C1" w:rsidRDefault="00862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691B41" w14:textId="6D752F03" w:rsidR="0076752E" w:rsidRPr="008622C1" w:rsidRDefault="0076752E" w:rsidP="00862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Зважаючи на те, що Законом </w:t>
      </w:r>
      <w:r w:rsidR="00D37742"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вже встановлено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усі права та обов’язки суб’єктів господарювання </w:t>
      </w:r>
      <w:r w:rsidR="00D37742"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в частині отримання адміністративних послуг, обліку та звітування в інформаційній системі управління відходами</w:t>
      </w:r>
      <w:r w:rsidR="00324E12">
        <w:rPr>
          <w:rFonts w:ascii="Times New Roman" w:eastAsia="Times New Roman" w:hAnsi="Times New Roman" w:cs="Times New Roman"/>
          <w:i/>
          <w:iCs/>
          <w:sz w:val="28"/>
          <w:szCs w:val="28"/>
        </w:rPr>
        <w:t>, п</w:t>
      </w:r>
      <w:r w:rsidR="00D37742"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орядки отримання окремих адміністративних послуг у сфері управління відходами затверджені постановами Кабінету Міністрів України</w:t>
      </w:r>
      <w:r w:rsidR="00324E12">
        <w:rPr>
          <w:rFonts w:ascii="Times New Roman" w:eastAsia="Times New Roman" w:hAnsi="Times New Roman" w:cs="Times New Roman"/>
          <w:i/>
          <w:iCs/>
          <w:sz w:val="28"/>
          <w:szCs w:val="28"/>
        </w:rPr>
        <w:t>, т</w:t>
      </w:r>
      <w:r w:rsidR="00D37742"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ому, п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рипускається, що </w:t>
      </w:r>
      <w:r w:rsidR="00D37742"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запропоноване проектом постанови 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регулювання матиме </w:t>
      </w:r>
      <w:r w:rsidR="00D37742"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виключно </w:t>
      </w:r>
      <w:r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опосередкований вплив на всіх суб’єктів господарювання</w:t>
      </w:r>
      <w:r w:rsidR="00D37742"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1A2AC8"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Тобто, проект постанови не передбачає встановлення нових обтяжуючих регулювань для бізнесу, а містить виключно положення щодо належного функціонування інформаційної системи</w:t>
      </w:r>
      <w:r w:rsidR="008622C1" w:rsidRPr="008622C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4BF0538F" w14:textId="77777777" w:rsidR="00591790" w:rsidRDefault="00FE2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DC28437" w14:textId="77777777" w:rsidR="00591790" w:rsidRDefault="00591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3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3544"/>
        <w:gridCol w:w="3798"/>
      </w:tblGrid>
      <w:tr w:rsidR="00591790" w14:paraId="6D439D41" w14:textId="77777777">
        <w:tc>
          <w:tcPr>
            <w:tcW w:w="2439" w:type="dxa"/>
          </w:tcPr>
          <w:p w14:paraId="0A572812" w14:textId="77777777" w:rsidR="00591790" w:rsidRDefault="00FE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альтернативи</w:t>
            </w:r>
          </w:p>
          <w:p w14:paraId="4CA8F834" w14:textId="77777777" w:rsidR="00591790" w:rsidRDefault="0059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946CF8A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798" w:type="dxa"/>
          </w:tcPr>
          <w:p w14:paraId="7C94A324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591790" w14:paraId="71E84237" w14:textId="77777777">
        <w:tc>
          <w:tcPr>
            <w:tcW w:w="2439" w:type="dxa"/>
          </w:tcPr>
          <w:p w14:paraId="55F4A625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</w:t>
            </w:r>
          </w:p>
          <w:p w14:paraId="2596CA10" w14:textId="77777777" w:rsidR="00591790" w:rsidRDefault="0059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4D27B84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Відсутні.</w:t>
            </w:r>
          </w:p>
        </w:tc>
        <w:tc>
          <w:tcPr>
            <w:tcW w:w="3798" w:type="dxa"/>
          </w:tcPr>
          <w:p w14:paraId="6B91E2DF" w14:textId="03EF6F9B" w:rsidR="00591790" w:rsidRDefault="008B5BE4" w:rsidP="00E1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Витрати, пов’язані з отриманням різних адміністративних послуг у сфері управління відходами. Так, зокрема, н</w:t>
            </w:r>
            <w:r w:rsidR="00E15C6D" w:rsidRPr="00E15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отримання адміністративних послуг з питань ліцензування господарської діяльності у сфері поводження з небезпечними відходами в паперовій формі, </w:t>
            </w:r>
            <w:r w:rsidR="00E15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витрати </w:t>
            </w:r>
            <w:r w:rsidR="00E15C6D" w:rsidRPr="00E15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становлять близько 300 тис.грн в рік</w:t>
            </w:r>
            <w:r w:rsidR="00727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(211 ліцензіатів)</w:t>
            </w:r>
            <w:r w:rsidR="00E15C6D" w:rsidRPr="00E15C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D9BEEA1" w14:textId="6198A22F" w:rsidR="00E15C6D" w:rsidRDefault="00727D84" w:rsidP="00E1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27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подання декларації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відходи </w:t>
            </w:r>
            <w:r w:rsidRPr="00727D84">
              <w:rPr>
                <w:rFonts w:ascii="Times New Roman" w:eastAsia="Times New Roman" w:hAnsi="Times New Roman" w:cs="Times New Roman"/>
                <w:sz w:val="28"/>
                <w:szCs w:val="28"/>
              </w:rPr>
              <w:t>в паперовій формі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близько 2,2 млрд. грн в рік (1,5 млн.с/г).</w:t>
            </w:r>
            <w:r w:rsidR="00E6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яких витрати середнього бізнесу більше 6 млн.грн.</w:t>
            </w:r>
            <w:r w:rsidR="008B5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рік.</w:t>
            </w:r>
          </w:p>
          <w:p w14:paraId="64F91F51" w14:textId="77777777" w:rsidR="008B5BE4" w:rsidRDefault="008B5BE4" w:rsidP="00E1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отримання адміністративних послуг в паперовій формі у сфері транскордонного перевезення відходів(Жовтий та Зелений перелік відходів) – близько 12 млн.грн. в рік.</w:t>
            </w:r>
          </w:p>
          <w:p w14:paraId="1E7E64A8" w14:textId="45518F74" w:rsidR="007E0E25" w:rsidRDefault="007E0E25" w:rsidP="00E1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790" w14:paraId="046B9713" w14:textId="77777777">
        <w:tc>
          <w:tcPr>
            <w:tcW w:w="2439" w:type="dxa"/>
          </w:tcPr>
          <w:p w14:paraId="7641393B" w14:textId="77777777" w:rsidR="00591790" w:rsidRDefault="00FE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eading=h.tyjcwt" w:colFirst="0" w:colLast="0"/>
            <w:bookmarkEnd w:id="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Альтернатива 2</w:t>
            </w:r>
          </w:p>
          <w:p w14:paraId="3F3D7303" w14:textId="77777777" w:rsidR="00591790" w:rsidRDefault="0059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868BD04" w14:textId="7DC90C9D" w:rsidR="00CA2859" w:rsidRDefault="00CA2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Зменшення фінансових та часових витрат на адміністрування дозвільних та ліцензійних процедур.</w:t>
            </w:r>
          </w:p>
          <w:p w14:paraId="3CEC9754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Можливість направити вивільнені кошти на розвиток бізнесу.</w:t>
            </w:r>
          </w:p>
          <w:p w14:paraId="5B764CC7" w14:textId="77777777" w:rsidR="00591790" w:rsidRDefault="0059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14:paraId="646C5145" w14:textId="22C8624A" w:rsidR="00591790" w:rsidRPr="0065445D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Прогнозуються витрати </w:t>
            </w:r>
            <w:r w:rsidR="00654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виключно </w:t>
            </w:r>
            <w:r w:rsidRPr="0065445D">
              <w:rPr>
                <w:rFonts w:ascii="Times New Roman" w:eastAsia="Times New Roman" w:hAnsi="Times New Roman" w:cs="Times New Roman"/>
                <w:sz w:val="28"/>
                <w:szCs w:val="28"/>
              </w:rPr>
              <w:t>на ознайомлення з новим регулювання</w:t>
            </w:r>
            <w:r w:rsidR="00CA285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96139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A2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r w:rsidRPr="00654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7D84" w:rsidRPr="00654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створення облікового запису в інформаційній системі та внесення </w:t>
            </w:r>
            <w:r w:rsidR="00CA2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відповідних </w:t>
            </w:r>
            <w:r w:rsidR="00727D84" w:rsidRPr="0065445D">
              <w:rPr>
                <w:rFonts w:ascii="Times New Roman" w:eastAsia="Times New Roman" w:hAnsi="Times New Roman" w:cs="Times New Roman"/>
                <w:sz w:val="28"/>
                <w:szCs w:val="28"/>
              </w:rPr>
              <w:t>відомостей</w:t>
            </w:r>
            <w:r w:rsidRPr="0065445D">
              <w:rPr>
                <w:rFonts w:ascii="Times New Roman" w:eastAsia="Times New Roman" w:hAnsi="Times New Roman" w:cs="Times New Roman"/>
                <w:sz w:val="28"/>
                <w:szCs w:val="28"/>
              </w:rPr>
              <w:t>. А саме:</w:t>
            </w:r>
          </w:p>
          <w:p w14:paraId="2A76C23F" w14:textId="58B5A542" w:rsidR="00591790" w:rsidRPr="0065445D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одного суб’єкта господарювання – </w:t>
            </w:r>
            <w:r w:rsidR="00727D84" w:rsidRPr="00654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40,46 </w:t>
            </w:r>
            <w:r w:rsidRPr="0065445D">
              <w:rPr>
                <w:rFonts w:ascii="Times New Roman" w:eastAsia="Times New Roman" w:hAnsi="Times New Roman" w:cs="Times New Roman"/>
                <w:sz w:val="28"/>
                <w:szCs w:val="28"/>
              </w:rPr>
              <w:t>грн.(</w:t>
            </w:r>
            <w:r w:rsidR="00727D84" w:rsidRPr="006544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54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годин</w:t>
            </w:r>
            <w:r w:rsidR="00727D84" w:rsidRPr="0065445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5445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27D84" w:rsidRPr="0065445D">
              <w:rPr>
                <w:rStyle w:val="ae"/>
                <w:rFonts w:ascii="Times New Roman" w:eastAsia="Times New Roman" w:hAnsi="Times New Roman"/>
                <w:sz w:val="28"/>
                <w:szCs w:val="28"/>
              </w:rPr>
              <w:footnoteReference w:id="1"/>
            </w:r>
            <w:r w:rsidRPr="0065445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906C03B" w14:textId="77777777" w:rsidR="00591790" w:rsidRPr="0065445D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45D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всіх суб’єктів господарювання в перший рік регулювання витрати прогнозуються на рівні –</w:t>
            </w:r>
          </w:p>
          <w:p w14:paraId="367A473C" w14:textId="0C0BA39D" w:rsidR="0065445D" w:rsidRDefault="0065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65445D">
              <w:rPr>
                <w:rFonts w:ascii="Times New Roman" w:eastAsia="Times New Roman" w:hAnsi="Times New Roman" w:cs="Times New Roman"/>
                <w:sz w:val="28"/>
                <w:szCs w:val="28"/>
              </w:rPr>
              <w:t>лн.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445D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</w:p>
          <w:p w14:paraId="03096D01" w14:textId="5DEBB48C" w:rsidR="00591790" w:rsidRPr="0065445D" w:rsidRDefault="0065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45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5445D">
              <w:rPr>
                <w:rFonts w:ascii="Times New Roman" w:eastAsia="Times New Roman" w:hAnsi="Times New Roman" w:cs="Times New Roman"/>
                <w:sz w:val="28"/>
                <w:szCs w:val="28"/>
              </w:rPr>
              <w:t>1941701</w:t>
            </w:r>
            <w:r w:rsidRPr="00654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Х40,46грн). </w:t>
            </w:r>
          </w:p>
          <w:p w14:paraId="1BA7837A" w14:textId="77777777" w:rsidR="00591790" w:rsidRDefault="0059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E8F5D6A" w14:textId="77777777" w:rsidR="00591790" w:rsidRDefault="0059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4"/>
        <w:tblW w:w="9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2236"/>
      </w:tblGrid>
      <w:tr w:rsidR="00591790" w14:paraId="520B5D87" w14:textId="77777777">
        <w:tc>
          <w:tcPr>
            <w:tcW w:w="7479" w:type="dxa"/>
            <w:shd w:val="clear" w:color="auto" w:fill="auto"/>
          </w:tcPr>
          <w:p w14:paraId="4CFF771C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2236" w:type="dxa"/>
            <w:shd w:val="clear" w:color="auto" w:fill="auto"/>
          </w:tcPr>
          <w:p w14:paraId="7F895192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Сума витрат, гривень</w:t>
            </w:r>
          </w:p>
        </w:tc>
      </w:tr>
      <w:tr w:rsidR="00591790" w14:paraId="39B68611" w14:textId="77777777">
        <w:tc>
          <w:tcPr>
            <w:tcW w:w="7479" w:type="dxa"/>
            <w:shd w:val="clear" w:color="auto" w:fill="auto"/>
          </w:tcPr>
          <w:p w14:paraId="190FD7E4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Альтернатива 1. Сумарні витрати для суб’єктів господарювання великого і середнього підприємництва  згідно з додатком 2 до Методики проведення аналізу впливу регуляторного акта (рядок 11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таблиці «Витрати на одного суб’єкта господарювання великого і середнього підприємництва, які виникають внаслідок дії регуляторного акта»).</w:t>
            </w:r>
          </w:p>
        </w:tc>
        <w:tc>
          <w:tcPr>
            <w:tcW w:w="2236" w:type="dxa"/>
            <w:shd w:val="clear" w:color="auto" w:fill="auto"/>
          </w:tcPr>
          <w:p w14:paraId="0FDA031F" w14:textId="4F5AF4A0" w:rsidR="00591790" w:rsidRPr="00E67078" w:rsidRDefault="00CA2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E67078" w:rsidRPr="00E67078">
              <w:rPr>
                <w:rFonts w:ascii="Times New Roman" w:eastAsia="Times New Roman" w:hAnsi="Times New Roman" w:cs="Times New Roman"/>
                <w:sz w:val="28"/>
                <w:szCs w:val="28"/>
              </w:rPr>
              <w:t>,5 млн.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7078" w:rsidRPr="00E67078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A2AC8" w:rsidRPr="001A2AC8" w14:paraId="49A56EB7" w14:textId="77777777">
        <w:tc>
          <w:tcPr>
            <w:tcW w:w="7479" w:type="dxa"/>
            <w:shd w:val="clear" w:color="auto" w:fill="auto"/>
          </w:tcPr>
          <w:p w14:paraId="2A4210CB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Альтернатива 2.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“Витрати на одного суб’єкта господарювання великого і середнього підприємництва, які виникають внаслідок дії регуляторного акта”).</w:t>
            </w:r>
          </w:p>
        </w:tc>
        <w:tc>
          <w:tcPr>
            <w:tcW w:w="2236" w:type="dxa"/>
            <w:shd w:val="clear" w:color="auto" w:fill="auto"/>
          </w:tcPr>
          <w:p w14:paraId="438B14B0" w14:textId="6AC6DC10" w:rsidR="00591790" w:rsidRPr="00E67078" w:rsidRDefault="00E6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E67078">
              <w:rPr>
                <w:rFonts w:ascii="Times New Roman" w:eastAsia="Times New Roman" w:hAnsi="Times New Roman" w:cs="Times New Roman"/>
                <w:sz w:val="28"/>
                <w:szCs w:val="28"/>
              </w:rPr>
              <w:t>739 164 грн.</w:t>
            </w:r>
          </w:p>
        </w:tc>
      </w:tr>
    </w:tbl>
    <w:p w14:paraId="6A9546F5" w14:textId="77777777" w:rsidR="00591790" w:rsidRDefault="0059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BD01518" w14:textId="77777777" w:rsidR="00591790" w:rsidRDefault="00591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C62FBA" w14:textId="77777777" w:rsidR="00591790" w:rsidRDefault="00FE2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ІV. Вибір найбільш оптимального альтернативного способу досягнення цілей</w:t>
      </w:r>
    </w:p>
    <w:p w14:paraId="6621F611" w14:textId="77777777" w:rsidR="00591790" w:rsidRDefault="00591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4104"/>
      </w:tblGrid>
      <w:tr w:rsidR="00591790" w14:paraId="1D6A80CA" w14:textId="77777777">
        <w:tc>
          <w:tcPr>
            <w:tcW w:w="2547" w:type="dxa"/>
            <w:shd w:val="clear" w:color="auto" w:fill="auto"/>
          </w:tcPr>
          <w:p w14:paraId="3FE9E1FD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977" w:type="dxa"/>
            <w:shd w:val="clear" w:color="auto" w:fill="auto"/>
          </w:tcPr>
          <w:p w14:paraId="0A8F6B66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4104" w:type="dxa"/>
            <w:shd w:val="clear" w:color="auto" w:fill="auto"/>
          </w:tcPr>
          <w:p w14:paraId="3B17DC48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Коментарі щодо присвоєння відповідного бала</w:t>
            </w:r>
          </w:p>
        </w:tc>
      </w:tr>
      <w:tr w:rsidR="00591790" w14:paraId="0FFD7A13" w14:textId="77777777">
        <w:tc>
          <w:tcPr>
            <w:tcW w:w="2547" w:type="dxa"/>
            <w:shd w:val="clear" w:color="auto" w:fill="auto"/>
          </w:tcPr>
          <w:p w14:paraId="19DB7590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</w:t>
            </w:r>
          </w:p>
        </w:tc>
        <w:tc>
          <w:tcPr>
            <w:tcW w:w="2977" w:type="dxa"/>
            <w:shd w:val="clear" w:color="auto" w:fill="auto"/>
          </w:tcPr>
          <w:p w14:paraId="1339E74A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1 - цілі прийняття регуляторного акта не можуть бути досягнуті (проблема продовжує існувати)</w:t>
            </w:r>
          </w:p>
        </w:tc>
        <w:tc>
          <w:tcPr>
            <w:tcW w:w="4104" w:type="dxa"/>
            <w:shd w:val="clear" w:color="auto" w:fill="auto"/>
          </w:tcPr>
          <w:p w14:paraId="2F6AAA6C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Відсутність регулювання не дає змоги досягнути цілей державного регулювання, визначених у розділі ІІ Аналізу.</w:t>
            </w:r>
          </w:p>
          <w:p w14:paraId="2A18AEFA" w14:textId="77777777" w:rsidR="00591790" w:rsidRDefault="0059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1790" w14:paraId="56D6D3C2" w14:textId="77777777">
        <w:tc>
          <w:tcPr>
            <w:tcW w:w="2547" w:type="dxa"/>
            <w:shd w:val="clear" w:color="auto" w:fill="auto"/>
          </w:tcPr>
          <w:p w14:paraId="0A40E8CC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</w:t>
            </w:r>
          </w:p>
        </w:tc>
        <w:tc>
          <w:tcPr>
            <w:tcW w:w="2977" w:type="dxa"/>
            <w:shd w:val="clear" w:color="auto" w:fill="auto"/>
          </w:tcPr>
          <w:p w14:paraId="772F8EEE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4 - цілі прийняття регуляторного акта можуть бути досягнуті повною мірою (проблема більше існувати не буде)</w:t>
            </w:r>
          </w:p>
        </w:tc>
        <w:tc>
          <w:tcPr>
            <w:tcW w:w="4104" w:type="dxa"/>
            <w:shd w:val="clear" w:color="auto" w:fill="auto"/>
          </w:tcPr>
          <w:p w14:paraId="768B42D5" w14:textId="77777777" w:rsidR="00FE2137" w:rsidRPr="00FE2137" w:rsidRDefault="00FE2137" w:rsidP="00FE2137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Така альтернатива сприятиме досягненню цілей державного регулювання в повному об’ємі. Крім того, прийняття  постанови забезпечить: </w:t>
            </w:r>
          </w:p>
          <w:p w14:paraId="578FE7AE" w14:textId="77777777" w:rsidR="00FE2137" w:rsidRPr="00C11AC5" w:rsidRDefault="00FE2137" w:rsidP="00FE2137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облік</w:t>
            </w:r>
            <w:r w:rsidRPr="00C11A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суб’єктів управління відходами; </w:t>
            </w:r>
          </w:p>
          <w:p w14:paraId="46B7D341" w14:textId="38D9CA08" w:rsidR="00FE2137" w:rsidRPr="00C11AC5" w:rsidRDefault="00FE2137" w:rsidP="00FE2137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1A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можливість дистанційної подачі документів суб’єктом господарювання з метою одержання </w:t>
            </w:r>
            <w:r w:rsidR="00FA7A1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адміністративних послуг</w:t>
            </w:r>
            <w:r w:rsidRPr="00C11A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14:paraId="153044AD" w14:textId="1F191EE2" w:rsidR="00FE2137" w:rsidRPr="00C11AC5" w:rsidRDefault="00FE2137" w:rsidP="00FE2137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1A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автоматизацію процесів надання адміністративних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послуг</w:t>
            </w:r>
            <w:r w:rsidR="00FA7A1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11A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онлайн;</w:t>
            </w:r>
          </w:p>
          <w:p w14:paraId="77C74F13" w14:textId="77777777" w:rsidR="00FE2137" w:rsidRPr="00C11AC5" w:rsidRDefault="00FE2137" w:rsidP="00FE2137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1A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узагальнення 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збирання</w:t>
            </w:r>
            <w:r w:rsidRPr="00C11A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інформації в реєстрах у сфері управління відходами;</w:t>
            </w:r>
          </w:p>
          <w:p w14:paraId="34318EE1" w14:textId="77777777" w:rsidR="00FE2137" w:rsidRPr="00C11AC5" w:rsidRDefault="00FE2137" w:rsidP="00FE2137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1A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оптимізацію обліку відходів та поводження з ними;</w:t>
            </w:r>
          </w:p>
          <w:p w14:paraId="6C4314B1" w14:textId="77777777" w:rsidR="00FE2137" w:rsidRPr="00C11AC5" w:rsidRDefault="00FE2137" w:rsidP="00FE2137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1A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контроль за транскордонним перевезенням  відходів;</w:t>
            </w:r>
          </w:p>
          <w:p w14:paraId="647DCB07" w14:textId="77777777" w:rsidR="00FE2137" w:rsidRPr="00C11AC5" w:rsidRDefault="00FE2137" w:rsidP="00FE2137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1A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автоматичне визначення суми податків на діяльність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суб'єктів управління відходами</w:t>
            </w:r>
            <w:r w:rsidRPr="00C11A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14:paraId="48E2A7C8" w14:textId="77777777" w:rsidR="00FE2137" w:rsidRPr="00C11AC5" w:rsidRDefault="00FE2137" w:rsidP="00FE2137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1A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контроль передачі відходів між суб'єктами управління відходами;</w:t>
            </w:r>
          </w:p>
          <w:p w14:paraId="3A4B6E23" w14:textId="49FFD888" w:rsidR="00FE2137" w:rsidRPr="00C11AC5" w:rsidRDefault="00FE2137" w:rsidP="00FE2137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автоматичне заповнення </w:t>
            </w:r>
            <w:r w:rsidRPr="00C11A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звітних докумен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тів на підставі внесеної інформації суб’єктом</w:t>
            </w:r>
            <w:r w:rsidRPr="00C11A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14:paraId="7ACCFD51" w14:textId="77777777" w:rsidR="00FE2137" w:rsidRPr="00C11AC5" w:rsidRDefault="00FE2137" w:rsidP="00FE2137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1A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ведення та облік потужностей управління відходами та їх перевірка;</w:t>
            </w:r>
          </w:p>
          <w:p w14:paraId="251F0D01" w14:textId="77777777" w:rsidR="00FE2137" w:rsidRPr="00C11AC5" w:rsidRDefault="00FE2137" w:rsidP="00FE2137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1A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фіксацію та протидію утворенню стихійних полігонів відходів;</w:t>
            </w:r>
          </w:p>
          <w:p w14:paraId="3342AD84" w14:textId="77777777" w:rsidR="00591790" w:rsidRDefault="00FE2137" w:rsidP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11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забезпечення можливості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взаємодії</w:t>
            </w:r>
            <w:r w:rsidRPr="00C11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іншими державними сервісами.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14:paraId="200765BD" w14:textId="77777777" w:rsidR="00591790" w:rsidRDefault="0059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A8699FD" w14:textId="77777777" w:rsidR="00591790" w:rsidRDefault="0059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8CE3096" w14:textId="77777777" w:rsidR="00591790" w:rsidRDefault="0059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ff6"/>
        <w:tblW w:w="96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2340"/>
        <w:gridCol w:w="2970"/>
        <w:gridCol w:w="2160"/>
      </w:tblGrid>
      <w:tr w:rsidR="00591790" w14:paraId="176EA660" w14:textId="77777777">
        <w:tc>
          <w:tcPr>
            <w:tcW w:w="2155" w:type="dxa"/>
            <w:shd w:val="clear" w:color="auto" w:fill="auto"/>
          </w:tcPr>
          <w:p w14:paraId="492AD4BE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2340" w:type="dxa"/>
            <w:shd w:val="clear" w:color="auto" w:fill="auto"/>
          </w:tcPr>
          <w:p w14:paraId="0B30463B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Вигоди</w:t>
            </w:r>
          </w:p>
          <w:p w14:paraId="56030AAB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(підсумок)</w:t>
            </w:r>
          </w:p>
        </w:tc>
        <w:tc>
          <w:tcPr>
            <w:tcW w:w="2970" w:type="dxa"/>
            <w:shd w:val="clear" w:color="auto" w:fill="auto"/>
          </w:tcPr>
          <w:p w14:paraId="4DBD15AA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Витрати</w:t>
            </w:r>
          </w:p>
          <w:p w14:paraId="69F508E6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(підсумок)</w:t>
            </w:r>
          </w:p>
        </w:tc>
        <w:tc>
          <w:tcPr>
            <w:tcW w:w="2160" w:type="dxa"/>
            <w:shd w:val="clear" w:color="auto" w:fill="auto"/>
          </w:tcPr>
          <w:p w14:paraId="78636034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Обґрунтування відповідного місця альтернативи у рейтингу</w:t>
            </w:r>
          </w:p>
        </w:tc>
      </w:tr>
      <w:tr w:rsidR="00591790" w14:paraId="28D009FE" w14:textId="77777777">
        <w:tc>
          <w:tcPr>
            <w:tcW w:w="2155" w:type="dxa"/>
            <w:shd w:val="clear" w:color="auto" w:fill="auto"/>
          </w:tcPr>
          <w:p w14:paraId="0AF1718B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</w:t>
            </w:r>
          </w:p>
        </w:tc>
        <w:tc>
          <w:tcPr>
            <w:tcW w:w="2340" w:type="dxa"/>
            <w:shd w:val="clear" w:color="auto" w:fill="auto"/>
          </w:tcPr>
          <w:p w14:paraId="6B9D8B9A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держави:</w:t>
            </w:r>
          </w:p>
          <w:p w14:paraId="1601964C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Вигоди відсутні.</w:t>
            </w:r>
          </w:p>
          <w:p w14:paraId="55EFA51E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Для громадян: </w:t>
            </w:r>
          </w:p>
          <w:p w14:paraId="659E62FC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</w:p>
          <w:p w14:paraId="08485DC1" w14:textId="77777777" w:rsidR="00591790" w:rsidRDefault="0059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B41606C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суб’єктів господарювання:</w:t>
            </w:r>
          </w:p>
          <w:p w14:paraId="761CE89F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2970" w:type="dxa"/>
            <w:shd w:val="clear" w:color="auto" w:fill="auto"/>
          </w:tcPr>
          <w:p w14:paraId="4E151059" w14:textId="77777777" w:rsidR="00591790" w:rsidRDefault="00FE2137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держави:</w:t>
            </w:r>
          </w:p>
          <w:p w14:paraId="19211873" w14:textId="77777777" w:rsidR="00591790" w:rsidRDefault="00FE2137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адміністрування регулювання.</w:t>
            </w:r>
          </w:p>
          <w:p w14:paraId="25B3BFC2" w14:textId="73C80F20" w:rsidR="00591790" w:rsidRDefault="00FE2137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Для громадян: </w:t>
            </w:r>
            <w:r w:rsidR="007E0E25" w:rsidRPr="007E0E25">
              <w:rPr>
                <w:rFonts w:ascii="Times New Roman" w:eastAsia="Times New Roman" w:hAnsi="Times New Roman" w:cs="Times New Roman"/>
                <w:sz w:val="28"/>
                <w:szCs w:val="28"/>
              </w:rPr>
              <w:t>Існують витрати, пов’язані із необхідністю отримання інформації про стан довкілля з різних джерел.</w:t>
            </w:r>
          </w:p>
          <w:p w14:paraId="2B9355DC" w14:textId="77777777" w:rsidR="007E0E25" w:rsidRPr="007E0E25" w:rsidRDefault="00FE2137" w:rsidP="007E0E25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Для суб’єктів господарювання: </w:t>
            </w:r>
            <w:r w:rsidR="007E0E25" w:rsidRPr="007E0E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Витрати, пов’язані з отриманням різних адміністративних послуг у сфері управління відходами. Так, зокрема, на отримання адміністративних послуг з питань ліцензування господарської діяльності у сфері поводження з небезпечними відходами в паперовій формі, витрати становлять близько 300 тис.грн в рік (211 ліцензіатів).</w:t>
            </w:r>
          </w:p>
          <w:p w14:paraId="4E51B635" w14:textId="77777777" w:rsidR="007E0E25" w:rsidRPr="007E0E25" w:rsidRDefault="007E0E25" w:rsidP="007E0E25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0E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подання декларації про відходи в паперовій формі – близько 2,2 млрд. грн в рік (1,5 млн.с/г). З яких витрати середнього бізнесу більше 6 млн.грн. в рік.</w:t>
            </w:r>
          </w:p>
          <w:p w14:paraId="7BD02FFE" w14:textId="2FC7EE90" w:rsidR="00591790" w:rsidRPr="007E0E25" w:rsidRDefault="007E0E25" w:rsidP="007E0E25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0E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отримання адміністративних послуг в паперовій формі у сфері транскордонного перевезення відходів(Жовтий та Зелений перелік відходів) – близько 12 млн.грн. в рік.</w:t>
            </w:r>
          </w:p>
          <w:p w14:paraId="485E1B80" w14:textId="49C6E588" w:rsidR="00591790" w:rsidRDefault="00591790" w:rsidP="001A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5D51DE75" w14:textId="77777777" w:rsidR="00591790" w:rsidRDefault="00FE2137">
            <w:pPr>
              <w:tabs>
                <w:tab w:val="left" w:pos="851"/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Така альтернатива досягнення цілей державного регулювання не дозволить вирішити проблеми, зазначені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розділі І Аналізу, а також досягти цілей державного регулювання.</w:t>
            </w:r>
          </w:p>
        </w:tc>
      </w:tr>
      <w:tr w:rsidR="00591790" w14:paraId="25C47ABF" w14:textId="77777777">
        <w:trPr>
          <w:trHeight w:val="2501"/>
        </w:trPr>
        <w:tc>
          <w:tcPr>
            <w:tcW w:w="2155" w:type="dxa"/>
            <w:shd w:val="clear" w:color="auto" w:fill="auto"/>
          </w:tcPr>
          <w:p w14:paraId="501C26CB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Альтернатива 2</w:t>
            </w:r>
          </w:p>
        </w:tc>
        <w:tc>
          <w:tcPr>
            <w:tcW w:w="2340" w:type="dxa"/>
          </w:tcPr>
          <w:p w14:paraId="63092B8F" w14:textId="77777777" w:rsidR="00591790" w:rsidRDefault="00FE2137">
            <w:pPr>
              <w:widowControl w:val="0"/>
              <w:shd w:val="clear" w:color="auto" w:fill="FFFFFF"/>
              <w:tabs>
                <w:tab w:val="left" w:pos="990"/>
              </w:tabs>
              <w:spacing w:after="0" w:line="240" w:lineRule="auto"/>
              <w:ind w:left="29" w:hanging="1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держави:</w:t>
            </w:r>
          </w:p>
          <w:p w14:paraId="0B334AD4" w14:textId="3CD15DAE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громадян: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7E0E25" w:rsidRPr="007E0E25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громадянам вільного доступу до інформації про стан довкілля, існуючі екологічні ризики/загрози в сфері управління відходами.</w:t>
            </w:r>
          </w:p>
          <w:p w14:paraId="5E42BE28" w14:textId="4BA486A9" w:rsidR="007E0E25" w:rsidRPr="007E0E25" w:rsidRDefault="00FE2137" w:rsidP="007E0E25">
            <w:pPr>
              <w:widowControl w:val="0"/>
              <w:shd w:val="clear" w:color="auto" w:fill="FFFFFF"/>
              <w:tabs>
                <w:tab w:val="left" w:pos="990"/>
              </w:tabs>
              <w:spacing w:after="0" w:line="240" w:lineRule="auto"/>
              <w:ind w:left="29" w:hanging="1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суб’єктів господарювання:</w:t>
            </w:r>
            <w:r w:rsidR="007E0E25">
              <w:t xml:space="preserve"> </w:t>
            </w:r>
            <w:r w:rsidR="007E0E25" w:rsidRPr="007E0E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Зменшення фінансових та часових витрат на адміністрування дозвільних та ліцензійних процедур.</w:t>
            </w:r>
          </w:p>
          <w:p w14:paraId="28F44D35" w14:textId="4185F8BF" w:rsidR="00591790" w:rsidRDefault="007E0E25" w:rsidP="007E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E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Можливість направити вивільнені кошти на розвиток бізнесу.</w:t>
            </w:r>
          </w:p>
        </w:tc>
        <w:tc>
          <w:tcPr>
            <w:tcW w:w="2970" w:type="dxa"/>
            <w:shd w:val="clear" w:color="auto" w:fill="auto"/>
          </w:tcPr>
          <w:p w14:paraId="3F42A440" w14:textId="77777777" w:rsidR="00591790" w:rsidRDefault="00FE2137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держави: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AA3F55A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прогнозуються додаткових витрат, оскільки фінансування створення електронної системи, здійснюватиметься в межах коштів, передбачених у Державному бюджеті України у відповідному році на фінансування органів влади та заходів з цифровізації державних послуг, а також за рахунок інших джерел, не заборонених законодавством.</w:t>
            </w:r>
          </w:p>
          <w:p w14:paraId="7F08702F" w14:textId="77777777" w:rsidR="00591790" w:rsidRDefault="00591790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1C4A9E6" w14:textId="77777777" w:rsidR="00591790" w:rsidRDefault="00FE2137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Для громадян: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</w:p>
          <w:p w14:paraId="1BAEDCB6" w14:textId="77777777" w:rsidR="007E0E25" w:rsidRPr="007E0E25" w:rsidRDefault="00FE2137" w:rsidP="007E0E25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Для суб’єктів господарювання: </w:t>
            </w:r>
            <w:r w:rsidR="007E0E25" w:rsidRPr="007E0E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Прогнозуються витрати виключно на ознайомлення з новим регулюванням на створення облікового запису в інформаційній системі та внесення відповідних відомостей. А саме:</w:t>
            </w:r>
          </w:p>
          <w:p w14:paraId="1E55F122" w14:textId="77777777" w:rsidR="007E0E25" w:rsidRPr="007E0E25" w:rsidRDefault="007E0E25" w:rsidP="007E0E25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0E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одного суб’єкта господарювання – 40,46 грн.(1 година) ;</w:t>
            </w:r>
          </w:p>
          <w:p w14:paraId="621075F9" w14:textId="77777777" w:rsidR="007E0E25" w:rsidRPr="007E0E25" w:rsidRDefault="007E0E25" w:rsidP="007E0E25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0E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Для всіх суб’єктів господарювання в перший рік регулювання витрати прогнозуються на </w:t>
            </w:r>
            <w:r w:rsidRPr="007E0E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рівні –</w:t>
            </w:r>
          </w:p>
          <w:p w14:paraId="2C8ABC62" w14:textId="77777777" w:rsidR="007E0E25" w:rsidRPr="007E0E25" w:rsidRDefault="007E0E25" w:rsidP="007E0E25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0E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 млн. грн</w:t>
            </w:r>
          </w:p>
          <w:p w14:paraId="70B6828A" w14:textId="6169B6CB" w:rsidR="00591790" w:rsidRPr="007E0E25" w:rsidRDefault="007E0E25" w:rsidP="007E0E25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0E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(1941701Х40,46грн).</w:t>
            </w:r>
          </w:p>
          <w:p w14:paraId="61F31522" w14:textId="2743ECDF" w:rsidR="00591790" w:rsidRDefault="0059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57E9FC7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Дана альтернатива забезпечує досягнення цілей регулювання, визначених у розділі ІІ Аналізу. </w:t>
            </w:r>
          </w:p>
        </w:tc>
      </w:tr>
    </w:tbl>
    <w:p w14:paraId="2C87133E" w14:textId="77777777" w:rsidR="00591790" w:rsidRDefault="00591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FA0E22" w14:textId="77777777" w:rsidR="00591790" w:rsidRDefault="00591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9"/>
        <w:gridCol w:w="3768"/>
        <w:gridCol w:w="3531"/>
      </w:tblGrid>
      <w:tr w:rsidR="00591790" w14:paraId="762E71A3" w14:textId="77777777">
        <w:trPr>
          <w:trHeight w:val="1206"/>
        </w:trPr>
        <w:tc>
          <w:tcPr>
            <w:tcW w:w="2329" w:type="dxa"/>
            <w:shd w:val="clear" w:color="auto" w:fill="auto"/>
          </w:tcPr>
          <w:p w14:paraId="17FD1BAD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3768" w:type="dxa"/>
            <w:shd w:val="clear" w:color="auto" w:fill="auto"/>
          </w:tcPr>
          <w:p w14:paraId="641B6FD9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531" w:type="dxa"/>
            <w:shd w:val="clear" w:color="auto" w:fill="auto"/>
          </w:tcPr>
          <w:p w14:paraId="0B9EB3EC" w14:textId="77777777" w:rsidR="00591790" w:rsidRDefault="00F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 ризику зовнішніх чинників на дію запропонованого регуляторного акта</w:t>
            </w:r>
          </w:p>
          <w:p w14:paraId="62692146" w14:textId="77777777" w:rsidR="00591790" w:rsidRDefault="0059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1790" w14:paraId="52397AAD" w14:textId="77777777">
        <w:tc>
          <w:tcPr>
            <w:tcW w:w="2329" w:type="dxa"/>
            <w:shd w:val="clear" w:color="auto" w:fill="auto"/>
          </w:tcPr>
          <w:p w14:paraId="6ECA7A0A" w14:textId="77777777" w:rsidR="00591790" w:rsidRDefault="00FE2137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2.</w:t>
            </w:r>
          </w:p>
          <w:p w14:paraId="68B8CD56" w14:textId="77777777" w:rsidR="00591790" w:rsidRDefault="0059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8" w:type="dxa"/>
            <w:shd w:val="clear" w:color="auto" w:fill="auto"/>
          </w:tcPr>
          <w:p w14:paraId="14AA5840" w14:textId="77777777" w:rsidR="00591790" w:rsidRDefault="00FE213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Така альтернатива досягнення цілей державного регулювання є найбільш прийнятним та ефективним способом, оскільки дозволить вирішити проблеми, зазначені у розділі І Аналізу. </w:t>
            </w:r>
          </w:p>
          <w:p w14:paraId="4A2F4419" w14:textId="68381162" w:rsidR="00FA7A13" w:rsidRPr="00FA7A13" w:rsidRDefault="00FE2137" w:rsidP="00FA7A1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Прийняття Порядку дозволить досягти цілей державного регулювання </w:t>
            </w:r>
            <w:r w:rsidR="00324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забезпечить </w:t>
            </w:r>
            <w:r w:rsidR="00FA7A13" w:rsidRPr="00FA7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впровадження сучасної інформацій системи управління відходами відповідно до найкращих Європейських практик забезпечить скорочення обсягів споживання природних ресурсів за рахунок стимулюванню суб’єктів господарювання до провадження виробничої діяльності з використанням безвідходних та екологічно безпечних технологій;- створення системи інформаційного забезпечення управління </w:t>
            </w:r>
            <w:r w:rsidR="00FA7A13" w:rsidRPr="00FA7A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відходами, удосконалення порядку ведення обліку відходів, інформування про розташування місць чи об’єктів управління відходами, їх вплив на стан навколишнього природного середовища і здоров’я людини;</w:t>
            </w:r>
          </w:p>
          <w:p w14:paraId="12543EC3" w14:textId="77777777" w:rsidR="00FA7A13" w:rsidRPr="00FA7A13" w:rsidRDefault="00FA7A13" w:rsidP="00FA7A1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13">
              <w:rPr>
                <w:rFonts w:ascii="Times New Roman" w:eastAsia="Times New Roman" w:hAnsi="Times New Roman" w:cs="Times New Roman"/>
                <w:sz w:val="28"/>
                <w:szCs w:val="28"/>
              </w:rPr>
              <w:t>- спрощення дозвільних та ліцензійних процедур у сфері управління відходами, подання декларацій про відходи;</w:t>
            </w:r>
          </w:p>
          <w:p w14:paraId="44F883D9" w14:textId="77777777" w:rsidR="00FA7A13" w:rsidRPr="00FA7A13" w:rsidRDefault="00FA7A13" w:rsidP="00FA7A1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13">
              <w:rPr>
                <w:rFonts w:ascii="Times New Roman" w:eastAsia="Times New Roman" w:hAnsi="Times New Roman" w:cs="Times New Roman"/>
                <w:sz w:val="28"/>
                <w:szCs w:val="28"/>
              </w:rPr>
              <w:t>- запровадження онлайн моніторингу відстеження руху відходів у системі утворювач – перевізник - утилізатор;</w:t>
            </w:r>
          </w:p>
          <w:p w14:paraId="0CE700D7" w14:textId="77777777" w:rsidR="00FA7A13" w:rsidRPr="00FA7A13" w:rsidRDefault="00FA7A13" w:rsidP="00FA7A1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13">
              <w:rPr>
                <w:rFonts w:ascii="Times New Roman" w:eastAsia="Times New Roman" w:hAnsi="Times New Roman" w:cs="Times New Roman"/>
                <w:sz w:val="28"/>
                <w:szCs w:val="28"/>
              </w:rPr>
              <w:t>- дотримання вимог екологічної безпеки під час експлуатації об’єктів управління  відходами і зниженню рівня соціальної напруги;</w:t>
            </w:r>
          </w:p>
          <w:p w14:paraId="1517E5E4" w14:textId="77777777" w:rsidR="00FA7A13" w:rsidRPr="00FA7A13" w:rsidRDefault="00FA7A13" w:rsidP="00FA7A1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13">
              <w:rPr>
                <w:rFonts w:ascii="Times New Roman" w:eastAsia="Times New Roman" w:hAnsi="Times New Roman" w:cs="Times New Roman"/>
                <w:sz w:val="28"/>
                <w:szCs w:val="28"/>
              </w:rPr>
              <w:t>- сприяння залучення інвестицій у сферу управління відходами та створення сучасної інфраструктури управління відходами, за рахунок  доступу до реєстрів даних щодо обсягів збирання, заготівлі та оброблення відходів як вторинної сировини;</w:t>
            </w:r>
          </w:p>
          <w:p w14:paraId="50DB0EA1" w14:textId="77777777" w:rsidR="00FA7A13" w:rsidRPr="00FA7A13" w:rsidRDefault="00FA7A13" w:rsidP="00FA7A1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13">
              <w:rPr>
                <w:rFonts w:ascii="Times New Roman" w:eastAsia="Times New Roman" w:hAnsi="Times New Roman" w:cs="Times New Roman"/>
                <w:sz w:val="28"/>
                <w:szCs w:val="28"/>
              </w:rPr>
              <w:t>- запровадження новітніх технологій оброблення відходів, зменшення обсягів їх захоронення на полігонах;</w:t>
            </w:r>
          </w:p>
          <w:p w14:paraId="7ECD162B" w14:textId="77777777" w:rsidR="00FA7A13" w:rsidRPr="00FA7A13" w:rsidRDefault="00FA7A13" w:rsidP="00FA7A1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зменшення кількості об’єктів управління відходами, що не </w:t>
            </w:r>
            <w:r w:rsidRPr="00FA7A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відповідають вимогам законодавства, вивільнення земель після закриття полігонів та звалищ;</w:t>
            </w:r>
          </w:p>
          <w:p w14:paraId="1CD86E1A" w14:textId="77777777" w:rsidR="00FA7A13" w:rsidRPr="00FA7A13" w:rsidRDefault="00FA7A13" w:rsidP="00FA7A1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13">
              <w:rPr>
                <w:rFonts w:ascii="Times New Roman" w:eastAsia="Times New Roman" w:hAnsi="Times New Roman" w:cs="Times New Roman"/>
                <w:sz w:val="28"/>
                <w:szCs w:val="28"/>
              </w:rPr>
              <w:t>- стимулювання суб’єктів господарювання до провадження виробничої діяльності з використанням безвідходних та екологічно безпечних технологій;</w:t>
            </w:r>
          </w:p>
          <w:p w14:paraId="3604A64D" w14:textId="77777777" w:rsidR="00FA7A13" w:rsidRPr="00FA7A13" w:rsidRDefault="00FA7A13" w:rsidP="00FA7A1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13">
              <w:rPr>
                <w:rFonts w:ascii="Times New Roman" w:eastAsia="Times New Roman" w:hAnsi="Times New Roman" w:cs="Times New Roman"/>
                <w:sz w:val="28"/>
                <w:szCs w:val="28"/>
              </w:rPr>
              <w:t>- додаткові надходження до бюджетів всіх рівнів завдяки легалізації операцій оброблення відходів;</w:t>
            </w:r>
          </w:p>
          <w:p w14:paraId="6B6C9D0E" w14:textId="77777777" w:rsidR="00FA7A13" w:rsidRPr="00FA7A13" w:rsidRDefault="00FA7A13" w:rsidP="00FA7A1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13">
              <w:rPr>
                <w:rFonts w:ascii="Times New Roman" w:eastAsia="Times New Roman" w:hAnsi="Times New Roman" w:cs="Times New Roman"/>
                <w:sz w:val="28"/>
                <w:szCs w:val="28"/>
              </w:rPr>
              <w:t>- підвищення ефективності використання коштів державного та місцевих бюджетів для здійснення заходів у сфері управління відходами з метою запобігання негативному впливу на навколишнє природне середовище і здоров’я людини.</w:t>
            </w:r>
          </w:p>
          <w:p w14:paraId="40D20E0F" w14:textId="77777777" w:rsidR="00FA7A13" w:rsidRPr="00FA7A13" w:rsidRDefault="00FA7A13" w:rsidP="00FA7A1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Така альтернатива є найбільш оптимальною, оскільки дозволить в повній мірі досягти цілей державного регулювання та спрямована на вирішення проблемних питань зазначених в розділі 1 даного аналізу. </w:t>
            </w:r>
          </w:p>
          <w:p w14:paraId="66085A53" w14:textId="00039D6F" w:rsidR="00591790" w:rsidRDefault="00FA7A13" w:rsidP="00FA7A1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A7A13">
              <w:rPr>
                <w:rFonts w:ascii="Times New Roman" w:eastAsia="Times New Roman" w:hAnsi="Times New Roman" w:cs="Times New Roman"/>
                <w:sz w:val="28"/>
                <w:szCs w:val="28"/>
              </w:rPr>
              <w:t>Дана альтернатива забезпечує економію коштів бізнесу на адміністрування дозвільн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та </w:t>
            </w:r>
            <w:r w:rsidRPr="00FA7A13">
              <w:rPr>
                <w:rFonts w:ascii="Times New Roman" w:eastAsia="Times New Roman" w:hAnsi="Times New Roman" w:cs="Times New Roman"/>
                <w:sz w:val="28"/>
                <w:szCs w:val="28"/>
              </w:rPr>
              <w:t>ліцензійних процедур більше 2 млрд.грн. в рік.</w:t>
            </w:r>
          </w:p>
          <w:p w14:paraId="37937108" w14:textId="77777777" w:rsidR="00591790" w:rsidRDefault="00591790" w:rsidP="00FA7A13">
            <w:pPr>
              <w:tabs>
                <w:tab w:val="left" w:pos="851"/>
                <w:tab w:val="left" w:pos="993"/>
              </w:tabs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shd w:val="clear" w:color="auto" w:fill="auto"/>
          </w:tcPr>
          <w:p w14:paraId="2E642057" w14:textId="62F71D3B" w:rsidR="00591790" w:rsidRDefault="00A32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Відсутні</w:t>
            </w:r>
          </w:p>
        </w:tc>
      </w:tr>
      <w:tr w:rsidR="00591790" w14:paraId="6F5441C9" w14:textId="77777777">
        <w:tc>
          <w:tcPr>
            <w:tcW w:w="2329" w:type="dxa"/>
            <w:shd w:val="clear" w:color="auto" w:fill="auto"/>
          </w:tcPr>
          <w:p w14:paraId="02242D39" w14:textId="77777777" w:rsidR="00591790" w:rsidRDefault="00FE2137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Альтернатива 1.</w:t>
            </w:r>
          </w:p>
          <w:p w14:paraId="40E7862D" w14:textId="77777777" w:rsidR="00591790" w:rsidRDefault="0059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8" w:type="dxa"/>
            <w:shd w:val="clear" w:color="auto" w:fill="auto"/>
          </w:tcPr>
          <w:p w14:paraId="0D13351C" w14:textId="77777777" w:rsidR="00591790" w:rsidRDefault="00FE2137">
            <w:pPr>
              <w:tabs>
                <w:tab w:val="left" w:pos="851"/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Цей альтернативний спосіб досягнення цілей не може бути застосований, оскільки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дозволить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вирішити проблеми, зазначені у розділі І даного Аналізу, а також не дозволить досягти цілей державного регулювання. </w:t>
            </w:r>
          </w:p>
        </w:tc>
        <w:tc>
          <w:tcPr>
            <w:tcW w:w="3531" w:type="dxa"/>
            <w:shd w:val="clear" w:color="auto" w:fill="auto"/>
          </w:tcPr>
          <w:p w14:paraId="34E9259A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Залишаються корупційні ризики.</w:t>
            </w:r>
          </w:p>
        </w:tc>
      </w:tr>
    </w:tbl>
    <w:p w14:paraId="0E6CA8BE" w14:textId="77777777" w:rsidR="00591790" w:rsidRDefault="00591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924A13" w14:textId="77777777" w:rsidR="00591790" w:rsidRDefault="00FE2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V. Механізми та заходи, які забезпечать розв’язання визначеної проблеми </w:t>
      </w:r>
    </w:p>
    <w:p w14:paraId="7C30BEEC" w14:textId="77777777" w:rsidR="00591790" w:rsidRDefault="00591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196608" w14:textId="77777777" w:rsidR="00591790" w:rsidRDefault="00FE2137">
      <w:pPr>
        <w:widowControl w:val="0"/>
        <w:tabs>
          <w:tab w:val="left" w:pos="-3686"/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5" w:name="bookmark=id.2s8eyo1" w:colFirst="0" w:colLast="0"/>
      <w:bookmarkStart w:id="6" w:name="bookmark=id.3dy6vkm" w:colFirst="0" w:colLast="0"/>
      <w:bookmarkStart w:id="7" w:name="bookmark=id.26in1rg" w:colFirst="0" w:colLast="0"/>
      <w:bookmarkStart w:id="8" w:name="bookmark=id.2jxsxqh" w:colFirst="0" w:colLast="0"/>
      <w:bookmarkStart w:id="9" w:name="bookmark=id.17dp8vu" w:colFirst="0" w:colLast="0"/>
      <w:bookmarkStart w:id="10" w:name="bookmark=id.3rdcrjn" w:colFirst="0" w:colLast="0"/>
      <w:bookmarkStart w:id="11" w:name="bookmark=id.1ksv4uv" w:colFirst="0" w:colLast="0"/>
      <w:bookmarkStart w:id="12" w:name="bookmark=id.35nkun2" w:colFirst="0" w:colLast="0"/>
      <w:bookmarkStart w:id="13" w:name="bookmark=id.lnxbz9" w:colFirst="0" w:colLast="0"/>
      <w:bookmarkStart w:id="14" w:name="bookmark=id.44sinio" w:colFirst="0" w:colLast="0"/>
      <w:bookmarkStart w:id="15" w:name="bookmark=id.4d34og8" w:colFirst="0" w:colLast="0"/>
      <w:bookmarkStart w:id="16" w:name="bookmark=id.1t3h5sf" w:colFirst="0" w:colLast="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Механізмами, які забезпечать розв’язання проблеми, є:</w:t>
      </w:r>
    </w:p>
    <w:p w14:paraId="6A6C3C50" w14:textId="77777777" w:rsidR="00591790" w:rsidRDefault="00FE2137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затвердження Порядку </w:t>
      </w:r>
      <w:r w:rsidR="00F4321F">
        <w:rPr>
          <w:rFonts w:ascii="Times New Roman" w:eastAsia="Times New Roman" w:hAnsi="Times New Roman" w:cs="Times New Roman"/>
          <w:sz w:val="28"/>
          <w:szCs w:val="28"/>
        </w:rPr>
        <w:t>створення та адміністрування інформаційної системи управління відходами;</w:t>
      </w:r>
    </w:p>
    <w:p w14:paraId="5552A932" w14:textId="77777777" w:rsidR="00591790" w:rsidRDefault="00FE2137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забезпечення автоматичної перевірки інформації, яка зазначається заявником під час формування електронного документа, щодо її достовірності у порядку інформаційної взаємодії ЕкоСистеми з іншими електронними інформаційними ресурсами або системами, у тому числі з:</w:t>
      </w:r>
    </w:p>
    <w:p w14:paraId="5F31BEBA" w14:textId="77777777" w:rsidR="00591790" w:rsidRDefault="00FE2137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Єдиним державним реєстром юридичних осіб, фізичних осіб — підприємців та громадських формувань;</w:t>
      </w:r>
    </w:p>
    <w:p w14:paraId="126EBE10" w14:textId="77777777" w:rsidR="00591790" w:rsidRDefault="00FE2137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Державним реєстром речових прав на нерухоме майно;</w:t>
      </w:r>
    </w:p>
    <w:p w14:paraId="3D7E3325" w14:textId="77777777" w:rsidR="00591790" w:rsidRDefault="00FE2137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Єдиною державною електронною системою дозвільних документів;</w:t>
      </w:r>
    </w:p>
    <w:p w14:paraId="2D7CE949" w14:textId="77777777" w:rsidR="00591790" w:rsidRDefault="00FE2137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Порталом електронних послуг Державного агентства водних ресурсів;</w:t>
      </w:r>
    </w:p>
    <w:p w14:paraId="2C0E5D01" w14:textId="77777777" w:rsidR="00591790" w:rsidRDefault="00FE2137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Єдиним державним веб-порталом відкритих даних;</w:t>
      </w:r>
    </w:p>
    <w:p w14:paraId="3E12ADC7" w14:textId="7850BB3A" w:rsidR="00591790" w:rsidRDefault="001F22F2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="00FE2137">
        <w:rPr>
          <w:rFonts w:ascii="Times New Roman" w:eastAsia="Times New Roman" w:hAnsi="Times New Roman" w:cs="Times New Roman"/>
          <w:sz w:val="28"/>
          <w:szCs w:val="28"/>
        </w:rPr>
        <w:t>нтегрованою системою електронної ідентифікації;</w:t>
      </w:r>
    </w:p>
    <w:p w14:paraId="6DA190E5" w14:textId="77777777" w:rsidR="00591790" w:rsidRDefault="00FE2137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Єдиним реєстром з оцінки впливу на довкілля.</w:t>
      </w:r>
    </w:p>
    <w:p w14:paraId="6A4086B8" w14:textId="77777777" w:rsidR="00591790" w:rsidRDefault="00FE2137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автоматичного оформлення електронного документу, сформований за результатами надання адміністративних послуг та його внесення до </w:t>
      </w:r>
      <w:r w:rsidR="00F4321F">
        <w:rPr>
          <w:rFonts w:ascii="Times New Roman" w:eastAsia="Times New Roman" w:hAnsi="Times New Roman" w:cs="Times New Roman"/>
          <w:sz w:val="28"/>
          <w:szCs w:val="28"/>
        </w:rPr>
        <w:t>відповідного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реєстру, з присвоєнням йому унікального реєстраційного номеру та оприлюдненням цієї інформації в ЕкоСистемі;</w:t>
      </w:r>
    </w:p>
    <w:p w14:paraId="487D1F7A" w14:textId="77777777" w:rsidR="00591790" w:rsidRDefault="00FE2137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встановлення процедури інформування заявника про надані адміністративні послуги шляхом надсилання повідомлення програмними засобами Єдиного державного вебпорталу електронних послуг.</w:t>
      </w:r>
    </w:p>
    <w:p w14:paraId="032D74F9" w14:textId="77777777" w:rsidR="00591790" w:rsidRDefault="00FE2137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цьому, розв’язання визначених в розділі І Аналізу регуляторного впливу проблем забезпечать такі заходи:</w:t>
      </w:r>
    </w:p>
    <w:p w14:paraId="01ED2C48" w14:textId="77777777" w:rsidR="00591790" w:rsidRDefault="00591790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C88600" w14:textId="77777777" w:rsidR="00591790" w:rsidRDefault="00FE2137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Організаційні заходи для впровадження регулювання:</w:t>
      </w:r>
    </w:p>
    <w:p w14:paraId="61C96F2E" w14:textId="306DCDDF" w:rsidR="00591790" w:rsidRDefault="00FE2137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впровадження цього регуляторного акта необхідно забезпечити інформування суб’єктів господарювання про </w:t>
      </w:r>
      <w:r w:rsidR="00DF5D3A">
        <w:rPr>
          <w:rFonts w:ascii="Times New Roman" w:eastAsia="Times New Roman" w:hAnsi="Times New Roman" w:cs="Times New Roman"/>
          <w:sz w:val="28"/>
          <w:szCs w:val="28"/>
        </w:rPr>
        <w:t xml:space="preserve">положення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регуляторного акта шляхом його оприлюднення у засобах масової інформації та розміщенні на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офіційному веб-порталі Міндовкілля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BB3157" w14:textId="77777777" w:rsidR="00591790" w:rsidRDefault="00591790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608A02" w14:textId="77777777" w:rsidR="00591790" w:rsidRDefault="00FE2137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Заходи, які необхідно здійснити суб’єктам господарювання:</w:t>
      </w:r>
    </w:p>
    <w:p w14:paraId="199B396F" w14:textId="77777777" w:rsidR="00591790" w:rsidRDefault="00FE2137">
      <w:pPr>
        <w:widowControl w:val="0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ознайомитися з вимогами регулювання (пошук та опрацювання регуляторного акта в мережі Інтернет);</w:t>
      </w:r>
    </w:p>
    <w:p w14:paraId="72F70E78" w14:textId="77777777" w:rsidR="00591790" w:rsidRDefault="00FE2137">
      <w:pPr>
        <w:widowControl w:val="0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організувати виконання вимог регулювання.</w:t>
      </w:r>
    </w:p>
    <w:p w14:paraId="0AF305D0" w14:textId="77777777" w:rsidR="00591790" w:rsidRDefault="00FE2137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Ризику впливу зовнішніх факторів на дію регуляторного акта немає. Досягнення цілей не передбачає додаткових організаційних заходів. Можлива шкода у разі очікуваних наслідків дії акта не прогнозується.</w:t>
      </w:r>
    </w:p>
    <w:p w14:paraId="2832A58D" w14:textId="77777777" w:rsidR="00591790" w:rsidRDefault="00591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3A05D369" w14:textId="77777777" w:rsidR="00591790" w:rsidRDefault="00FE2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VI. 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0C8C3E09" w14:textId="77777777" w:rsidR="00591790" w:rsidRDefault="00591790">
      <w:pPr>
        <w:widowControl w:val="0"/>
        <w:tabs>
          <w:tab w:val="left" w:pos="-3686"/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349F68" w14:textId="77777777" w:rsidR="00591790" w:rsidRDefault="00FE2137">
      <w:pPr>
        <w:widowControl w:val="0"/>
        <w:tabs>
          <w:tab w:val="left" w:pos="-3686"/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 </w:t>
      </w:r>
    </w:p>
    <w:p w14:paraId="2CD44534" w14:textId="77777777" w:rsidR="00591790" w:rsidRDefault="00FE2137">
      <w:pPr>
        <w:widowControl w:val="0"/>
        <w:tabs>
          <w:tab w:val="left" w:pos="-3686"/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14:paraId="666FAF6F" w14:textId="70B7F03F" w:rsidR="00591790" w:rsidRDefault="00FE2137">
      <w:pPr>
        <w:widowControl w:val="0"/>
        <w:tabs>
          <w:tab w:val="left" w:pos="-3686"/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Розрахунок витрат для суб’єктів господарювання </w:t>
      </w:r>
      <w:r w:rsidR="00DF5D3A">
        <w:rPr>
          <w:rFonts w:ascii="Times New Roman" w:eastAsia="Times New Roman" w:hAnsi="Times New Roman" w:cs="Times New Roman"/>
          <w:sz w:val="28"/>
          <w:szCs w:val="28"/>
        </w:rPr>
        <w:t xml:space="preserve">великого та </w:t>
      </w:r>
      <w:r>
        <w:rPr>
          <w:rFonts w:ascii="Times New Roman" w:eastAsia="Times New Roman" w:hAnsi="Times New Roman" w:cs="Times New Roman"/>
          <w:sz w:val="28"/>
          <w:szCs w:val="28"/>
        </w:rPr>
        <w:t>середнього підприємництва проведено в межах даного аналізу</w:t>
      </w:r>
      <w:r w:rsidR="007E4C85">
        <w:rPr>
          <w:rFonts w:ascii="Times New Roman" w:eastAsia="Times New Roman" w:hAnsi="Times New Roman" w:cs="Times New Roman"/>
          <w:sz w:val="28"/>
          <w:szCs w:val="28"/>
        </w:rPr>
        <w:t>(Додаток 1)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AA2378" w14:textId="5AC9ECD6" w:rsidR="00591790" w:rsidRDefault="00FE2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Розрахунок витрат суб’єктів малого та мікро-підприємництва на виконання вимог регулювання (Додаток 4 (Тест малого підприємництва) до Методики проведення аналізу впливу регуляторного акта), провед</w:t>
      </w:r>
      <w:r w:rsidR="00DF5D3A">
        <w:rPr>
          <w:rFonts w:ascii="Times New Roman" w:eastAsia="Times New Roman" w:hAnsi="Times New Roman" w:cs="Times New Roman"/>
          <w:sz w:val="28"/>
          <w:szCs w:val="28"/>
        </w:rPr>
        <w:t>ено в межах даного аналізу</w:t>
      </w:r>
      <w:r w:rsidR="007E4C85">
        <w:rPr>
          <w:rFonts w:ascii="Times New Roman" w:eastAsia="Times New Roman" w:hAnsi="Times New Roman" w:cs="Times New Roman"/>
          <w:sz w:val="28"/>
          <w:szCs w:val="28"/>
        </w:rPr>
        <w:t>(Додаток 2)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1F8CE2" w14:textId="77777777" w:rsidR="00591790" w:rsidRDefault="00591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6C8F39" w14:textId="77777777" w:rsidR="00591790" w:rsidRDefault="00FE2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VII. Обґрунтування запропонованого строку дії регуляторного акта</w:t>
      </w:r>
    </w:p>
    <w:p w14:paraId="23BF3E5F" w14:textId="77777777" w:rsidR="00591790" w:rsidRDefault="00591790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C892FB" w14:textId="77777777" w:rsidR="00591790" w:rsidRDefault="00FE2137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Строк дії цього регуляторного акта встановлюється на необмежений термін, оскільки він регулює відносини, які мають пролонгований характер. Зміна строку дії регуляторного акта можлива в разі зміни міжнародно-правових актів чи законодавчих актів України. </w:t>
      </w:r>
    </w:p>
    <w:p w14:paraId="7BBBAA88" w14:textId="77777777" w:rsidR="00591790" w:rsidRDefault="00FE2137" w:rsidP="00F4321F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Термін набрання чинності регуляторним актом – постанова </w:t>
      </w:r>
      <w:r w:rsidR="00F4321F" w:rsidRPr="00A26FD7">
        <w:rPr>
          <w:rFonts w:ascii="Times New Roman" w:hAnsi="Times New Roman" w:cs="Times New Roman"/>
          <w:sz w:val="28"/>
          <w:szCs w:val="28"/>
        </w:rPr>
        <w:t>набира</w:t>
      </w:r>
      <w:r w:rsidR="00F4321F">
        <w:rPr>
          <w:rFonts w:ascii="Times New Roman" w:hAnsi="Times New Roman" w:cs="Times New Roman"/>
          <w:sz w:val="28"/>
          <w:szCs w:val="28"/>
        </w:rPr>
        <w:t>тиме</w:t>
      </w:r>
      <w:r w:rsidR="00F4321F" w:rsidRPr="00A26FD7">
        <w:rPr>
          <w:rFonts w:ascii="Times New Roman" w:hAnsi="Times New Roman" w:cs="Times New Roman"/>
          <w:sz w:val="28"/>
          <w:szCs w:val="28"/>
        </w:rPr>
        <w:t xml:space="preserve"> чинності з д</w:t>
      </w:r>
      <w:r w:rsidR="00F4321F">
        <w:rPr>
          <w:rFonts w:ascii="Times New Roman" w:hAnsi="Times New Roman" w:cs="Times New Roman"/>
          <w:sz w:val="28"/>
          <w:szCs w:val="28"/>
        </w:rPr>
        <w:t>ня її опублікування та вводитиметься</w:t>
      </w:r>
      <w:r w:rsidR="00F4321F" w:rsidRPr="00A26FD7">
        <w:rPr>
          <w:rFonts w:ascii="Times New Roman" w:hAnsi="Times New Roman" w:cs="Times New Roman"/>
          <w:sz w:val="28"/>
          <w:szCs w:val="28"/>
        </w:rPr>
        <w:t xml:space="preserve"> в дію одночасно із Законом України "Про управління відходами"</w:t>
      </w:r>
      <w:r w:rsidR="00F4321F">
        <w:rPr>
          <w:rFonts w:ascii="Times New Roman" w:hAnsi="Times New Roman" w:cs="Times New Roman"/>
          <w:sz w:val="28"/>
          <w:szCs w:val="28"/>
        </w:rPr>
        <w:t>.</w:t>
      </w:r>
    </w:p>
    <w:p w14:paraId="698A0D47" w14:textId="77777777" w:rsidR="00F4321F" w:rsidRDefault="00F4321F" w:rsidP="00F4321F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2C4FF5" w14:textId="77777777" w:rsidR="00591790" w:rsidRDefault="00FE2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VIII. Визначення показників результативності дії регуляторного акта</w:t>
      </w:r>
    </w:p>
    <w:p w14:paraId="6F044ACF" w14:textId="77777777" w:rsidR="00591790" w:rsidRDefault="00591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B6DB1E" w14:textId="77777777" w:rsidR="00591790" w:rsidRDefault="00FE2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Прогнозними значеннями показників результативності регуляторного акта є:</w:t>
      </w:r>
    </w:p>
    <w:p w14:paraId="0C00C161" w14:textId="77777777" w:rsidR="00591790" w:rsidRDefault="00FE21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Розмір надходжень до державного та місцевих бюджетів і державних цільових фондів, пов’язаних із дією акта. </w:t>
      </w:r>
    </w:p>
    <w:p w14:paraId="1407518D" w14:textId="77777777" w:rsidR="00591790" w:rsidRDefault="00FE21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Кількість суб’єктів господарювання – юридичні особи та фізичних особи - підприємці, які у повному обсязі або частково провадять чи мають намір провадити господарську діяльність з </w:t>
      </w:r>
      <w:r w:rsidR="00F4321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відходами. </w:t>
      </w:r>
    </w:p>
    <w:p w14:paraId="77D0413F" w14:textId="77777777" w:rsidR="00591790" w:rsidRDefault="00FE21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 коштів і час, які витрачаються суб’єктами господарювання у зв’язку із виконанням вимог акта – низький.</w:t>
      </w:r>
    </w:p>
    <w:p w14:paraId="0B64027B" w14:textId="603B5652" w:rsidR="00591790" w:rsidRPr="00FA7A13" w:rsidRDefault="00FE21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Розмір коштів, які витрачатимуться суб’єктом господарювання у зв’язку із виконанням вимог акта становить </w:t>
      </w:r>
      <w:r w:rsidR="00FA7A13" w:rsidRPr="00FA7A13">
        <w:rPr>
          <w:rFonts w:ascii="Times New Roman" w:eastAsia="Times New Roman" w:hAnsi="Times New Roman" w:cs="Times New Roman"/>
          <w:sz w:val="28"/>
          <w:szCs w:val="28"/>
        </w:rPr>
        <w:t>40,46</w:t>
      </w:r>
      <w:r w:rsidRPr="00FA7A13">
        <w:rPr>
          <w:rFonts w:ascii="Times New Roman" w:eastAsia="Times New Roman" w:hAnsi="Times New Roman" w:cs="Times New Roman"/>
          <w:sz w:val="28"/>
          <w:szCs w:val="28"/>
        </w:rPr>
        <w:t xml:space="preserve"> грн.</w:t>
      </w:r>
    </w:p>
    <w:p w14:paraId="16BFCE13" w14:textId="38812D26" w:rsidR="00591790" w:rsidRPr="00FA7A13" w:rsidRDefault="00FE21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A13">
        <w:rPr>
          <w:rFonts w:ascii="Times New Roman" w:eastAsia="Times New Roman" w:hAnsi="Times New Roman" w:cs="Times New Roman"/>
          <w:sz w:val="28"/>
          <w:szCs w:val="28"/>
        </w:rPr>
        <w:t xml:space="preserve">Кількість часу, який витрачатиметься суб’єктом господарювання у зв’язку із виконанням вимог акта: </w:t>
      </w:r>
      <w:r w:rsidR="00FA7A13" w:rsidRPr="00FA7A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7A1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14:paraId="57517AE1" w14:textId="77777777" w:rsidR="00591790" w:rsidRPr="00FA7A13" w:rsidRDefault="00591790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E3EA9E" w14:textId="77777777" w:rsidR="00591790" w:rsidRDefault="00FE21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Рівень поінформованості суб’єктів господарювання і фізичних осіб – високий. Проєкт акта та відповідний аналіз регуляторного впливу оприлюднено на офіційному веб-сайті Міндовкілля.</w:t>
      </w:r>
    </w:p>
    <w:p w14:paraId="21ACAA48" w14:textId="77777777" w:rsidR="00591790" w:rsidRDefault="00591790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80D61CC" w14:textId="7F1C46D1" w:rsidR="00591790" w:rsidRDefault="00FE2137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Додатковими показниками результативності запровадження регуляторного акта, виходячи з його цілей, слугуватимуть:</w:t>
      </w:r>
    </w:p>
    <w:p w14:paraId="7AD5AAD8" w14:textId="77777777" w:rsidR="00190183" w:rsidRDefault="00190183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A4F61CE" w14:textId="26011AB0" w:rsidR="001F22F2" w:rsidRPr="00190183" w:rsidRDefault="00190183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Кількість створених облікових записів;</w:t>
      </w:r>
    </w:p>
    <w:p w14:paraId="6D39B220" w14:textId="122203A8" w:rsidR="001F22F2" w:rsidRPr="00190183" w:rsidRDefault="001F22F2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 xml:space="preserve">Рівень 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інформаційної взаємодії Єдиної екологічної платформи «ЕкоСистема»  з іншими електронними інформаційними ресурсами або системами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077FAD9" w14:textId="7E8CCED1" w:rsidR="001F22F2" w:rsidRPr="00190183" w:rsidRDefault="001F22F2" w:rsidP="001F22F2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Рівень доступу до п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ідсистем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надання адміністративних послуг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BAEE6EF" w14:textId="6203A812" w:rsidR="001F22F2" w:rsidRPr="00190183" w:rsidRDefault="001F22F2" w:rsidP="001F22F2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Рівень доступу до п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ідмодул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«Облік потужностей з управління відходами»</w:t>
      </w:r>
      <w:r w:rsidR="00190183" w:rsidRPr="0019018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E60FEC6" w14:textId="1B1479B4" w:rsidR="001F22F2" w:rsidRPr="00190183" w:rsidRDefault="001F22F2" w:rsidP="001F22F2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 xml:space="preserve">Рівень доступу до 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ідмодул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«Ведення та перевірки потужностей»</w:t>
      </w:r>
      <w:r w:rsidR="00190183" w:rsidRPr="0019018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58DF43A" w14:textId="082ABDEA" w:rsidR="001F22F2" w:rsidRPr="00190183" w:rsidRDefault="001F22F2" w:rsidP="001F22F2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Рівень доступу до п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ідмодул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 xml:space="preserve"> «Управління видачею дозволів»</w:t>
      </w:r>
      <w:r w:rsidR="00190183" w:rsidRPr="0019018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1DF26F8" w14:textId="5A893294" w:rsidR="001F22F2" w:rsidRPr="00190183" w:rsidRDefault="001F22F2" w:rsidP="001F22F2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Рівень доступу до п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ідмодул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 xml:space="preserve">  «Управління перевіркою ліцензіатів»</w:t>
      </w:r>
      <w:r w:rsidR="0019018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8E6C007" w14:textId="3B40DA15" w:rsidR="001F22F2" w:rsidRPr="00190183" w:rsidRDefault="00190183" w:rsidP="001F22F2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Рівень доступу до п</w:t>
      </w:r>
      <w:r w:rsidR="001F22F2" w:rsidRPr="00190183">
        <w:rPr>
          <w:rFonts w:ascii="Times New Roman" w:eastAsia="Times New Roman" w:hAnsi="Times New Roman" w:cs="Times New Roman"/>
          <w:bCs/>
          <w:sz w:val="28"/>
          <w:szCs w:val="28"/>
        </w:rPr>
        <w:t>ідмодул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1F22F2" w:rsidRPr="00190183">
        <w:rPr>
          <w:rFonts w:ascii="Times New Roman" w:eastAsia="Times New Roman" w:hAnsi="Times New Roman" w:cs="Times New Roman"/>
          <w:bCs/>
          <w:sz w:val="28"/>
          <w:szCs w:val="28"/>
        </w:rPr>
        <w:t xml:space="preserve"> «Транскордонне перевезення відходів»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7618E68" w14:textId="2CEA1DCF" w:rsidR="001F22F2" w:rsidRPr="00190183" w:rsidRDefault="00190183" w:rsidP="001F22F2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Рівень доступу до п</w:t>
      </w:r>
      <w:r w:rsidR="001F22F2" w:rsidRPr="00190183">
        <w:rPr>
          <w:rFonts w:ascii="Times New Roman" w:eastAsia="Times New Roman" w:hAnsi="Times New Roman" w:cs="Times New Roman"/>
          <w:bCs/>
          <w:sz w:val="28"/>
          <w:szCs w:val="28"/>
        </w:rPr>
        <w:t>ідмодул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1F22F2" w:rsidRPr="0019018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«Ведення ліцензійної діяльності»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DF2F5B6" w14:textId="3E052AC8" w:rsidR="001F22F2" w:rsidRPr="00190183" w:rsidRDefault="00190183" w:rsidP="001F22F2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Рівень доступу до п</w:t>
      </w:r>
      <w:r w:rsidR="001F22F2" w:rsidRPr="00190183">
        <w:rPr>
          <w:rFonts w:ascii="Times New Roman" w:eastAsia="Times New Roman" w:hAnsi="Times New Roman" w:cs="Times New Roman"/>
          <w:bCs/>
          <w:sz w:val="28"/>
          <w:szCs w:val="28"/>
        </w:rPr>
        <w:t>ідмодул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1F22F2" w:rsidRPr="00190183">
        <w:rPr>
          <w:rFonts w:ascii="Times New Roman" w:eastAsia="Times New Roman" w:hAnsi="Times New Roman" w:cs="Times New Roman"/>
          <w:bCs/>
          <w:sz w:val="28"/>
          <w:szCs w:val="28"/>
        </w:rPr>
        <w:t xml:space="preserve"> «Управління надання електронних публічних послуг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4AFADC8" w14:textId="77777777" w:rsidR="00591790" w:rsidRDefault="0059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AAC799" w14:textId="77777777" w:rsidR="00591790" w:rsidRDefault="00FE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14:paraId="3CB7E876" w14:textId="77777777" w:rsidR="00591790" w:rsidRDefault="0059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5DD353" w14:textId="77777777" w:rsidR="00591790" w:rsidRDefault="00FE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Відстеження результативності регуляторного акта здійснюватиметься шляхом проведення базового, повторного та періодичного відстежень статистичних показників результативності акта, визначених під час проведення аналізу впливу регуляторного акта. </w:t>
      </w:r>
    </w:p>
    <w:p w14:paraId="08811CE7" w14:textId="77777777" w:rsidR="00591790" w:rsidRDefault="00FE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Базове відстеження результативності цього регуляторного акта здійснюватиметься після набрання ним чинності, оскільки для цього використовуватимуться виключно статистичні показники. </w:t>
      </w:r>
    </w:p>
    <w:p w14:paraId="5C3E863C" w14:textId="77777777" w:rsidR="00591790" w:rsidRDefault="00FE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Повторне відстеження результативності регуляторного акта здійснюватиметься через рік з дня набрання чинності цим регуляторним актом, але не пізніше двох років після набрання ним чинності. За результатами даного відстеження відбудеться порівняння показників базового та повторного відстеження.</w:t>
      </w:r>
    </w:p>
    <w:p w14:paraId="65B08E1A" w14:textId="77777777" w:rsidR="00591790" w:rsidRDefault="00FE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Періодичне відстеження результативності буде здійснюватися один раз на кожні три роки починаючи з дня закінчення заходів з повторного відстеження результативності цього акта.</w:t>
      </w:r>
    </w:p>
    <w:p w14:paraId="41486146" w14:textId="2AD84A27" w:rsidR="00591790" w:rsidRDefault="00FE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DF5D3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даних, за допомогою яких здійснюватиметься відстеження результативності – статистичні</w:t>
      </w:r>
      <w:r w:rsidR="00DF5D3A">
        <w:rPr>
          <w:rFonts w:ascii="Times New Roman" w:eastAsia="Times New Roman" w:hAnsi="Times New Roman" w:cs="Times New Roman"/>
          <w:sz w:val="28"/>
          <w:szCs w:val="28"/>
        </w:rPr>
        <w:t xml:space="preserve"> та соціологічні.</w:t>
      </w:r>
    </w:p>
    <w:p w14:paraId="10C88E81" w14:textId="77777777" w:rsidR="00591790" w:rsidRDefault="00FE2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змін.</w:t>
      </w:r>
    </w:p>
    <w:p w14:paraId="790F96B1" w14:textId="77777777" w:rsidR="00591790" w:rsidRDefault="00FE2137">
      <w:pPr>
        <w:widowControl w:val="0"/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Відстеження результативності регуляторного акта буде здійснюватися Міндовкіллям протягом усього терміну його дії. </w:t>
      </w:r>
    </w:p>
    <w:p w14:paraId="66150E77" w14:textId="77777777" w:rsidR="00591790" w:rsidRDefault="00FE2137">
      <w:pPr>
        <w:widowControl w:val="0"/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Строк виконання заходів 30 робочих днів.</w:t>
      </w:r>
    </w:p>
    <w:p w14:paraId="50D8E956" w14:textId="77777777" w:rsidR="00591790" w:rsidRDefault="00591790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7C569E" w14:textId="77777777" w:rsidR="004C490C" w:rsidRDefault="004C490C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13C517" w14:textId="77777777" w:rsidR="004C490C" w:rsidRDefault="004C490C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7CC717" w14:textId="77777777" w:rsidR="00591790" w:rsidRDefault="00FE2137">
      <w:pPr>
        <w:widowControl w:val="0"/>
        <w:tabs>
          <w:tab w:val="left" w:pos="990"/>
        </w:tabs>
        <w:spacing w:after="0" w:line="240" w:lineRule="auto"/>
        <w:ind w:right="3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Міністр захисту довкілля та </w:t>
      </w:r>
    </w:p>
    <w:p w14:paraId="3BEE9EFD" w14:textId="77777777" w:rsidR="00591790" w:rsidRDefault="00FE2137">
      <w:pPr>
        <w:widowControl w:val="0"/>
        <w:tabs>
          <w:tab w:val="left" w:pos="990"/>
        </w:tabs>
        <w:spacing w:after="0" w:line="240" w:lineRule="auto"/>
        <w:ind w:right="3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природних ресурсів України                             </w:t>
      </w:r>
      <w:r w:rsidR="004C49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4C490C">
        <w:rPr>
          <w:rFonts w:ascii="Times New Roman" w:eastAsia="Times New Roman" w:hAnsi="Times New Roman" w:cs="Times New Roman"/>
          <w:b/>
          <w:sz w:val="28"/>
          <w:szCs w:val="28"/>
        </w:rPr>
        <w:t>Руслан СТРІЛЕЦЬ</w:t>
      </w:r>
    </w:p>
    <w:p w14:paraId="4C561D63" w14:textId="77777777" w:rsidR="00591790" w:rsidRDefault="004C490C">
      <w:pPr>
        <w:widowControl w:val="0"/>
        <w:tabs>
          <w:tab w:val="left" w:pos="990"/>
        </w:tabs>
        <w:spacing w:after="0" w:line="240" w:lineRule="auto"/>
        <w:ind w:right="368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EB231C3" w14:textId="77777777" w:rsidR="00591790" w:rsidRDefault="00591790">
      <w:pPr>
        <w:widowControl w:val="0"/>
        <w:tabs>
          <w:tab w:val="left" w:pos="990"/>
        </w:tabs>
        <w:spacing w:after="0" w:line="240" w:lineRule="auto"/>
        <w:ind w:right="368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2BD4AA" w14:textId="77777777" w:rsidR="004C490C" w:rsidRDefault="004C490C">
      <w:pPr>
        <w:widowControl w:val="0"/>
        <w:tabs>
          <w:tab w:val="left" w:pos="990"/>
        </w:tabs>
        <w:spacing w:after="0" w:line="240" w:lineRule="auto"/>
        <w:ind w:right="368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8A5AE4" w14:textId="77777777" w:rsidR="004C490C" w:rsidRDefault="004C490C">
      <w:pPr>
        <w:widowControl w:val="0"/>
        <w:tabs>
          <w:tab w:val="left" w:pos="990"/>
        </w:tabs>
        <w:spacing w:after="0" w:line="240" w:lineRule="auto"/>
        <w:ind w:right="368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CDD490" w14:textId="77777777" w:rsidR="004C490C" w:rsidRDefault="004C490C">
      <w:pPr>
        <w:widowControl w:val="0"/>
        <w:tabs>
          <w:tab w:val="left" w:pos="990"/>
        </w:tabs>
        <w:spacing w:after="0" w:line="240" w:lineRule="auto"/>
        <w:ind w:right="368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607C57" w14:textId="77777777" w:rsidR="004C490C" w:rsidRDefault="004C490C">
      <w:pPr>
        <w:widowControl w:val="0"/>
        <w:tabs>
          <w:tab w:val="left" w:pos="990"/>
        </w:tabs>
        <w:spacing w:after="0" w:line="240" w:lineRule="auto"/>
        <w:ind w:right="368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8F0253" w14:textId="77777777" w:rsidR="004C490C" w:rsidRDefault="004C490C">
      <w:pPr>
        <w:widowControl w:val="0"/>
        <w:tabs>
          <w:tab w:val="left" w:pos="990"/>
        </w:tabs>
        <w:spacing w:after="0" w:line="240" w:lineRule="auto"/>
        <w:ind w:right="368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59197F" w14:textId="77777777" w:rsidR="004C490C" w:rsidRDefault="004C490C">
      <w:pPr>
        <w:widowControl w:val="0"/>
        <w:tabs>
          <w:tab w:val="left" w:pos="990"/>
        </w:tabs>
        <w:spacing w:after="0" w:line="240" w:lineRule="auto"/>
        <w:ind w:right="368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33F3FB" w14:textId="77777777" w:rsidR="004C490C" w:rsidRDefault="004C490C">
      <w:pPr>
        <w:widowControl w:val="0"/>
        <w:tabs>
          <w:tab w:val="left" w:pos="990"/>
        </w:tabs>
        <w:spacing w:after="0" w:line="240" w:lineRule="auto"/>
        <w:ind w:right="368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23ABAA" w14:textId="77777777" w:rsidR="004C490C" w:rsidRDefault="004C490C">
      <w:pPr>
        <w:widowControl w:val="0"/>
        <w:tabs>
          <w:tab w:val="left" w:pos="990"/>
        </w:tabs>
        <w:spacing w:after="0" w:line="240" w:lineRule="auto"/>
        <w:ind w:right="368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7D7D8A" w14:textId="77777777" w:rsidR="004C490C" w:rsidRDefault="004C490C">
      <w:pPr>
        <w:widowControl w:val="0"/>
        <w:tabs>
          <w:tab w:val="left" w:pos="990"/>
        </w:tabs>
        <w:spacing w:after="0" w:line="240" w:lineRule="auto"/>
        <w:ind w:right="368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98685D" w14:textId="77777777" w:rsidR="00591790" w:rsidRDefault="00591790">
      <w:pPr>
        <w:widowControl w:val="0"/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E862A5" w14:textId="77777777" w:rsidR="00591790" w:rsidRDefault="00FE2137">
      <w:pPr>
        <w:spacing w:after="0" w:line="240" w:lineRule="auto"/>
        <w:ind w:right="6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до Аналізу регуляторного впливу</w:t>
      </w:r>
    </w:p>
    <w:p w14:paraId="0D1D29E4" w14:textId="77777777" w:rsidR="00591790" w:rsidRDefault="00591790">
      <w:pPr>
        <w:spacing w:after="0" w:line="240" w:lineRule="auto"/>
        <w:ind w:right="65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2DCC10F" w14:textId="77777777" w:rsidR="00591790" w:rsidRDefault="00FE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Витрати на одного суб’єкта господарювання великого і середнього підприємництва, які виникають внаслідок дії регуляторного акта</w:t>
      </w:r>
    </w:p>
    <w:p w14:paraId="59E71CE3" w14:textId="77777777" w:rsidR="00591790" w:rsidRDefault="00FE21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24C1266" w14:textId="77777777" w:rsidR="00591790" w:rsidRDefault="00591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tbl>
      <w:tblPr>
        <w:tblStyle w:val="aff8"/>
        <w:tblW w:w="9051" w:type="dxa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1"/>
        <w:gridCol w:w="3210"/>
        <w:gridCol w:w="2565"/>
        <w:gridCol w:w="2495"/>
      </w:tblGrid>
      <w:tr w:rsidR="00591790" w14:paraId="7F7B011C" w14:textId="77777777">
        <w:trPr>
          <w:trHeight w:val="87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A960B" w14:textId="77777777" w:rsidR="00591790" w:rsidRDefault="00FE213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E650" w14:textId="77777777" w:rsidR="00591790" w:rsidRDefault="00FE213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3506" w14:textId="77777777" w:rsidR="00591790" w:rsidRDefault="00FE213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перший рік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F63B" w14:textId="77777777" w:rsidR="00591790" w:rsidRDefault="00FE213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п’ять років</w:t>
            </w:r>
          </w:p>
        </w:tc>
      </w:tr>
      <w:tr w:rsidR="00591790" w14:paraId="7AED6041" w14:textId="77777777">
        <w:trPr>
          <w:trHeight w:val="2610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7A8C" w14:textId="77777777" w:rsidR="00591790" w:rsidRDefault="00FE213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0B94" w14:textId="77777777" w:rsidR="00591790" w:rsidRDefault="00FE2137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E183" w14:textId="460C4A5B" w:rsidR="00591790" w:rsidRDefault="0065445D" w:rsidP="004C490C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  <w:r w:rsidR="00FE21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год.</w:t>
            </w:r>
            <w:r w:rsidR="00FE2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(час, який витрачається с/г на пошук нормативно-правового акту в мережі Інтернет та ознайомлення з ним) 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40,46</w:t>
            </w:r>
            <w:r w:rsidR="00FE2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20,23 </w:t>
            </w:r>
            <w:r w:rsidR="00FE21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грн.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59FF" w14:textId="64AE90EE" w:rsidR="00591790" w:rsidRDefault="00E67078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20,23</w:t>
            </w:r>
            <w:r w:rsidR="004C490C" w:rsidRPr="004C4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21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грн.</w:t>
            </w:r>
          </w:p>
          <w:p w14:paraId="78E16BB1" w14:textId="77777777" w:rsidR="00591790" w:rsidRDefault="00FE2137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(припущено, що суб’єкт повинен виконувати вимоги регулювання лише в перший рік; за результатами консультацій)</w:t>
            </w:r>
          </w:p>
        </w:tc>
      </w:tr>
      <w:tr w:rsidR="00591790" w14:paraId="4226A182" w14:textId="77777777">
        <w:trPr>
          <w:trHeight w:val="12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A0A9" w14:textId="77777777" w:rsidR="00591790" w:rsidRDefault="00FE213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67C2" w14:textId="559E8357" w:rsidR="00591790" w:rsidRDefault="00FE2137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організації виконання вимог регулювання (</w:t>
            </w:r>
            <w:r w:rsidR="0065445D" w:rsidRPr="0065445D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 облікового запису та внесення відомостей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14:paraId="70DB5AC2" w14:textId="77777777" w:rsidR="00591790" w:rsidRDefault="00591790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5CA26" w14:textId="5F893274" w:rsidR="00591790" w:rsidRDefault="0065445D" w:rsidP="004C490C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  <w:r w:rsidR="00FE21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год.</w:t>
            </w:r>
            <w:r w:rsidR="00FE2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(час, який витрачається с/г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 облікового запису та внесення відомостей)</w:t>
            </w:r>
            <w:r w:rsidR="00FE2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40,46</w:t>
            </w:r>
            <w:r w:rsidR="004C4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2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грн. = </w:t>
            </w:r>
            <w:r w:rsidRPr="0065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20,23 </w:t>
            </w:r>
            <w:r w:rsidR="00FE21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EF71" w14:textId="2EE4B636" w:rsidR="00591790" w:rsidRDefault="00E67078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20,23 </w:t>
            </w:r>
            <w:r w:rsidR="00FE21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591790" w14:paraId="11C4FFCF" w14:textId="77777777">
        <w:trPr>
          <w:trHeight w:val="720"/>
        </w:trPr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E1F3" w14:textId="77777777" w:rsidR="00591790" w:rsidRDefault="00FE213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0C6E" w14:textId="77777777" w:rsidR="00591790" w:rsidRDefault="00FE2137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 (сума рядків: 1+2+3), гривень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BA0B" w14:textId="0C593223" w:rsidR="00591790" w:rsidRDefault="00E67078" w:rsidP="00AF3BA0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40,46</w:t>
            </w:r>
            <w:r w:rsidR="00FE21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A08EA" w14:textId="56DC900C" w:rsidR="00591790" w:rsidRDefault="00E67078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40,46</w:t>
            </w:r>
            <w:r w:rsidR="00FE21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</w:tc>
      </w:tr>
      <w:tr w:rsidR="00591790" w14:paraId="0B218F19" w14:textId="77777777">
        <w:trPr>
          <w:trHeight w:val="1575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652FC" w14:textId="77777777" w:rsidR="00591790" w:rsidRDefault="00FE213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A5C86" w14:textId="77777777" w:rsidR="00591790" w:rsidRDefault="00FE2137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4564" w14:textId="73493874" w:rsidR="00591790" w:rsidRPr="0065445D" w:rsidRDefault="0065445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18269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D674" w14:textId="77777777" w:rsidR="00591790" w:rsidRDefault="00FE213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A362B21" w14:textId="77777777" w:rsidR="00591790" w:rsidRDefault="00FE213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91790" w14:paraId="0DCEE15C" w14:textId="77777777">
        <w:trPr>
          <w:trHeight w:val="183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5A2C" w14:textId="77777777" w:rsidR="00591790" w:rsidRDefault="00FE213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0448" w14:textId="77777777" w:rsidR="00591790" w:rsidRDefault="00FE2137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3 х рядок 4), гривень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FDC5" w14:textId="1BB7A59E" w:rsidR="00591790" w:rsidRDefault="00E67078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739 164</w:t>
            </w:r>
            <w:r w:rsidR="00AF3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21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грн.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5092" w14:textId="77777777" w:rsidR="00591790" w:rsidRDefault="00FE213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14:paraId="54A8449D" w14:textId="77777777" w:rsidR="00591790" w:rsidRDefault="00591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14:paraId="565D0BBB" w14:textId="77777777" w:rsidR="00591790" w:rsidRDefault="00FE2137">
      <w:pPr>
        <w:spacing w:after="0" w:line="240" w:lineRule="auto"/>
        <w:ind w:left="270" w:right="36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tbl>
      <w:tblPr>
        <w:tblStyle w:val="aff9"/>
        <w:tblW w:w="900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8"/>
        <w:gridCol w:w="3312"/>
        <w:gridCol w:w="1280"/>
      </w:tblGrid>
      <w:tr w:rsidR="00591790" w14:paraId="7911D68D" w14:textId="77777777">
        <w:trPr>
          <w:trHeight w:val="20"/>
        </w:trPr>
        <w:tc>
          <w:tcPr>
            <w:tcW w:w="4408" w:type="dxa"/>
            <w:vAlign w:val="center"/>
          </w:tcPr>
          <w:p w14:paraId="4A97F6D3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17" w:name="bookmark=id.z337ya" w:colFirst="0" w:colLast="0"/>
            <w:bookmarkEnd w:id="17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Вид витрат</w:t>
            </w:r>
          </w:p>
        </w:tc>
        <w:tc>
          <w:tcPr>
            <w:tcW w:w="3312" w:type="dxa"/>
            <w:vAlign w:val="center"/>
          </w:tcPr>
          <w:p w14:paraId="42E4DA17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Витрати на сплату податків та зборів (змінених/ нововведених) (за рік)</w:t>
            </w:r>
          </w:p>
        </w:tc>
        <w:tc>
          <w:tcPr>
            <w:tcW w:w="1280" w:type="dxa"/>
            <w:vAlign w:val="center"/>
          </w:tcPr>
          <w:p w14:paraId="608F6B3C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Витрати за п’ять років</w:t>
            </w:r>
          </w:p>
        </w:tc>
      </w:tr>
      <w:tr w:rsidR="00591790" w14:paraId="0DCC621E" w14:textId="77777777">
        <w:trPr>
          <w:trHeight w:val="20"/>
        </w:trPr>
        <w:tc>
          <w:tcPr>
            <w:tcW w:w="4408" w:type="dxa"/>
          </w:tcPr>
          <w:p w14:paraId="3C60E5CB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3312" w:type="dxa"/>
          </w:tcPr>
          <w:p w14:paraId="6C5C7F46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 передбачені</w:t>
            </w:r>
          </w:p>
        </w:tc>
        <w:tc>
          <w:tcPr>
            <w:tcW w:w="1280" w:type="dxa"/>
          </w:tcPr>
          <w:p w14:paraId="338B9B2A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 передбачені</w:t>
            </w:r>
          </w:p>
        </w:tc>
      </w:tr>
    </w:tbl>
    <w:p w14:paraId="74DCD3CA" w14:textId="77777777" w:rsidR="00591790" w:rsidRDefault="0059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8" w:name="bookmark=id.3j2qqm3" w:colFirst="0" w:colLast="0"/>
      <w:bookmarkEnd w:id="18"/>
    </w:p>
    <w:tbl>
      <w:tblPr>
        <w:tblStyle w:val="affa"/>
        <w:tblW w:w="900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1"/>
        <w:gridCol w:w="1661"/>
        <w:gridCol w:w="1656"/>
        <w:gridCol w:w="1658"/>
        <w:gridCol w:w="1274"/>
      </w:tblGrid>
      <w:tr w:rsidR="00591790" w14:paraId="48F82448" w14:textId="77777777">
        <w:trPr>
          <w:trHeight w:val="866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5E3BE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Вид витрат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ED781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Витрати на ведення обліку, підготовку та подання звітності (за рік)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E1D6B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Витрати на оплату штрафних санкцій за рік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B7C7F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Разом за рік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3D9D1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Витрати за п’ять років</w:t>
            </w:r>
          </w:p>
        </w:tc>
      </w:tr>
      <w:tr w:rsidR="00591790" w14:paraId="0F506782" w14:textId="77777777">
        <w:trPr>
          <w:trHeight w:val="1761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4B3A6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CCACF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 передбачені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496E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 передбачені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6DFD3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 передбачені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5537A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 передбачені</w:t>
            </w:r>
          </w:p>
        </w:tc>
      </w:tr>
    </w:tbl>
    <w:p w14:paraId="1A9FA731" w14:textId="77777777" w:rsidR="00591790" w:rsidRDefault="0059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Style w:val="affb"/>
        <w:tblW w:w="900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259"/>
        <w:gridCol w:w="2408"/>
        <w:gridCol w:w="1433"/>
        <w:gridCol w:w="900"/>
      </w:tblGrid>
      <w:tr w:rsidR="00591790" w14:paraId="4AB2B6D4" w14:textId="77777777">
        <w:trPr>
          <w:trHeight w:val="2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DC8C8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19" w:name="bookmark=id.1y810tw" w:colFirst="0" w:colLast="0"/>
            <w:bookmarkStart w:id="20" w:name="bookmark=id.4i7ojhp" w:colFirst="0" w:colLast="0"/>
            <w:bookmarkEnd w:id="19"/>
            <w:bookmarkEnd w:id="20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Вид витрат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C9385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Витрати на адміністрування заходів державного нагляду (контролю)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(за рік)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440AF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Витрати на оплату штрафних санкцій та усунення виявлених порушень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(за рік)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284F1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Періодичні (за наступні роки)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2E5B2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Витрати за п’ять років</w:t>
            </w:r>
          </w:p>
        </w:tc>
      </w:tr>
      <w:tr w:rsidR="00591790" w14:paraId="68F06C57" w14:textId="77777777">
        <w:trPr>
          <w:trHeight w:val="2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C2B3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2524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 передбачені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BC74C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 передбачені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73C5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 передбачені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B1925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 передбачені</w:t>
            </w:r>
          </w:p>
        </w:tc>
      </w:tr>
    </w:tbl>
    <w:p w14:paraId="6A7945E1" w14:textId="77777777" w:rsidR="00591790" w:rsidRDefault="0059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21" w:name="bookmark=id.2xcytpi" w:colFirst="0" w:colLast="0"/>
      <w:bookmarkEnd w:id="21"/>
    </w:p>
    <w:tbl>
      <w:tblPr>
        <w:tblStyle w:val="affc"/>
        <w:tblW w:w="90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1"/>
        <w:gridCol w:w="2410"/>
        <w:gridCol w:w="1805"/>
        <w:gridCol w:w="1885"/>
        <w:gridCol w:w="990"/>
      </w:tblGrid>
      <w:tr w:rsidR="00591790" w14:paraId="4E02C99D" w14:textId="77777777">
        <w:trPr>
          <w:trHeight w:val="20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AC7BE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22" w:name="bookmark=id.1ci93xb" w:colFirst="0" w:colLast="0"/>
            <w:bookmarkEnd w:id="22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Вид витрат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D994C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EA0D8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D6D10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Періодичні (за наступні роки)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DDC8C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Витрати за п’ять років</w:t>
            </w:r>
          </w:p>
        </w:tc>
      </w:tr>
      <w:tr w:rsidR="00591790" w14:paraId="4EC6CF04" w14:textId="77777777">
        <w:trPr>
          <w:trHeight w:val="20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754F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A3968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Розрахунок витрат  проведено в межах процедури організації виконання вимог регулювання.</w:t>
            </w:r>
          </w:p>
          <w:p w14:paraId="42C91F3A" w14:textId="77777777" w:rsidR="00591790" w:rsidRDefault="0059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FC2BF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Розрахунок витрат  проведено в межах процедури організації виконання вимог регулювання.</w:t>
            </w:r>
          </w:p>
          <w:p w14:paraId="2F9EE896" w14:textId="77777777" w:rsidR="00591790" w:rsidRDefault="0059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9C1A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9AF1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--</w:t>
            </w:r>
          </w:p>
        </w:tc>
      </w:tr>
    </w:tbl>
    <w:p w14:paraId="3C00A087" w14:textId="77777777" w:rsidR="00591790" w:rsidRDefault="00FE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</w:p>
    <w:tbl>
      <w:tblPr>
        <w:tblStyle w:val="affd"/>
        <w:tblW w:w="9091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6"/>
        <w:gridCol w:w="2260"/>
        <w:gridCol w:w="2111"/>
        <w:gridCol w:w="1224"/>
      </w:tblGrid>
      <w:tr w:rsidR="00591790" w14:paraId="10758CD1" w14:textId="77777777">
        <w:trPr>
          <w:trHeight w:val="20"/>
        </w:trPr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B1DE0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23" w:name="bookmark=id.3whwml4" w:colFirst="0" w:colLast="0"/>
            <w:bookmarkEnd w:id="23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Вид витрат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61B7A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 рік (стартовий)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8EFF6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Періодичні (за наступний рік)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A85A3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Витрати за п’ять років</w:t>
            </w:r>
          </w:p>
        </w:tc>
      </w:tr>
      <w:tr w:rsidR="00591790" w14:paraId="717CCDFF" w14:textId="77777777">
        <w:trPr>
          <w:trHeight w:val="20"/>
        </w:trPr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F629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3A45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 передбачені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72576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 передбачені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4E2C7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 передбачені</w:t>
            </w:r>
          </w:p>
        </w:tc>
      </w:tr>
    </w:tbl>
    <w:p w14:paraId="5BF7AA71" w14:textId="77777777" w:rsidR="00591790" w:rsidRDefault="0059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24" w:name="bookmark=id.2bn6wsx" w:colFirst="0" w:colLast="0"/>
      <w:bookmarkEnd w:id="24"/>
    </w:p>
    <w:tbl>
      <w:tblPr>
        <w:tblStyle w:val="affe"/>
        <w:tblW w:w="9091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2"/>
        <w:gridCol w:w="3535"/>
        <w:gridCol w:w="3264"/>
      </w:tblGrid>
      <w:tr w:rsidR="00591790" w14:paraId="11BA1BDD" w14:textId="77777777">
        <w:trPr>
          <w:trHeight w:val="20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2A62A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Вид витрат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D6F6D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Витрати на оплату праці додатково найманого персоналу (за рік)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87E18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Витрати за п’ять років</w:t>
            </w:r>
          </w:p>
        </w:tc>
      </w:tr>
      <w:tr w:rsidR="00591790" w14:paraId="5CDBCE1E" w14:textId="77777777">
        <w:trPr>
          <w:trHeight w:val="20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A928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Витрати, пов’язані із найманням додаткового персоналу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51C07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 передбачені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110BD" w14:textId="77777777" w:rsidR="00591790" w:rsidRDefault="00F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 передбачені</w:t>
            </w:r>
          </w:p>
        </w:tc>
      </w:tr>
    </w:tbl>
    <w:p w14:paraId="4549DCE6" w14:textId="77777777" w:rsid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5CA25B3" w14:textId="77777777" w:rsid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4DABAE" w14:textId="77777777" w:rsid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A6CB64" w14:textId="77777777" w:rsid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B7FE9F" w14:textId="77777777" w:rsid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E27D7E" w14:textId="77777777" w:rsid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ED4130" w14:textId="77777777" w:rsid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ADF8CF" w14:textId="77777777" w:rsid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0800407" w14:textId="77777777" w:rsid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6FAB84" w14:textId="77777777" w:rsid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4375BAE" w14:textId="77777777" w:rsid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BE481F" w14:textId="77777777" w:rsid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BB5CD4" w14:textId="77777777" w:rsid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399321" w14:textId="77777777" w:rsid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928272" w14:textId="77777777" w:rsid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D814D1" w14:textId="77777777" w:rsid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6A7CD7" w14:textId="77777777" w:rsid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1B4BA5" w14:textId="77777777" w:rsid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413CD9" w14:textId="77777777" w:rsid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8FE05D" w14:textId="77777777" w:rsid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E1673A" w14:textId="77777777" w:rsid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BD3ABB" w14:textId="77777777" w:rsid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8A99A2" w14:textId="5941F768" w:rsidR="00190183" w:rsidRPr="00190183" w:rsidRDefault="00190183" w:rsidP="00190183">
      <w:pPr>
        <w:spacing w:after="0" w:line="240" w:lineRule="auto"/>
        <w:ind w:right="-7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t>Додаток 2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br/>
        <w:t>до Аналізу регуляторного впливу</w:t>
      </w:r>
      <w:r w:rsidRPr="00190183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14:paraId="2A34BCE3" w14:textId="4082EBA1" w:rsidR="00190183" w:rsidRPr="00190183" w:rsidRDefault="00190183" w:rsidP="00190183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43F0C8F" w14:textId="79965534" w:rsidR="00190183" w:rsidRPr="00190183" w:rsidRDefault="00190183" w:rsidP="00190183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183"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</w:p>
    <w:p w14:paraId="41D1975A" w14:textId="77777777" w:rsidR="00190183" w:rsidRPr="00190183" w:rsidRDefault="00190183" w:rsidP="00190183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90183">
        <w:rPr>
          <w:rFonts w:ascii="Times New Roman" w:eastAsia="Times New Roman" w:hAnsi="Times New Roman" w:cs="Times New Roman"/>
          <w:b/>
          <w:sz w:val="28"/>
          <w:szCs w:val="28"/>
        </w:rPr>
        <w:t>малого підприємництва (М-Тест)</w:t>
      </w:r>
    </w:p>
    <w:p w14:paraId="20A82386" w14:textId="77777777" w:rsidR="00190183" w:rsidRPr="00190183" w:rsidRDefault="00190183" w:rsidP="00190183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679E9F" w14:textId="77777777" w:rsidR="00190183" w:rsidRPr="00190183" w:rsidRDefault="00190183" w:rsidP="00190183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0183">
        <w:rPr>
          <w:rFonts w:ascii="Times New Roman" w:eastAsia="Times New Roman" w:hAnsi="Times New Roman" w:cs="Times New Roman"/>
          <w:sz w:val="28"/>
          <w:szCs w:val="28"/>
        </w:rPr>
        <w:t>1. Консультації з представниками мікро – та малого підприємництва щодо оцінки впливу регулювання.</w:t>
      </w:r>
    </w:p>
    <w:p w14:paraId="3B3D3CE3" w14:textId="1F87F33A" w:rsidR="00190183" w:rsidRPr="00190183" w:rsidRDefault="00190183" w:rsidP="00190183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0183">
        <w:rPr>
          <w:rFonts w:ascii="Times New Roman" w:eastAsia="Times New Roman" w:hAnsi="Times New Roman" w:cs="Times New Roman"/>
          <w:sz w:val="28"/>
          <w:szCs w:val="28"/>
        </w:rPr>
        <w:t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0</w:t>
      </w:r>
      <w:r w:rsidR="009121E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9018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121E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9018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121E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018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121E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9018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121E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9018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121E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90183"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</w:p>
    <w:p w14:paraId="3755A582" w14:textId="77777777" w:rsidR="00190183" w:rsidRP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2471"/>
        <w:gridCol w:w="2017"/>
        <w:gridCol w:w="3342"/>
      </w:tblGrid>
      <w:tr w:rsidR="00190183" w:rsidRPr="00190183" w14:paraId="64759718" w14:textId="77777777" w:rsidTr="008E5441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4C48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Порядковий номер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611E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консультацій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723A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Кількість учасників консультацій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C2A2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Основні результати консультацій</w:t>
            </w:r>
          </w:p>
        </w:tc>
      </w:tr>
      <w:tr w:rsidR="00190183" w:rsidRPr="00190183" w14:paraId="5831233A" w14:textId="77777777" w:rsidTr="008E5441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502F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D418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Телефонні розмови із суб’єктами господарювання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7F53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6E7D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Отримано інформацію щодо переліку процедур, які необхідно виконати у зв’язку із запровадженням нових змін:</w:t>
            </w:r>
          </w:p>
          <w:p w14:paraId="3DF79B5C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ознайомитися з новими вимогами регулювання – 0,5 год.</w:t>
            </w:r>
          </w:p>
          <w:p w14:paraId="5F0FEC44" w14:textId="652B2F5A" w:rsidR="00190183" w:rsidRPr="00190183" w:rsidRDefault="00324E12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Pr="00324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ити</w:t>
            </w:r>
            <w:r w:rsidRPr="00324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обліков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ий </w:t>
            </w:r>
            <w:r w:rsidRPr="00324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запис та внес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</w:t>
            </w:r>
            <w:r w:rsidRPr="00324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відомо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сті</w:t>
            </w:r>
            <w:r w:rsidRPr="00324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90183" w:rsidRPr="001901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912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0,5 </w:t>
            </w:r>
            <w:r w:rsidR="00190183" w:rsidRPr="001901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год.</w:t>
            </w:r>
          </w:p>
          <w:p w14:paraId="00E7D05D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0213EB0" w14:textId="77777777" w:rsidR="00190183" w:rsidRP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6ECA57" w14:textId="77777777" w:rsidR="00190183" w:rsidRP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18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90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183">
        <w:rPr>
          <w:rFonts w:ascii="Times New Roman" w:eastAsia="Times New Roman" w:hAnsi="Times New Roman" w:cs="Times New Roman"/>
          <w:b/>
          <w:sz w:val="28"/>
          <w:szCs w:val="28"/>
        </w:rPr>
        <w:t>Вимірювання впливу регулювання на суб’єктів малого підприємництва</w:t>
      </w:r>
    </w:p>
    <w:p w14:paraId="2A91738C" w14:textId="730133E6" w:rsidR="009121E5" w:rsidRPr="009121E5" w:rsidRDefault="00190183" w:rsidP="00324E12">
      <w:pPr>
        <w:spacing w:after="0" w:line="240" w:lineRule="auto"/>
        <w:ind w:right="-79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90183">
        <w:rPr>
          <w:rFonts w:ascii="Times New Roman" w:eastAsia="Times New Roman" w:hAnsi="Times New Roman" w:cs="Times New Roman"/>
          <w:sz w:val="28"/>
          <w:szCs w:val="28"/>
        </w:rPr>
        <w:t xml:space="preserve">Кількість суб’єктів малого (мікро) підприємництва, на яких поширюється регулювання –  </w:t>
      </w:r>
      <w:r w:rsidR="009121E5" w:rsidRPr="009121E5">
        <w:rPr>
          <w:rFonts w:ascii="Times New Roman" w:eastAsia="Times New Roman" w:hAnsi="Times New Roman" w:cs="Times New Roman"/>
          <w:sz w:val="28"/>
          <w:szCs w:val="28"/>
        </w:rPr>
        <w:t>1 923</w:t>
      </w:r>
      <w:r w:rsidR="009121E5" w:rsidRPr="009121E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21E5" w:rsidRPr="009121E5">
        <w:rPr>
          <w:rFonts w:ascii="Times New Roman" w:eastAsia="Times New Roman" w:hAnsi="Times New Roman" w:cs="Times New Roman"/>
          <w:sz w:val="28"/>
          <w:szCs w:val="28"/>
        </w:rPr>
        <w:t>432</w:t>
      </w:r>
      <w:r w:rsidR="009121E5" w:rsidRPr="009121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A05DB5" w14:textId="359E6BF8" w:rsidR="00190183" w:rsidRPr="00190183" w:rsidRDefault="00190183" w:rsidP="00324E12">
      <w:pPr>
        <w:spacing w:after="0" w:line="240" w:lineRule="auto"/>
        <w:ind w:right="-7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0183">
        <w:rPr>
          <w:rFonts w:ascii="Times New Roman" w:eastAsia="Times New Roman" w:hAnsi="Times New Roman" w:cs="Times New Roman"/>
          <w:sz w:val="28"/>
          <w:szCs w:val="28"/>
        </w:rPr>
        <w:t xml:space="preserve">Питома вага суб’єктів малого (мікро) підприємництва у загальній кількості суб’єктів господарювання, на яких проблема справляє вплив – </w:t>
      </w:r>
      <w:r w:rsidR="009121E5">
        <w:rPr>
          <w:rFonts w:ascii="Times New Roman" w:eastAsia="Times New Roman" w:hAnsi="Times New Roman" w:cs="Times New Roman"/>
          <w:sz w:val="28"/>
          <w:szCs w:val="28"/>
        </w:rPr>
        <w:t xml:space="preserve">98 </w:t>
      </w:r>
      <w:r w:rsidRPr="00190183"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72379F13" w14:textId="77777777" w:rsidR="00190183" w:rsidRP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DE9031" w14:textId="281672A4" w:rsidR="00190183" w:rsidRDefault="00190183" w:rsidP="00190183">
      <w:pPr>
        <w:numPr>
          <w:ilvl w:val="0"/>
          <w:numId w:val="9"/>
        </w:numPr>
        <w:spacing w:after="0" w:line="240" w:lineRule="auto"/>
        <w:ind w:right="-7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9018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Розрахунок витрат суб’єкта малого підприємництва на виконання вимог регулювання</w:t>
      </w:r>
    </w:p>
    <w:p w14:paraId="0038D3FA" w14:textId="77777777" w:rsidR="009121E5" w:rsidRPr="00190183" w:rsidRDefault="009121E5" w:rsidP="00324E12">
      <w:pPr>
        <w:spacing w:after="0" w:line="240" w:lineRule="auto"/>
        <w:ind w:left="927" w:right="-7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74E7E0C" w14:textId="732BFAE9" w:rsidR="00190183" w:rsidRPr="00190183" w:rsidRDefault="00190183" w:rsidP="009121E5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183">
        <w:rPr>
          <w:rFonts w:ascii="Times New Roman" w:eastAsia="Times New Roman" w:hAnsi="Times New Roman" w:cs="Times New Roman"/>
          <w:sz w:val="28"/>
          <w:szCs w:val="28"/>
        </w:rPr>
        <w:t>У розрахунку вартості 1 години роботи використано вартість 1 години роботи, яка відповідно до Закону України «Про Державний бюджет України на 202</w:t>
      </w:r>
      <w:r w:rsidR="009121E5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190183">
        <w:rPr>
          <w:rFonts w:ascii="Times New Roman" w:eastAsia="Times New Roman" w:hAnsi="Times New Roman" w:cs="Times New Roman"/>
          <w:sz w:val="28"/>
          <w:szCs w:val="28"/>
        </w:rPr>
        <w:t xml:space="preserve">рік», з 1 </w:t>
      </w:r>
      <w:r w:rsidR="009121E5">
        <w:rPr>
          <w:rFonts w:ascii="Times New Roman" w:eastAsia="Times New Roman" w:hAnsi="Times New Roman" w:cs="Times New Roman"/>
          <w:sz w:val="28"/>
          <w:szCs w:val="28"/>
        </w:rPr>
        <w:t>жовтня</w:t>
      </w:r>
      <w:r w:rsidRPr="0019018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121E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0183">
        <w:rPr>
          <w:rFonts w:ascii="Times New Roman" w:eastAsia="Times New Roman" w:hAnsi="Times New Roman" w:cs="Times New Roman"/>
          <w:sz w:val="28"/>
          <w:szCs w:val="28"/>
        </w:rPr>
        <w:t xml:space="preserve"> року становить – </w:t>
      </w:r>
      <w:r w:rsidR="009121E5">
        <w:rPr>
          <w:rFonts w:ascii="Times New Roman" w:eastAsia="Times New Roman" w:hAnsi="Times New Roman" w:cs="Times New Roman"/>
          <w:sz w:val="28"/>
          <w:szCs w:val="28"/>
        </w:rPr>
        <w:t xml:space="preserve">40,46 </w:t>
      </w:r>
      <w:r w:rsidRPr="00190183">
        <w:rPr>
          <w:rFonts w:ascii="Times New Roman" w:eastAsia="Times New Roman" w:hAnsi="Times New Roman" w:cs="Times New Roman"/>
          <w:sz w:val="28"/>
          <w:szCs w:val="28"/>
        </w:rPr>
        <w:t>грн.</w:t>
      </w:r>
    </w:p>
    <w:p w14:paraId="09464876" w14:textId="78ADA7EA" w:rsidR="00190183" w:rsidRPr="00190183" w:rsidRDefault="00190183" w:rsidP="009121E5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183">
        <w:rPr>
          <w:rFonts w:ascii="Times New Roman" w:eastAsia="Times New Roman" w:hAnsi="Times New Roman" w:cs="Times New Roman"/>
          <w:sz w:val="28"/>
          <w:szCs w:val="28"/>
        </w:rPr>
        <w:t>Первинна інформація про вимоги регулювання може бути отримана за результатами пошуку</w:t>
      </w:r>
      <w:r w:rsidRPr="001901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0183">
        <w:rPr>
          <w:rFonts w:ascii="Times New Roman" w:eastAsia="Times New Roman" w:hAnsi="Times New Roman" w:cs="Times New Roman"/>
          <w:sz w:val="28"/>
          <w:szCs w:val="28"/>
        </w:rPr>
        <w:t>проєкту постанови Кабінету Міністрів України «</w:t>
      </w:r>
      <w:r w:rsidR="009121E5" w:rsidRPr="009121E5">
        <w:rPr>
          <w:rFonts w:ascii="Times New Roman" w:eastAsia="Times New Roman" w:hAnsi="Times New Roman" w:cs="Times New Roman"/>
          <w:sz w:val="28"/>
          <w:szCs w:val="28"/>
        </w:rPr>
        <w:t>Про затвердження Порядку створення та адміністрування</w:t>
      </w:r>
      <w:r w:rsidR="0091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1E5" w:rsidRPr="009121E5">
        <w:rPr>
          <w:rFonts w:ascii="Times New Roman" w:eastAsia="Times New Roman" w:hAnsi="Times New Roman" w:cs="Times New Roman"/>
          <w:sz w:val="28"/>
          <w:szCs w:val="28"/>
        </w:rPr>
        <w:t>інформаційної системи управління відходами</w:t>
      </w:r>
      <w:r w:rsidRPr="0019018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8568FE3" w14:textId="77777777" w:rsidR="00190183" w:rsidRPr="00190183" w:rsidRDefault="00190183" w:rsidP="009121E5">
      <w:pPr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183">
        <w:rPr>
          <w:rFonts w:ascii="Times New Roman" w:eastAsia="Times New Roman" w:hAnsi="Times New Roman" w:cs="Times New Roman"/>
          <w:sz w:val="28"/>
          <w:szCs w:val="28"/>
        </w:rPr>
        <w:t>Інформація про розмір часу, який витрачається суб’єктами на отримання зазначеної інформації є оціночною.</w:t>
      </w:r>
    </w:p>
    <w:p w14:paraId="5BDADA12" w14:textId="77777777" w:rsidR="00190183" w:rsidRP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70"/>
        <w:gridCol w:w="116"/>
        <w:gridCol w:w="1811"/>
        <w:gridCol w:w="61"/>
        <w:gridCol w:w="1842"/>
        <w:gridCol w:w="12"/>
        <w:gridCol w:w="1615"/>
      </w:tblGrid>
      <w:tr w:rsidR="00190183" w:rsidRPr="00190183" w14:paraId="69E6218B" w14:textId="77777777" w:rsidTr="008E54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BFE0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DE54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 оцінки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E9FF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У перший рік (стартовий рік впровадження регулювання)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BF4A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Періодичні (за наступний рік)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6A0E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 за</w:t>
            </w:r>
          </w:p>
          <w:p w14:paraId="1ADB4B58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п’ять років</w:t>
            </w:r>
          </w:p>
        </w:tc>
      </w:tr>
      <w:tr w:rsidR="00190183" w:rsidRPr="00190183" w14:paraId="24B4CBB2" w14:textId="77777777" w:rsidTr="008E544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C2A3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190183" w:rsidRPr="00190183" w14:paraId="581DD88B" w14:textId="77777777" w:rsidTr="008E54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3565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3358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6DAA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0386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13AF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0183" w:rsidRPr="00190183" w14:paraId="62A556C8" w14:textId="77777777" w:rsidTr="008E54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40A3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7585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5406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2273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7F6D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90183" w:rsidRPr="00190183" w14:paraId="1B22EE59" w14:textId="77777777" w:rsidTr="008E54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1CDB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F479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839F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769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1928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0183" w:rsidRPr="00190183" w14:paraId="67CB725D" w14:textId="77777777" w:rsidTr="008E5441">
        <w:trPr>
          <w:trHeight w:val="8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8581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700A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обслуговування обладнання (технічне обслуговування)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2917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4220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BFAF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90183" w:rsidRPr="00190183" w14:paraId="640A2CB0" w14:textId="77777777" w:rsidTr="008E54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592B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7201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Інші процедури: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70BA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4A50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C87E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0183" w:rsidRPr="00190183" w14:paraId="7415F2A6" w14:textId="77777777" w:rsidTr="008E54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4E80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7A4A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Разом, гривень</w:t>
            </w:r>
          </w:p>
          <w:p w14:paraId="6D193109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Формула:</w:t>
            </w:r>
          </w:p>
          <w:p w14:paraId="7A7B2366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(сума рядків 1 + 2 + 3 + 4 + 5)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E714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E12D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5F4E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0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90183" w:rsidRPr="00190183" w14:paraId="4AEAFEBE" w14:textId="77777777" w:rsidTr="008E54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B6CE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B0E8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суб’єктів господарювання, що повинні виконати вимоги регулювання, одиниць.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BDB3" w14:textId="15558D34" w:rsidR="00190183" w:rsidRPr="00190183" w:rsidRDefault="009121E5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912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1 923 432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5AF7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6E87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90183" w:rsidRPr="00190183" w14:paraId="2615900C" w14:textId="77777777" w:rsidTr="008E54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A6BA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F007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Сумарно, гривень</w:t>
            </w:r>
          </w:p>
          <w:p w14:paraId="6740412A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Формула:</w:t>
            </w:r>
          </w:p>
          <w:p w14:paraId="2710D594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відповідний стовпчик “разом” Х 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6921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F314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02CF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14:paraId="2443F5D3" w14:textId="77777777" w:rsidR="00190183" w:rsidRP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78"/>
        <w:gridCol w:w="2332"/>
        <w:gridCol w:w="1897"/>
        <w:gridCol w:w="2197"/>
      </w:tblGrid>
      <w:tr w:rsidR="00190183" w:rsidRPr="00190183" w14:paraId="03A17078" w14:textId="77777777" w:rsidTr="008E544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74D8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 вартості адміністративних процедур суб’єктів малого підприємництва щодо виконання регулювання</w:t>
            </w:r>
          </w:p>
        </w:tc>
      </w:tr>
      <w:tr w:rsidR="00190183" w:rsidRPr="00190183" w14:paraId="27A1CA1E" w14:textId="77777777" w:rsidTr="008E5441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5195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9E7E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отримання первинної інформації про вимоги регулювання</w:t>
            </w:r>
          </w:p>
          <w:p w14:paraId="38BF07B0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Формула:</w:t>
            </w:r>
          </w:p>
          <w:p w14:paraId="1396C275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BBFA" w14:textId="6012E4AB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0,5 год.</w:t>
            </w: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(час, який витрачається с/г на пошук нормативно-правового акта в мережі  Інтернет та ознайомлення з </w:t>
            </w: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ним; за результатами консультацій) Х </w:t>
            </w:r>
            <w:r w:rsidR="009121E5">
              <w:rPr>
                <w:rFonts w:ascii="Times New Roman" w:eastAsia="Times New Roman" w:hAnsi="Times New Roman" w:cs="Times New Roman"/>
                <w:sz w:val="28"/>
                <w:szCs w:val="28"/>
              </w:rPr>
              <w:t>40,46</w:t>
            </w: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 = </w:t>
            </w:r>
          </w:p>
          <w:p w14:paraId="5F6E2582" w14:textId="54E3C045" w:rsidR="00190183" w:rsidRPr="00190183" w:rsidRDefault="009121E5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20,23</w:t>
            </w:r>
            <w:r w:rsidR="00190183" w:rsidRPr="00190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D534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  <w:p w14:paraId="1E7CF1BA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(припущено, що суб’єкт повинен виконувати вимоги регулювання </w:t>
            </w: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лише в перший рік)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2B23" w14:textId="5A9F7279" w:rsidR="00190183" w:rsidRPr="00190183" w:rsidRDefault="009121E5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20,23</w:t>
            </w:r>
          </w:p>
          <w:p w14:paraId="7D4DAAE3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(припущено, що суб’єкт повинен виконувати вимоги регулювання </w:t>
            </w: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лише в перший рік)</w:t>
            </w:r>
          </w:p>
        </w:tc>
      </w:tr>
      <w:tr w:rsidR="00190183" w:rsidRPr="00190183" w14:paraId="3FD2D20B" w14:textId="77777777" w:rsidTr="008E5441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99EC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EFA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організації виконання вимог регулювання</w:t>
            </w:r>
          </w:p>
          <w:p w14:paraId="48798828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Формула:</w:t>
            </w:r>
          </w:p>
          <w:p w14:paraId="7969507A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261" w14:textId="41CF7901" w:rsidR="00190183" w:rsidRPr="00190183" w:rsidRDefault="009121E5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0,5</w:t>
            </w:r>
            <w:r w:rsidR="00190183" w:rsidRPr="00190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год.</w:t>
            </w:r>
            <w:r w:rsidR="00190183"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7E4C85" w:rsidRPr="007E4C85">
              <w:rPr>
                <w:rFonts w:ascii="Times New Roman" w:eastAsia="Times New Roman" w:hAnsi="Times New Roman" w:cs="Times New Roman"/>
                <w:sz w:val="28"/>
                <w:szCs w:val="28"/>
              </w:rPr>
              <w:t>час, який витрачається с/г на створення облікового запису та внесення відомостей</w:t>
            </w:r>
            <w:r w:rsidR="00190183"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за результатами консультацій) 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40,46</w:t>
            </w:r>
            <w:r w:rsidR="00190183"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 = </w:t>
            </w:r>
          </w:p>
          <w:p w14:paraId="5D022908" w14:textId="13E13B22" w:rsidR="00190183" w:rsidRPr="00190183" w:rsidRDefault="009121E5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20,23</w:t>
            </w:r>
            <w:r w:rsidR="00190183" w:rsidRPr="00190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грн.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BD7B" w14:textId="77777777" w:rsidR="009121E5" w:rsidRPr="009121E5" w:rsidRDefault="009121E5" w:rsidP="009121E5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1E5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  <w:p w14:paraId="36ECF0EC" w14:textId="17DBE29D" w:rsidR="00190183" w:rsidRPr="00190183" w:rsidRDefault="009121E5" w:rsidP="009121E5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1E5">
              <w:rPr>
                <w:rFonts w:ascii="Times New Roman" w:eastAsia="Times New Roman" w:hAnsi="Times New Roman" w:cs="Times New Roman"/>
                <w:sz w:val="28"/>
                <w:szCs w:val="28"/>
              </w:rPr>
              <w:t>(припущено, що суб’єкт повинен виконувати вимоги регулювання лише в перший рік)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5F7B" w14:textId="0E56CB93" w:rsidR="00190183" w:rsidRPr="00190183" w:rsidRDefault="009121E5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20,23</w:t>
            </w:r>
            <w:r w:rsidR="00190183" w:rsidRPr="00190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грн</w:t>
            </w:r>
            <w:r w:rsidR="00190183"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90183" w:rsidRPr="00190183" w14:paraId="057115C6" w14:textId="77777777" w:rsidTr="008E5441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BA1A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4394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Процедури офіційного звітування.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26DB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9234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84EC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90183" w:rsidRPr="00190183" w14:paraId="06104CA8" w14:textId="77777777" w:rsidTr="008E5441">
        <w:trPr>
          <w:trHeight w:val="84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FDB5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EC1C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Процедури щодо забезпечення процесу перевірок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C277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3656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3252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90183" w:rsidRPr="00190183" w14:paraId="6314AAF5" w14:textId="77777777" w:rsidTr="008E5441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8CD8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FCB5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Інші процедури: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51D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8657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A945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183" w:rsidRPr="00190183" w14:paraId="6DF1174D" w14:textId="77777777" w:rsidTr="008E5441">
        <w:trPr>
          <w:trHeight w:val="41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729D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C34F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Разом, гривень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721B" w14:textId="006FBA78" w:rsidR="00190183" w:rsidRPr="00190183" w:rsidRDefault="009121E5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40,46</w:t>
            </w:r>
            <w:r w:rsidR="00190183" w:rsidRPr="00190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6FCC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8D7E" w14:textId="0A0F562A" w:rsidR="00190183" w:rsidRPr="00190183" w:rsidRDefault="009121E5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40,46 </w:t>
            </w:r>
            <w:r w:rsidR="00190183"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190183" w:rsidRPr="00190183" w14:paraId="12A06047" w14:textId="77777777" w:rsidTr="008E5441">
        <w:trPr>
          <w:trHeight w:val="92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E0FA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C857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Кількість суб’єктів малого </w:t>
            </w: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підприємництва, що повинні виконати вимоги регулювання, одиниць.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6C34" w14:textId="304CE53B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="009121E5" w:rsidRPr="009121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1 923 432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BC03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B6FA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90183" w:rsidRPr="00190183" w14:paraId="31A4093F" w14:textId="77777777" w:rsidTr="008E5441">
        <w:trPr>
          <w:trHeight w:val="48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33E6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C990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Сумарно, гривень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45F9" w14:textId="2BCD8FE5" w:rsidR="00190183" w:rsidRPr="00190183" w:rsidRDefault="009121E5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77 822 059</w:t>
            </w:r>
            <w:r w:rsidR="00190183" w:rsidRPr="00190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ED2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556D" w14:textId="77777777" w:rsidR="00190183" w:rsidRPr="00190183" w:rsidRDefault="00190183" w:rsidP="001901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018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14:paraId="7D0376C5" w14:textId="77777777" w:rsidR="00190183" w:rsidRP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</w:p>
    <w:p w14:paraId="08F06F50" w14:textId="66C557C9" w:rsidR="00190183" w:rsidRPr="00190183" w:rsidRDefault="00190183" w:rsidP="00190183">
      <w:pPr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190183">
        <w:rPr>
          <w:rFonts w:ascii="Times New Roman" w:eastAsia="Times New Roman" w:hAnsi="Times New Roman" w:cs="Times New Roman"/>
          <w:sz w:val="28"/>
          <w:szCs w:val="28"/>
        </w:rPr>
        <w:t>Не передбачається розроблення коригуючих заходів</w:t>
      </w:r>
      <w:r w:rsidR="0096139A">
        <w:rPr>
          <w:rFonts w:ascii="Times New Roman" w:eastAsia="Times New Roman" w:hAnsi="Times New Roman" w:cs="Times New Roman"/>
          <w:sz w:val="28"/>
          <w:szCs w:val="28"/>
        </w:rPr>
        <w:t xml:space="preserve">, оскільки нове регулювання спрямоване, у тому числі, на спрощення адміністрування дозвільних, ліцензійних, декларативних та інших процедур у сфері управління </w:t>
      </w:r>
      <w:r w:rsidR="006B3A80">
        <w:rPr>
          <w:rFonts w:ascii="Times New Roman" w:eastAsia="Times New Roman" w:hAnsi="Times New Roman" w:cs="Times New Roman"/>
          <w:sz w:val="28"/>
          <w:szCs w:val="28"/>
        </w:rPr>
        <w:t>відходами.</w:t>
      </w:r>
    </w:p>
    <w:p w14:paraId="777F3C39" w14:textId="77777777" w:rsidR="00591790" w:rsidRDefault="00591790">
      <w:pPr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</w:p>
    <w:sectPr w:rsidR="00591790">
      <w:headerReference w:type="even" r:id="rId10"/>
      <w:headerReference w:type="default" r:id="rId11"/>
      <w:pgSz w:w="11906" w:h="16838"/>
      <w:pgMar w:top="1134" w:right="567" w:bottom="1701" w:left="1701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5131" w14:textId="77777777" w:rsidR="00B91CDB" w:rsidRDefault="00B91CDB">
      <w:pPr>
        <w:spacing w:after="0" w:line="240" w:lineRule="auto"/>
      </w:pPr>
      <w:r>
        <w:separator/>
      </w:r>
    </w:p>
  </w:endnote>
  <w:endnote w:type="continuationSeparator" w:id="0">
    <w:p w14:paraId="60E0A400" w14:textId="77777777" w:rsidR="00B91CDB" w:rsidRDefault="00B9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43F1" w14:textId="77777777" w:rsidR="00B91CDB" w:rsidRDefault="00B91CDB">
      <w:pPr>
        <w:spacing w:after="0" w:line="240" w:lineRule="auto"/>
      </w:pPr>
      <w:r>
        <w:separator/>
      </w:r>
    </w:p>
  </w:footnote>
  <w:footnote w:type="continuationSeparator" w:id="0">
    <w:p w14:paraId="011E856D" w14:textId="77777777" w:rsidR="00B91CDB" w:rsidRDefault="00B91CDB">
      <w:pPr>
        <w:spacing w:after="0" w:line="240" w:lineRule="auto"/>
      </w:pPr>
      <w:r>
        <w:continuationSeparator/>
      </w:r>
    </w:p>
  </w:footnote>
  <w:footnote w:id="1">
    <w:p w14:paraId="4B91B183" w14:textId="18AD812F" w:rsidR="00727D84" w:rsidRDefault="00727D84" w:rsidP="00727D84">
      <w:pPr>
        <w:pStyle w:val="ac"/>
      </w:pPr>
      <w:r>
        <w:rPr>
          <w:rStyle w:val="ae"/>
        </w:rPr>
        <w:footnoteRef/>
      </w:r>
      <w:r>
        <w:t xml:space="preserve"> Стаття 8 Закону України «Про Державний бюджет України на 2022 рік». </w:t>
      </w:r>
      <w:r>
        <w:t>Установити у 2022 році мінімальну заробітну плату:</w:t>
      </w:r>
      <w:r>
        <w:t xml:space="preserve"> </w:t>
      </w:r>
      <w:r>
        <w:t>у місячному розмірі: з 1 січня - 6500 гривень, з 1 жовтня - 6700 гривень;</w:t>
      </w:r>
      <w:r w:rsidR="0065445D">
        <w:t xml:space="preserve"> </w:t>
      </w:r>
      <w:r>
        <w:t>у погодинному розмірі: з 1 січня - 39,26 гривні, з 1 жовтня - 40,46 гривні.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7E61" w14:textId="77777777" w:rsidR="00FE2137" w:rsidRDefault="00FE21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35373E0F" w14:textId="77777777" w:rsidR="00FE2137" w:rsidRDefault="00FE21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42D4" w14:textId="77777777" w:rsidR="00FE2137" w:rsidRDefault="00FE21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6"/>
        <w:szCs w:val="26"/>
      </w:rPr>
    </w:pPr>
    <w:r>
      <w:rPr>
        <w:rFonts w:ascii="Times New Roman" w:eastAsia="Times New Roman" w:hAnsi="Times New Roman" w:cs="Times New Roman"/>
        <w:color w:val="000000"/>
        <w:sz w:val="26"/>
        <w:szCs w:val="26"/>
      </w:rPr>
      <w:fldChar w:fldCharType="begin"/>
    </w:r>
    <w:r>
      <w:rPr>
        <w:rFonts w:ascii="Times New Roman" w:eastAsia="Times New Roman" w:hAnsi="Times New Roman" w:cs="Times New Roman"/>
        <w:color w:val="000000"/>
        <w:sz w:val="26"/>
        <w:szCs w:val="26"/>
      </w:rPr>
      <w:instrText>PAGE</w:instrText>
    </w:r>
    <w:r>
      <w:rPr>
        <w:rFonts w:ascii="Times New Roman" w:eastAsia="Times New Roman" w:hAnsi="Times New Roman" w:cs="Times New Roman"/>
        <w:color w:val="000000"/>
        <w:sz w:val="26"/>
        <w:szCs w:val="26"/>
      </w:rPr>
      <w:fldChar w:fldCharType="separate"/>
    </w:r>
    <w:r w:rsidR="00AF3BA0">
      <w:rPr>
        <w:rFonts w:ascii="Times New Roman" w:eastAsia="Times New Roman" w:hAnsi="Times New Roman" w:cs="Times New Roman"/>
        <w:noProof/>
        <w:color w:val="000000"/>
        <w:sz w:val="26"/>
        <w:szCs w:val="26"/>
      </w:rPr>
      <w:t>19</w:t>
    </w:r>
    <w:r>
      <w:rPr>
        <w:rFonts w:ascii="Times New Roman" w:eastAsia="Times New Roman" w:hAnsi="Times New Roman" w:cs="Times New Roman"/>
        <w:color w:val="000000"/>
        <w:sz w:val="26"/>
        <w:szCs w:val="26"/>
      </w:rPr>
      <w:fldChar w:fldCharType="end"/>
    </w:r>
  </w:p>
  <w:p w14:paraId="4D92CBA8" w14:textId="77777777" w:rsidR="00FE2137" w:rsidRDefault="00FE21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BB0"/>
    <w:multiLevelType w:val="hybridMultilevel"/>
    <w:tmpl w:val="4A1CAD12"/>
    <w:lvl w:ilvl="0" w:tplc="0C28CF10">
      <w:start w:val="73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242246B"/>
    <w:multiLevelType w:val="hybridMultilevel"/>
    <w:tmpl w:val="B77E0B76"/>
    <w:lvl w:ilvl="0" w:tplc="8C6A27BA">
      <w:start w:val="1"/>
      <w:numFmt w:val="decimal"/>
      <w:lvlText w:val="%1)"/>
      <w:lvlJc w:val="left"/>
      <w:pPr>
        <w:ind w:left="1170" w:hanging="360"/>
      </w:pPr>
      <w:rPr>
        <w:rFonts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7636235"/>
    <w:multiLevelType w:val="multilevel"/>
    <w:tmpl w:val="C1D46C3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B15E51"/>
    <w:multiLevelType w:val="multilevel"/>
    <w:tmpl w:val="13563C4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3730ED7"/>
    <w:multiLevelType w:val="multilevel"/>
    <w:tmpl w:val="E6ACFB1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0E761D"/>
    <w:multiLevelType w:val="multilevel"/>
    <w:tmpl w:val="086E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EC2065C"/>
    <w:multiLevelType w:val="multilevel"/>
    <w:tmpl w:val="4680F77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F684F"/>
    <w:multiLevelType w:val="hybridMultilevel"/>
    <w:tmpl w:val="E4F4F6D6"/>
    <w:lvl w:ilvl="0" w:tplc="1A92C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573318"/>
    <w:multiLevelType w:val="multilevel"/>
    <w:tmpl w:val="BD8C57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552885768">
    <w:abstractNumId w:val="8"/>
  </w:num>
  <w:num w:numId="2" w16cid:durableId="1400864384">
    <w:abstractNumId w:val="4"/>
  </w:num>
  <w:num w:numId="3" w16cid:durableId="427702781">
    <w:abstractNumId w:val="2"/>
  </w:num>
  <w:num w:numId="4" w16cid:durableId="1564876747">
    <w:abstractNumId w:val="6"/>
  </w:num>
  <w:num w:numId="5" w16cid:durableId="1454444271">
    <w:abstractNumId w:val="3"/>
  </w:num>
  <w:num w:numId="6" w16cid:durableId="2059235177">
    <w:abstractNumId w:val="5"/>
  </w:num>
  <w:num w:numId="7" w16cid:durableId="1789200755">
    <w:abstractNumId w:val="1"/>
  </w:num>
  <w:num w:numId="8" w16cid:durableId="296032113">
    <w:abstractNumId w:val="0"/>
  </w:num>
  <w:num w:numId="9" w16cid:durableId="1793398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0"/>
    <w:rsid w:val="00172967"/>
    <w:rsid w:val="00190183"/>
    <w:rsid w:val="001A2AC8"/>
    <w:rsid w:val="001F22F2"/>
    <w:rsid w:val="00310849"/>
    <w:rsid w:val="00324E12"/>
    <w:rsid w:val="0040055D"/>
    <w:rsid w:val="00482C54"/>
    <w:rsid w:val="004C490C"/>
    <w:rsid w:val="00546946"/>
    <w:rsid w:val="00546D15"/>
    <w:rsid w:val="00591790"/>
    <w:rsid w:val="005F77B5"/>
    <w:rsid w:val="0065445D"/>
    <w:rsid w:val="006B3A80"/>
    <w:rsid w:val="00727D84"/>
    <w:rsid w:val="0076752E"/>
    <w:rsid w:val="007B4F62"/>
    <w:rsid w:val="007E0E25"/>
    <w:rsid w:val="007E43FF"/>
    <w:rsid w:val="007E4C85"/>
    <w:rsid w:val="00817FA4"/>
    <w:rsid w:val="008219AD"/>
    <w:rsid w:val="008622C1"/>
    <w:rsid w:val="008751AB"/>
    <w:rsid w:val="008B5BE4"/>
    <w:rsid w:val="009041D9"/>
    <w:rsid w:val="009121E5"/>
    <w:rsid w:val="00952E0C"/>
    <w:rsid w:val="0096139A"/>
    <w:rsid w:val="009D224E"/>
    <w:rsid w:val="00A32559"/>
    <w:rsid w:val="00AF3BA0"/>
    <w:rsid w:val="00B12B4C"/>
    <w:rsid w:val="00B91CDB"/>
    <w:rsid w:val="00BD35C5"/>
    <w:rsid w:val="00CA2859"/>
    <w:rsid w:val="00D37742"/>
    <w:rsid w:val="00DA6450"/>
    <w:rsid w:val="00DD35A1"/>
    <w:rsid w:val="00DF5D3A"/>
    <w:rsid w:val="00E15C6D"/>
    <w:rsid w:val="00E6092B"/>
    <w:rsid w:val="00E67078"/>
    <w:rsid w:val="00EC62EC"/>
    <w:rsid w:val="00F4321F"/>
    <w:rsid w:val="00F53633"/>
    <w:rsid w:val="00FA7A13"/>
    <w:rsid w:val="00FE2137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EAE0"/>
  <w15:docId w15:val="{197FF8BC-898A-4A81-A4BC-EB625180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C79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99"/>
    <w:qFormat/>
    <w:locked/>
    <w:rsid w:val="003E3A3C"/>
    <w:pPr>
      <w:autoSpaceDE w:val="0"/>
      <w:autoSpaceDN w:val="0"/>
      <w:spacing w:after="0" w:line="240" w:lineRule="auto"/>
      <w:jc w:val="center"/>
    </w:pPr>
    <w:rPr>
      <w:rFonts w:ascii="PetersburgTT" w:hAnsi="PetersburgTT"/>
      <w:b/>
      <w:bCs/>
      <w:sz w:val="28"/>
      <w:szCs w:val="28"/>
      <w:lang w:val="x-none" w:eastAsia="ru-RU"/>
    </w:rPr>
  </w:style>
  <w:style w:type="paragraph" w:styleId="a5">
    <w:name w:val="header"/>
    <w:basedOn w:val="a"/>
    <w:link w:val="a6"/>
    <w:uiPriority w:val="99"/>
    <w:rsid w:val="005578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uk-U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57895"/>
    <w:rPr>
      <w:rFonts w:ascii="Times New Roman" w:hAnsi="Times New Roman" w:cs="Times New Roman"/>
      <w:sz w:val="20"/>
      <w:szCs w:val="20"/>
      <w:lang w:eastAsia="uk-UA"/>
    </w:rPr>
  </w:style>
  <w:style w:type="character" w:styleId="a7">
    <w:name w:val="page number"/>
    <w:basedOn w:val="a0"/>
    <w:uiPriority w:val="99"/>
    <w:rsid w:val="00557895"/>
    <w:rPr>
      <w:rFonts w:cs="Times New Roman"/>
    </w:rPr>
  </w:style>
  <w:style w:type="paragraph" w:styleId="20">
    <w:name w:val="Body Text Indent 2"/>
    <w:basedOn w:val="a"/>
    <w:link w:val="21"/>
    <w:uiPriority w:val="99"/>
    <w:rsid w:val="00557895"/>
    <w:pPr>
      <w:spacing w:after="0" w:line="360" w:lineRule="auto"/>
      <w:ind w:left="567"/>
      <w:jc w:val="both"/>
    </w:pPr>
    <w:rPr>
      <w:rFonts w:ascii="Times New Roman" w:eastAsia="Times New Roman" w:hAnsi="Times New Roman"/>
      <w:b/>
      <w:sz w:val="28"/>
      <w:szCs w:val="20"/>
      <w:lang w:eastAsia="uk-UA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557895"/>
    <w:rPr>
      <w:rFonts w:ascii="Times New Roman" w:hAnsi="Times New Roman" w:cs="Times New Roman"/>
      <w:b/>
      <w:sz w:val="20"/>
      <w:szCs w:val="20"/>
      <w:lang w:eastAsia="uk-UA"/>
    </w:rPr>
  </w:style>
  <w:style w:type="paragraph" w:styleId="a8">
    <w:name w:val="Body Text"/>
    <w:basedOn w:val="a"/>
    <w:link w:val="a9"/>
    <w:uiPriority w:val="99"/>
    <w:rsid w:val="00557895"/>
    <w:pPr>
      <w:widowControl w:val="0"/>
      <w:spacing w:after="0" w:line="240" w:lineRule="auto"/>
      <w:jc w:val="both"/>
    </w:pPr>
    <w:rPr>
      <w:rFonts w:ascii="Times New Roman" w:eastAsia="Times New Roman" w:hAnsi="Times New Roman"/>
      <w:noProof/>
      <w:color w:val="000000"/>
      <w:sz w:val="28"/>
      <w:szCs w:val="20"/>
      <w:lang w:eastAsia="uk-UA"/>
    </w:rPr>
  </w:style>
  <w:style w:type="character" w:customStyle="1" w:styleId="a9">
    <w:name w:val="Основной текст Знак"/>
    <w:basedOn w:val="a0"/>
    <w:link w:val="a8"/>
    <w:uiPriority w:val="99"/>
    <w:locked/>
    <w:rsid w:val="00557895"/>
    <w:rPr>
      <w:rFonts w:ascii="Times New Roman" w:hAnsi="Times New Roman" w:cs="Times New Roman"/>
      <w:noProof/>
      <w:snapToGrid w:val="0"/>
      <w:color w:val="000000"/>
      <w:sz w:val="20"/>
      <w:szCs w:val="20"/>
      <w:lang w:eastAsia="uk-UA"/>
    </w:rPr>
  </w:style>
  <w:style w:type="paragraph" w:styleId="30">
    <w:name w:val="Body Text Indent 3"/>
    <w:basedOn w:val="a"/>
    <w:link w:val="31"/>
    <w:uiPriority w:val="99"/>
    <w:rsid w:val="0055789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uk-UA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557895"/>
    <w:rPr>
      <w:rFonts w:ascii="Times New Roman" w:hAnsi="Times New Roman" w:cs="Times New Roman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rsid w:val="0055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57895"/>
    <w:rPr>
      <w:rFonts w:ascii="Courier New" w:hAnsi="Courier New" w:cs="Courier New"/>
      <w:sz w:val="21"/>
      <w:szCs w:val="21"/>
      <w:lang w:eastAsia="uk-UA"/>
    </w:rPr>
  </w:style>
  <w:style w:type="character" w:customStyle="1" w:styleId="apple-style-span">
    <w:name w:val="apple-style-span"/>
    <w:uiPriority w:val="99"/>
    <w:rsid w:val="00557895"/>
  </w:style>
  <w:style w:type="character" w:customStyle="1" w:styleId="FontStyle14">
    <w:name w:val="Font Style14"/>
    <w:uiPriority w:val="99"/>
    <w:rsid w:val="00557895"/>
    <w:rPr>
      <w:rFonts w:ascii="Times New Roman" w:hAnsi="Times New Roman"/>
      <w:sz w:val="24"/>
    </w:rPr>
  </w:style>
  <w:style w:type="paragraph" w:styleId="aa">
    <w:name w:val="No Spacing"/>
    <w:uiPriority w:val="99"/>
    <w:qFormat/>
    <w:rsid w:val="00557895"/>
    <w:rPr>
      <w:rFonts w:eastAsia="Times New Roman"/>
      <w:lang w:val="ru-RU" w:eastAsia="ru-RU"/>
    </w:rPr>
  </w:style>
  <w:style w:type="paragraph" w:styleId="ab">
    <w:name w:val="List Paragraph"/>
    <w:basedOn w:val="a"/>
    <w:uiPriority w:val="1"/>
    <w:qFormat/>
    <w:rsid w:val="00557895"/>
    <w:pPr>
      <w:spacing w:line="252" w:lineRule="auto"/>
      <w:ind w:left="720"/>
    </w:pPr>
    <w:rPr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F54A9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F54A93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F54A93"/>
    <w:rPr>
      <w:rFonts w:cs="Times New Roman"/>
      <w:vertAlign w:val="superscript"/>
    </w:rPr>
  </w:style>
  <w:style w:type="paragraph" w:customStyle="1" w:styleId="10">
    <w:name w:val="Основний текст1"/>
    <w:uiPriority w:val="99"/>
    <w:rsid w:val="00E145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Arial Unicode MS"/>
      <w:color w:val="000000"/>
      <w:u w:color="000000"/>
    </w:rPr>
  </w:style>
  <w:style w:type="character" w:customStyle="1" w:styleId="a4">
    <w:name w:val="Заголовок Знак"/>
    <w:basedOn w:val="a0"/>
    <w:link w:val="a3"/>
    <w:uiPriority w:val="99"/>
    <w:rsid w:val="003E3A3C"/>
    <w:rPr>
      <w:rFonts w:ascii="PetersburgTT" w:hAnsi="PetersburgTT"/>
      <w:b/>
      <w:bCs/>
      <w:sz w:val="28"/>
      <w:szCs w:val="28"/>
      <w:lang w:val="x-none" w:eastAsia="ru-RU"/>
    </w:rPr>
  </w:style>
  <w:style w:type="character" w:styleId="af">
    <w:name w:val="Hyperlink"/>
    <w:basedOn w:val="a0"/>
    <w:uiPriority w:val="99"/>
    <w:unhideWhenUsed/>
    <w:rsid w:val="00C265AA"/>
    <w:rPr>
      <w:color w:val="0000FF"/>
      <w:u w:val="single"/>
    </w:rPr>
  </w:style>
  <w:style w:type="paragraph" w:customStyle="1" w:styleId="Standard">
    <w:name w:val="Standard"/>
    <w:rsid w:val="00C265AA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kern w:val="3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D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44C4"/>
    <w:rPr>
      <w:rFonts w:ascii="Segoe UI" w:hAnsi="Segoe UI" w:cs="Segoe UI"/>
      <w:sz w:val="18"/>
      <w:szCs w:val="18"/>
      <w:lang w:eastAsia="en-US"/>
    </w:rPr>
  </w:style>
  <w:style w:type="paragraph" w:styleId="af2">
    <w:name w:val="footer"/>
    <w:basedOn w:val="a"/>
    <w:link w:val="af3"/>
    <w:uiPriority w:val="99"/>
    <w:unhideWhenUsed/>
    <w:rsid w:val="00ED1E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D1E1C"/>
    <w:rPr>
      <w:lang w:eastAsia="en-US"/>
    </w:rPr>
  </w:style>
  <w:style w:type="character" w:styleId="af4">
    <w:name w:val="annotation reference"/>
    <w:basedOn w:val="a0"/>
    <w:uiPriority w:val="99"/>
    <w:semiHidden/>
    <w:unhideWhenUsed/>
    <w:rsid w:val="00B7195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7195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71952"/>
    <w:rPr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7195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71952"/>
    <w:rPr>
      <w:b/>
      <w:bCs/>
      <w:sz w:val="20"/>
      <w:szCs w:val="20"/>
      <w:lang w:eastAsia="en-US"/>
    </w:rPr>
  </w:style>
  <w:style w:type="table" w:styleId="af9">
    <w:name w:val="Table Grid"/>
    <w:basedOn w:val="a1"/>
    <w:locked/>
    <w:rsid w:val="00E8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1F0293"/>
  </w:style>
  <w:style w:type="character" w:customStyle="1" w:styleId="rvts23">
    <w:name w:val="rvts23"/>
    <w:basedOn w:val="a0"/>
    <w:rsid w:val="006E5F47"/>
  </w:style>
  <w:style w:type="character" w:customStyle="1" w:styleId="rvts82">
    <w:name w:val="rvts82"/>
    <w:basedOn w:val="a0"/>
    <w:rsid w:val="006E5F47"/>
  </w:style>
  <w:style w:type="paragraph" w:customStyle="1" w:styleId="rvps2">
    <w:name w:val="rvps2"/>
    <w:basedOn w:val="a"/>
    <w:rsid w:val="00E30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E30E40"/>
  </w:style>
  <w:style w:type="paragraph" w:styleId="afa">
    <w:name w:val="Normal (Web)"/>
    <w:basedOn w:val="a"/>
    <w:uiPriority w:val="99"/>
    <w:unhideWhenUsed/>
    <w:rsid w:val="003F3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b">
    <w:name w:val="Emphasis"/>
    <w:basedOn w:val="a0"/>
    <w:uiPriority w:val="20"/>
    <w:qFormat/>
    <w:locked/>
    <w:rsid w:val="00813CE6"/>
    <w:rPr>
      <w:i/>
      <w:iCs/>
    </w:rPr>
  </w:style>
  <w:style w:type="character" w:customStyle="1" w:styleId="FontStyle44">
    <w:name w:val="Font Style44"/>
    <w:rsid w:val="00376801"/>
    <w:rPr>
      <w:rFonts w:ascii="Times New Roman" w:hAnsi="Times New Roman" w:cs="Times New Roman"/>
      <w:sz w:val="24"/>
      <w:szCs w:val="24"/>
    </w:rPr>
  </w:style>
  <w:style w:type="numbering" w:customStyle="1" w:styleId="11">
    <w:name w:val="Стиль1"/>
    <w:rsid w:val="00E359F3"/>
  </w:style>
  <w:style w:type="table" w:customStyle="1" w:styleId="12">
    <w:name w:val="Сетка таблицы1"/>
    <w:basedOn w:val="a1"/>
    <w:next w:val="af9"/>
    <w:rsid w:val="001F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0"/>
    <w:uiPriority w:val="99"/>
    <w:semiHidden/>
    <w:unhideWhenUsed/>
    <w:rsid w:val="00702229"/>
    <w:rPr>
      <w:color w:val="800080" w:themeColor="followedHyperlink"/>
      <w:u w:val="single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57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character" w:styleId="afff">
    <w:name w:val="Unresolved Mention"/>
    <w:basedOn w:val="a0"/>
    <w:uiPriority w:val="99"/>
    <w:semiHidden/>
    <w:unhideWhenUsed/>
    <w:rsid w:val="00767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krstat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8gGfQVuKkxMH4KEcIDg5GC7GeA==">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52DD99-EC1B-40CC-AA43-3D7D1FCF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28</Pages>
  <Words>5737</Words>
  <Characters>32706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 Siriak</dc:creator>
  <cp:lastModifiedBy>Anna Palazova</cp:lastModifiedBy>
  <cp:revision>6</cp:revision>
  <cp:lastPrinted>2022-08-08T08:17:00Z</cp:lastPrinted>
  <dcterms:created xsi:type="dcterms:W3CDTF">2022-11-01T21:58:00Z</dcterms:created>
  <dcterms:modified xsi:type="dcterms:W3CDTF">2022-11-02T14:50:00Z</dcterms:modified>
</cp:coreProperties>
</file>