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C4" w:rsidRPr="007053C4" w:rsidRDefault="00842FC4" w:rsidP="00842FC4">
      <w:pPr>
        <w:spacing w:after="0" w:line="240" w:lineRule="auto"/>
        <w:rPr>
          <w:rFonts w:cstheme="minorHAnsi"/>
          <w:b/>
          <w:color w:val="000000" w:themeColor="text1"/>
          <w:lang w:val="en-GB"/>
        </w:rPr>
      </w:pPr>
      <w:bookmarkStart w:id="0" w:name="_GoBack"/>
      <w:bookmarkEnd w:id="0"/>
      <w:r w:rsidRPr="007053C4">
        <w:rPr>
          <w:rFonts w:cstheme="minorHAnsi"/>
          <w:b/>
          <w:color w:val="000000" w:themeColor="text1"/>
          <w:lang w:val="en-GB"/>
        </w:rPr>
        <w:t>Annex G2 - Application Form template</w:t>
      </w:r>
    </w:p>
    <w:p w:rsidR="00842FC4" w:rsidRPr="007053C4" w:rsidRDefault="00842FC4" w:rsidP="00842FC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/>
        </w:rPr>
        <w:t>APPLICATION FORM</w:t>
      </w:r>
    </w:p>
    <w:p w:rsidR="00842FC4" w:rsidRPr="007053C4" w:rsidRDefault="00842FC4" w:rsidP="00842FC4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PLEASE READ ALL THE INSTRUCTIONS BEFORE STARTING THE APPLICATION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Submissions must be prepared in English only and must include a completed Application Form, </w:t>
      </w:r>
      <w:r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NDA Form, </w:t>
      </w: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>the candidate’s Curriculum Vitae and Reference Letter from a recent supervisor (original in English or Ukrainian) together with the contact details for two further referees who, if contacted, can attest to the professional and/or educational background of the candidate. Reference checks will be conducted at the discretion of the Recruitment Committee.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Only Ukrainian nationals are eligible to apply. 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The Application Form and CV should be completed in English. 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>Be sure to list your phone number and an e-mail address that you check regularly.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Candidates who are not Ukrainian nationals or submitted incomplete package of the documents will not be considered.</w:t>
      </w:r>
    </w:p>
    <w:p w:rsidR="00842FC4" w:rsidRPr="007053C4" w:rsidRDefault="00842FC4" w:rsidP="00842FC4">
      <w:pPr>
        <w:widowControl w:val="0"/>
        <w:spacing w:before="100" w:after="0" w:line="240" w:lineRule="auto"/>
        <w:ind w:firstLine="357"/>
        <w:jc w:val="both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I testify that the information submitted in this application is complete and accurate.  I understand that providing false information on this application or during the interview will automatically disqualify me from the selection process.</w:t>
      </w: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I will not release any related information about this selection process at any point to any party except for providing my input.</w:t>
      </w: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/>
        </w:rPr>
        <w:t>Hereby, I agree to process my personal data for the purpose of selection in accordance with the Ukrainian Law on the Protection of Personal Data.</w:t>
      </w:r>
    </w:p>
    <w:p w:rsidR="00842FC4" w:rsidRPr="007053C4" w:rsidRDefault="00842FC4" w:rsidP="00842FC4">
      <w:pPr>
        <w:numPr>
          <w:ilvl w:val="0"/>
          <w:numId w:val="1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Position applied for: _____________</w:t>
      </w:r>
    </w:p>
    <w:p w:rsidR="00842FC4" w:rsidRPr="007053C4" w:rsidRDefault="00842FC4" w:rsidP="00842FC4">
      <w:pPr>
        <w:numPr>
          <w:ilvl w:val="0"/>
          <w:numId w:val="1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Full Name: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  <w:t>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Date of birth: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Place of birth (country, region, city): ______________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Nationality at birth: ______________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Present nationality (if dual indicate both):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Are you a public servant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(civil servant) 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at the time of this application (yes/no):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Have you ever worked as a public servant (civil servant)? 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______________</w:t>
      </w:r>
    </w:p>
    <w:p w:rsidR="00842FC4" w:rsidRPr="007053C4" w:rsidRDefault="00842FC4" w:rsidP="00842FC4">
      <w:pPr>
        <w:spacing w:before="100" w:after="100" w:line="240" w:lineRule="auto"/>
        <w:ind w:left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PLEASE NOTE THAT CIVIL SERVANTS ARE NOT ELIGIBLE FOR APPLYING UNLESS THE 6 MONTH “COOLING OFF” PERIOD* HAS ELAPSED SINCE THEY HAVE LEFT SUCH EMPLOYMENT.   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Current address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______________ 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Mobile number: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E-mail: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Where did you receive information about this announcement?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Why do you apply for this position? </w:t>
      </w:r>
      <w:r w:rsidRPr="007053C4">
        <w:rPr>
          <w:rFonts w:eastAsia="Times New Roman" w:cstheme="minorHAnsi"/>
          <w:b/>
          <w:color w:val="000000" w:themeColor="text1"/>
          <w:sz w:val="18"/>
          <w:szCs w:val="18"/>
          <w:lang w:val="en-GB"/>
        </w:rPr>
        <w:t>Why do you think you are suitable for this position?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 </w:t>
      </w:r>
      <w:r w:rsidRPr="007053C4">
        <w:rPr>
          <w:rFonts w:eastAsia="Times New Roman" w:cstheme="minorHAnsi"/>
          <w:b/>
          <w:color w:val="000000" w:themeColor="text1"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:rsidTr="00885872">
        <w:tc>
          <w:tcPr>
            <w:tcW w:w="9385" w:type="dxa"/>
            <w:shd w:val="clear" w:color="auto" w:fill="auto"/>
          </w:tcPr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 w:eastAsia="tr-TR"/>
              </w:rPr>
              <w:t>______________</w:t>
            </w: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</w:tc>
      </w:tr>
    </w:tbl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Education: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842FC4" w:rsidRPr="007053C4" w:rsidTr="00885872">
        <w:tc>
          <w:tcPr>
            <w:tcW w:w="2984" w:type="dxa"/>
            <w:tcBorders>
              <w:bottom w:val="single" w:sz="4" w:space="0" w:color="auto"/>
            </w:tcBorders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842FC4" w:rsidRPr="007053C4" w:rsidTr="00885872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7053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*in exceptional circumstances the “cooling off” period can be waived by the EBRD, if there is no conflicts of interest. </w:t>
            </w:r>
          </w:p>
          <w:p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42FC4" w:rsidRPr="007053C4" w:rsidTr="00885872">
        <w:trPr>
          <w:trHeight w:val="366"/>
        </w:trPr>
        <w:tc>
          <w:tcPr>
            <w:tcW w:w="2984" w:type="dxa"/>
            <w:tcBorders>
              <w:top w:val="nil"/>
            </w:tcBorders>
            <w:vAlign w:val="center"/>
          </w:tcPr>
          <w:p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tcBorders>
              <w:top w:val="nil"/>
            </w:tcBorders>
            <w:vAlign w:val="center"/>
          </w:tcPr>
          <w:p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366"/>
        </w:trPr>
        <w:tc>
          <w:tcPr>
            <w:tcW w:w="2984" w:type="dxa"/>
            <w:vAlign w:val="center"/>
          </w:tcPr>
          <w:p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345"/>
        </w:trPr>
        <w:tc>
          <w:tcPr>
            <w:tcW w:w="2984" w:type="dxa"/>
            <w:vAlign w:val="center"/>
          </w:tcPr>
          <w:p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Language skills: Indicate your language skills on a scale of 1 to 5 </w:t>
      </w:r>
      <w:r w:rsidRPr="007053C4">
        <w:rPr>
          <w:rFonts w:cstheme="minorHAnsi"/>
          <w:b/>
          <w:color w:val="000000" w:themeColor="text1"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842FC4" w:rsidRPr="007053C4" w:rsidTr="00885872">
        <w:tc>
          <w:tcPr>
            <w:tcW w:w="299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Writing</w:t>
            </w: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PC literacy: Indicate competence on a scale of 1 to 5 (1 – basic; 5 – excellent) 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842FC4" w:rsidRPr="007053C4" w:rsidTr="00885872">
        <w:tc>
          <w:tcPr>
            <w:tcW w:w="2852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widowControl w:val="0"/>
        <w:numPr>
          <w:ilvl w:val="0"/>
          <w:numId w:val="1"/>
        </w:numPr>
        <w:tabs>
          <w:tab w:val="clear" w:pos="-1701"/>
          <w:tab w:val="num" w:pos="-1275"/>
        </w:tabs>
        <w:spacing w:before="200" w:after="0" w:line="240" w:lineRule="auto"/>
        <w:ind w:left="288" w:hanging="288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7053C4">
        <w:rPr>
          <w:rFonts w:cstheme="minorHAnsi"/>
          <w:b/>
          <w:color w:val="000000" w:themeColor="text1"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842FC4" w:rsidRPr="007053C4" w:rsidTr="00885872">
        <w:tc>
          <w:tcPr>
            <w:tcW w:w="2852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</w:tr>
      <w:tr w:rsidR="00842FC4" w:rsidRPr="007053C4" w:rsidTr="00885872">
        <w:trPr>
          <w:trHeight w:val="417"/>
        </w:trPr>
        <w:tc>
          <w:tcPr>
            <w:tcW w:w="2852" w:type="dxa"/>
          </w:tcPr>
          <w:p w:rsidR="00842FC4" w:rsidRPr="007053C4" w:rsidRDefault="00842FC4" w:rsidP="0088587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n-GB" w:eastAsia="ru-RU"/>
              </w:rPr>
            </w:pPr>
            <w:r w:rsidRPr="007053C4">
              <w:rPr>
                <w:rFonts w:cstheme="minorHAnsi"/>
                <w:i/>
                <w:color w:val="000000" w:themeColor="text1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401"/>
        </w:trPr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341"/>
        </w:trPr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842FC4" w:rsidRPr="007053C4" w:rsidTr="00885872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Dates</w:t>
            </w:r>
          </w:p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842FC4" w:rsidRPr="007053C4" w:rsidTr="00885872">
        <w:trPr>
          <w:trHeight w:hRule="exact" w:val="680"/>
        </w:trPr>
        <w:tc>
          <w:tcPr>
            <w:tcW w:w="709" w:type="dxa"/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678"/>
        </w:trPr>
        <w:tc>
          <w:tcPr>
            <w:tcW w:w="709" w:type="dxa"/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  <w:tr w:rsidR="00842FC4" w:rsidRPr="007053C4" w:rsidTr="00885872">
        <w:trPr>
          <w:trHeight w:val="649"/>
        </w:trPr>
        <w:tc>
          <w:tcPr>
            <w:tcW w:w="709" w:type="dxa"/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842FC4" w:rsidRPr="007053C4" w:rsidRDefault="00842FC4" w:rsidP="00885872">
            <w:pPr>
              <w:pStyle w:val="CVNormal"/>
              <w:ind w:left="0"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4" w:rsidRPr="007053C4" w:rsidRDefault="00842FC4" w:rsidP="00885872">
            <w:pPr>
              <w:pStyle w:val="CVNormal"/>
              <w:ind w:left="0" w:righ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lease indicate your expected financial offer (for information purposes 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:rsidTr="00885872">
        <w:trPr>
          <w:trHeight w:val="437"/>
        </w:trPr>
        <w:tc>
          <w:tcPr>
            <w:tcW w:w="9385" w:type="dxa"/>
            <w:shd w:val="clear" w:color="auto" w:fill="auto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:rsidTr="00885872">
        <w:trPr>
          <w:trHeight w:val="861"/>
        </w:trPr>
        <w:tc>
          <w:tcPr>
            <w:tcW w:w="9385" w:type="dxa"/>
            <w:shd w:val="clear" w:color="auto" w:fill="auto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Privacy Statement</w:t>
      </w:r>
    </w:p>
    <w:p w:rsidR="00842FC4" w:rsidRDefault="00842FC4" w:rsidP="00842FC4">
      <w:pPr>
        <w:keepNext/>
        <w:spacing w:before="120" w:after="60" w:line="240" w:lineRule="auto"/>
        <w:ind w:left="720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CBC2" wp14:editId="7FE391C3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5E657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="004E402F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By selecting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 this box I provide my consent for the Human Resources Services of the [ministry/agency], Recruitment Committee, any created subordinated panels/subcommittees and the Ukraine Reforms Architecture Foundation to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lastRenderedPageBreak/>
        <w:t>review, save, transfer and process my personal details in the URA recruitment data system. My personal data will be treated with utmost confidentiality and solely for recruitment purposes.</w:t>
      </w:r>
    </w:p>
    <w:p w:rsidR="00F769B8" w:rsidRPr="00F769B8" w:rsidRDefault="00F769B8" w:rsidP="00F769B8">
      <w:pPr>
        <w:keepNext/>
        <w:numPr>
          <w:ilvl w:val="0"/>
          <w:numId w:val="1"/>
        </w:numPr>
        <w:tabs>
          <w:tab w:val="num" w:pos="-1275"/>
        </w:tabs>
        <w:spacing w:beforeLines="120" w:before="288" w:afterLines="60" w:after="144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URA Experts pool statement </w:t>
      </w:r>
    </w:p>
    <w:p w:rsidR="00F769B8" w:rsidRPr="00F769B8" w:rsidRDefault="00F769B8" w:rsidP="00F769B8">
      <w:pPr>
        <w:spacing w:beforeLines="120" w:before="288" w:afterLines="60" w:after="144"/>
        <w:ind w:left="720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3D71" wp14:editId="1E75F411">
                <wp:simplePos x="0" y="0"/>
                <wp:positionH relativeFrom="margin">
                  <wp:posOffset>-13854</wp:posOffset>
                </wp:positionH>
                <wp:positionV relativeFrom="paragraph">
                  <wp:posOffset>96404</wp:posOffset>
                </wp:positionV>
                <wp:extent cx="3619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6FCED" id="Rectangle 2" o:spid="_x0000_s1026" style="position:absolute;margin-left:-1.1pt;margin-top:7.6pt;width:28.5pt;height:1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CLfA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i5yPO&#10;NDUY0XeARnqjJBtFeFrrp/B6tCvXax5i7HVfuib+owu2T5AeTpDKfWACl5/Ph1cTAC9gGo0vziEj&#10;Svby2DofvkrTsCjk3CF5ApJ2dz50rkeXmMsbVRfLWqmkHPytcmxHGC44UZiWM0U+4DLny/Trs715&#10;pjRrUc1kPIiFEVhXKgoQGwscvN5wRmoDOovgUi1vXnu3WZ+yjpeXwy+LzqmiQna1TAb4HTN37qnn&#10;N3FiVwvyVfckmfonSsfmZGJvD0IcQgd7lNamOGBqznR09lYsa0S7Q+srcuAv+sJOhgccpTJo1vQS&#10;Z5Vxv/52H/1BK1g5a7EPAOLnlpwEot80CHc1HI/jAiVlPLkYQXGvLevXFr1tbg2mMsT2W5HE6B/U&#10;USydaZ6xuvOYFSbSArk7yHvlNnR7iuUXcj5PblgaS+FOP1oRg0ecIo5P+2dytqdQAPfuzXF3aPqO&#10;SZ1vfKnNfBtMWSeaveCKUUUFC5eG1n8c4ka/1pPXyyds9hsAAP//AwBQSwMEFAAGAAgAAAAhAG69&#10;yRLbAAAABwEAAA8AAABkcnMvZG93bnJldi54bWxMjzFrwzAQhfdC/oO4QJeQyDV1Ka7lUAKhS5e4&#10;GTLK1sUytU5GUhL33/cytdPj7j3efVdtZzeKK4Y4eFLwtMlAIHXeDNQrOH7t168gYtJk9OgJFfxg&#10;hG29eKh0afyNDnhtUi+4hGKpFdiUplLK2Fl0Om78hMTe2QenE4+hlyboG5e7UeZZ9iKdHogvWD3h&#10;zmL33VycAmpD87Fr7H61On/m4VQcTvPRKvW4nN/fQCSc018Y7viMDjUztf5CJopRwTrPOcn7gpX9&#10;4pk/ae+ag6wr+Z+//gUAAP//AwBQSwECLQAUAAYACAAAACEAtoM4kv4AAADhAQAAEwAAAAAAAAAA&#10;AAAAAAAAAAAAW0NvbnRlbnRfVHlwZXNdLnhtbFBLAQItABQABgAIAAAAIQA4/SH/1gAAAJQBAAAL&#10;AAAAAAAAAAAAAAAAAC8BAABfcmVscy8ucmVsc1BLAQItABQABgAIAAAAIQDetpCLfAIAAAoFAAAO&#10;AAAAAAAAAAAAAAAAAC4CAABkcnMvZTJvRG9jLnhtbFBLAQItABQABgAIAAAAIQBuvckS2wAAAAcB&#10;AAAPAAAAAAAAAAAAAAAAANY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 w:rsidR="004E402F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By selecting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 this box, I provide my consent for the U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kraine 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R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eforms 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A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rchitecture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 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(URA) 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Program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me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, 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URA Recruitment Committee, 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subordinates 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URA 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panels/sub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-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committees and the Ukraine Reforms Archite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cture Foundation (URAF) to store my application records and personal data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 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in the URA internal database 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t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o be considered for </w:t>
      </w:r>
      <w:r w:rsidR="004E402F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any 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future positions within 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the URA Program</w:t>
      </w:r>
      <w:r w:rsidR="00FF3760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me</w: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.</w:t>
      </w:r>
    </w:p>
    <w:p w:rsidR="00F769B8" w:rsidRPr="00F769B8" w:rsidRDefault="00F769B8" w:rsidP="00842FC4">
      <w:pPr>
        <w:keepNext/>
        <w:spacing w:before="120" w:after="60" w:line="240" w:lineRule="auto"/>
        <w:ind w:left="720"/>
        <w:jc w:val="both"/>
        <w:rPr>
          <w:rFonts w:cstheme="minorHAnsi"/>
          <w:b/>
          <w:color w:val="000000" w:themeColor="text1"/>
          <w:sz w:val="18"/>
          <w:szCs w:val="18"/>
          <w:lang w:val="en-US" w:eastAsia="tr-TR"/>
        </w:rPr>
      </w:pPr>
    </w:p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Applicant Declaration</w:t>
      </w:r>
    </w:p>
    <w:p w:rsidR="00842FC4" w:rsidRPr="007053C4" w:rsidRDefault="00842FC4" w:rsidP="00842FC4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hereby declare and/or confirm that:</w:t>
      </w:r>
    </w:p>
    <w:p w:rsidR="00842FC4" w:rsidRPr="007053C4" w:rsidRDefault="00842FC4" w:rsidP="00842FC4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am a Ukrainian national with no potential restrictions to access and perform RST/RDO duties at ministries/agencies and the Secretariat of the Cabinet of Ministers of Ukraine;</w:t>
      </w:r>
    </w:p>
    <w:p w:rsidR="00842FC4" w:rsidRPr="007053C4" w:rsidRDefault="00842FC4" w:rsidP="00842FC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If awarded the contract for the Assignment, no conflict of interest for any party would be created;</w:t>
      </w:r>
    </w:p>
    <w:p w:rsidR="00842FC4" w:rsidRPr="007053C4" w:rsidRDefault="00842FC4" w:rsidP="00842FC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am not being prosecuted for an offence concerning my professional conduct by a judgment or equivalent decision</w:t>
      </w:r>
      <w:r w:rsidRPr="007053C4">
        <w:rPr>
          <w:rStyle w:val="FootnoteReference"/>
          <w:rFonts w:cstheme="minorHAnsi"/>
          <w:color w:val="000000" w:themeColor="text1"/>
          <w:sz w:val="18"/>
          <w:szCs w:val="18"/>
          <w:lang w:val="en-GB"/>
        </w:rPr>
        <w:footnoteReference w:id="1"/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 which has the force of </w:t>
      </w:r>
      <w:r w:rsidRPr="007053C4">
        <w:rPr>
          <w:rFonts w:cstheme="minorHAnsi"/>
          <w:i/>
          <w:color w:val="000000" w:themeColor="text1"/>
          <w:sz w:val="18"/>
          <w:szCs w:val="18"/>
          <w:lang w:val="en-GB"/>
        </w:rPr>
        <w:t>res judicata</w:t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>.</w:t>
      </w:r>
    </w:p>
    <w:p w:rsidR="00842FC4" w:rsidRPr="007053C4" w:rsidRDefault="00842FC4" w:rsidP="00842FC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I understand that should circumstances pertaining to this declaration change or new information emerge prior to the award of the Assignment, I will be under an obligation to bring such information to the attention of the contracting authority </w:t>
      </w:r>
    </w:p>
    <w:p w:rsidR="00842FC4" w:rsidRPr="007053C4" w:rsidRDefault="00842FC4" w:rsidP="00842FC4">
      <w:pPr>
        <w:pStyle w:val="ListParagraph"/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42FC4" w:rsidRPr="007053C4" w:rsidTr="00885872">
        <w:trPr>
          <w:trHeight w:val="1288"/>
        </w:trPr>
        <w:tc>
          <w:tcPr>
            <w:tcW w:w="8931" w:type="dxa"/>
            <w:shd w:val="clear" w:color="auto" w:fill="auto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  <w:r w:rsidRPr="007053C4"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  <w:t>Comments(*)</w:t>
            </w:r>
          </w:p>
        </w:tc>
      </w:tr>
    </w:tbl>
    <w:p w:rsidR="00842FC4" w:rsidRPr="007053C4" w:rsidRDefault="00842FC4" w:rsidP="00842FC4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* The applicant must enter any information in this section which affects its ability to confirm the above. If the applicant is in any doubt as to whether a piece of information is relevant, it should include the information. The </w:t>
      </w:r>
      <w:r>
        <w:rPr>
          <w:rFonts w:cstheme="minorHAnsi"/>
          <w:color w:val="000000" w:themeColor="text1"/>
          <w:sz w:val="18"/>
          <w:szCs w:val="18"/>
          <w:lang w:val="en-GB"/>
        </w:rPr>
        <w:t>RC</w:t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 may seek further information or clarification from the applicant if it deems it necessary. 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Signed by the applicant: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_______________________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Date: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_______________________</w:t>
      </w:r>
    </w:p>
    <w:p w:rsidR="005B768B" w:rsidRPr="00842FC4" w:rsidRDefault="005B768B">
      <w:pPr>
        <w:rPr>
          <w:rFonts w:cstheme="minorHAnsi"/>
          <w:b/>
          <w:color w:val="000000" w:themeColor="text1"/>
          <w:lang w:val="en-GB"/>
        </w:rPr>
      </w:pPr>
    </w:p>
    <w:sectPr w:rsidR="005B768B" w:rsidRPr="00842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C4" w:rsidRDefault="00842FC4" w:rsidP="00842FC4">
      <w:pPr>
        <w:spacing w:after="0" w:line="240" w:lineRule="auto"/>
      </w:pPr>
      <w:r>
        <w:separator/>
      </w:r>
    </w:p>
  </w:endnote>
  <w:endnote w:type="continuationSeparator" w:id="0">
    <w:p w:rsidR="00842FC4" w:rsidRDefault="00842FC4" w:rsidP="008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B5204C" w:rsidP="00B5204C">
    <w:pPr>
      <w:pStyle w:val="Footer"/>
      <w:jc w:val="center"/>
    </w:pPr>
    <w:fldSimple w:instr=" DOCPROPERTY bjFooterEvenPageDocProperty \* MERGEFORMAT " w:fldLock="1">
      <w:r w:rsidRPr="00B5204C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B5204C" w:rsidP="00B5204C">
    <w:pPr>
      <w:pStyle w:val="Footer"/>
      <w:jc w:val="center"/>
    </w:pPr>
    <w:fldSimple w:instr=" DOCPROPERTY bjFooterBothDocProperty \* MERGEFORMAT " w:fldLock="1">
      <w:r w:rsidRPr="00B5204C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B5204C" w:rsidP="00B5204C">
    <w:pPr>
      <w:pStyle w:val="Footer"/>
      <w:jc w:val="center"/>
    </w:pPr>
    <w:fldSimple w:instr=" DOCPROPERTY bjFooterFirstPageDocProperty \* MERGEFORMAT " w:fldLock="1">
      <w:r w:rsidRPr="00B5204C">
        <w:rPr>
          <w:rFonts w:ascii="Arial" w:hAnsi="Arial" w:cs="Arial"/>
          <w:color w:val="0000FF"/>
          <w:sz w:val="18"/>
        </w:rPr>
        <w:t>OFFICIAL USE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C4" w:rsidRDefault="00842FC4" w:rsidP="00842FC4">
      <w:pPr>
        <w:spacing w:after="0" w:line="240" w:lineRule="auto"/>
      </w:pPr>
      <w:r>
        <w:separator/>
      </w:r>
    </w:p>
  </w:footnote>
  <w:footnote w:type="continuationSeparator" w:id="0">
    <w:p w:rsidR="00842FC4" w:rsidRDefault="00842FC4" w:rsidP="00842FC4">
      <w:pPr>
        <w:spacing w:after="0" w:line="240" w:lineRule="auto"/>
      </w:pPr>
      <w:r>
        <w:continuationSeparator/>
      </w:r>
    </w:p>
  </w:footnote>
  <w:footnote w:id="1">
    <w:p w:rsidR="00842FC4" w:rsidRPr="005122FD" w:rsidRDefault="00842FC4" w:rsidP="00842FC4">
      <w:pPr>
        <w:pStyle w:val="FootnoteText"/>
        <w:rPr>
          <w:sz w:val="16"/>
          <w:szCs w:val="16"/>
          <w:lang w:val="en-GB"/>
        </w:rPr>
      </w:pPr>
      <w:r w:rsidRPr="005122FD">
        <w:rPr>
          <w:rStyle w:val="FootnoteReference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B5204C" w:rsidP="00B5204C">
    <w:pPr>
      <w:pStyle w:val="Header"/>
      <w:jc w:val="center"/>
    </w:pPr>
    <w:fldSimple w:instr=" DOCPROPERTY bjHeaderEvenPageDocProperty \* MERGEFORMAT " w:fldLock="1">
      <w:r w:rsidRPr="00B5204C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B5204C" w:rsidP="00B5204C">
    <w:pPr>
      <w:pStyle w:val="Header"/>
      <w:jc w:val="center"/>
    </w:pPr>
    <w:fldSimple w:instr=" DOCPROPERTY bjHeaderBothDocProperty \* MERGEFORMAT " w:fldLock="1">
      <w:r w:rsidRPr="00B5204C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B5204C" w:rsidP="00B5204C">
    <w:pPr>
      <w:pStyle w:val="Header"/>
      <w:jc w:val="center"/>
    </w:pPr>
    <w:fldSimple w:instr=" DOCPROPERTY bjHeaderFirstPageDocProperty \* MERGEFORMAT " w:fldLock="1">
      <w:r w:rsidRPr="00B5204C">
        <w:rPr>
          <w:rFonts w:ascii="Arial" w:hAnsi="Arial" w:cs="Arial"/>
          <w:color w:val="0000FF"/>
          <w:sz w:val="18"/>
        </w:rPr>
        <w:t>OFFICIAL USE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C4"/>
    <w:rsid w:val="004E402F"/>
    <w:rsid w:val="005B768B"/>
    <w:rsid w:val="00842FC4"/>
    <w:rsid w:val="009E6AEF"/>
    <w:rsid w:val="00B5204C"/>
    <w:rsid w:val="00F769B8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16795F-0D37-4E9A-A750-9672784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C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C4"/>
  </w:style>
  <w:style w:type="paragraph" w:styleId="Footer">
    <w:name w:val="footer"/>
    <w:basedOn w:val="Normal"/>
    <w:link w:val="FooterChar"/>
    <w:uiPriority w:val="99"/>
    <w:unhideWhenUsed/>
    <w:rsid w:val="008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C4"/>
  </w:style>
  <w:style w:type="paragraph" w:styleId="FootnoteText">
    <w:name w:val="footnote text"/>
    <w:basedOn w:val="Normal"/>
    <w:link w:val="FootnoteTextChar"/>
    <w:uiPriority w:val="99"/>
    <w:semiHidden/>
    <w:unhideWhenUsed/>
    <w:rsid w:val="00842F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FC4"/>
    <w:rPr>
      <w:rFonts w:eastAsiaTheme="minorEastAsia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842FC4"/>
    <w:rPr>
      <w:vertAlign w:val="superscript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842FC4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842FC4"/>
    <w:rPr>
      <w:rFonts w:eastAsiaTheme="minorEastAsia"/>
      <w:lang w:val="en-US" w:eastAsia="uk-UA"/>
    </w:rPr>
  </w:style>
  <w:style w:type="paragraph" w:customStyle="1" w:styleId="normaltableau">
    <w:name w:val="normal_tableau"/>
    <w:basedOn w:val="Normal"/>
    <w:rsid w:val="00842F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Normal"/>
    <w:uiPriority w:val="99"/>
    <w:rsid w:val="00842FC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842FC4"/>
    <w:pPr>
      <w:numPr>
        <w:numId w:val="2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Props1.xml><?xml version="1.0" encoding="utf-8"?>
<ds:datastoreItem xmlns:ds="http://schemas.openxmlformats.org/officeDocument/2006/customXml" ds:itemID="{732F626F-22E9-4CDA-8828-5BF147923C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Anikeeva, Yuliya</dc:creator>
  <cp:keywords>[EBRD/OFFICIAL USE]</cp:keywords>
  <dc:description/>
  <cp:lastModifiedBy>Kurnyshova, Yuliia</cp:lastModifiedBy>
  <cp:revision>2</cp:revision>
  <dcterms:created xsi:type="dcterms:W3CDTF">2021-07-12T09:02:00Z</dcterms:created>
  <dcterms:modified xsi:type="dcterms:W3CDTF">2021-07-12T09:02:00Z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b60e1753-dfdd-47db-8763-c9ffbbd521af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4" name="bjDocumentLabelXML-0">
    <vt:lpwstr>ames.com/2008/01/sie/internal/label"&gt;&lt;element uid="id_classification_generalbusiness" value="" /&gt;&lt;element uid="3f2bf68e-965f-4645-8d3a-c9eb7a3821bd" value="" /&gt;&lt;/sisl&gt;</vt:lpwstr>
  </property>
  <property fmtid="{D5CDD505-2E9C-101B-9397-08002B2CF9AE}" pid="5" name="bjDocumentSecurityLabel">
    <vt:lpwstr>OFFICIAL USE</vt:lpwstr>
  </property>
  <property fmtid="{D5CDD505-2E9C-101B-9397-08002B2CF9AE}" pid="6" name="bjHeaderBothDocProperty">
    <vt:lpwstr>OFFICIAL USE</vt:lpwstr>
  </property>
  <property fmtid="{D5CDD505-2E9C-101B-9397-08002B2CF9AE}" pid="7" name="bjHeaderFirstPageDocProperty">
    <vt:lpwstr>OFFICIAL USE</vt:lpwstr>
  </property>
  <property fmtid="{D5CDD505-2E9C-101B-9397-08002B2CF9AE}" pid="8" name="bjHeaderEvenPageDocProperty">
    <vt:lpwstr>OFFICIAL USE</vt:lpwstr>
  </property>
  <property fmtid="{D5CDD505-2E9C-101B-9397-08002B2CF9AE}" pid="9" name="bjFooterBothDocProperty">
    <vt:lpwstr>OFFICIAL USE</vt:lpwstr>
  </property>
  <property fmtid="{D5CDD505-2E9C-101B-9397-08002B2CF9AE}" pid="10" name="bjFooterFirstPageDocProperty">
    <vt:lpwstr>OFFICIAL USE</vt:lpwstr>
  </property>
  <property fmtid="{D5CDD505-2E9C-101B-9397-08002B2CF9AE}" pid="11" name="bjFooterEvenPageDocProperty">
    <vt:lpwstr>OFFICIAL USE</vt:lpwstr>
  </property>
  <property fmtid="{D5CDD505-2E9C-101B-9397-08002B2CF9AE}" pid="12" name="bjSaver">
    <vt:lpwstr>jNVazOmbWstbFCE5y2QVOLvhavx6YHsz</vt:lpwstr>
  </property>
</Properties>
</file>