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83420F" w14:textId="77777777" w:rsidR="009A6E82" w:rsidRPr="003D3DC7" w:rsidRDefault="009A6E82" w:rsidP="009A6E82">
      <w:pPr>
        <w:spacing w:after="120"/>
        <w:jc w:val="center"/>
        <w:rPr>
          <w:b/>
          <w:sz w:val="26"/>
          <w:szCs w:val="26"/>
          <w:highlight w:val="yellow"/>
          <w:lang w:val="uk-UA" w:eastAsia="x-none"/>
        </w:rPr>
      </w:pPr>
      <w:bookmarkStart w:id="0" w:name="_GoBack"/>
      <w:bookmarkEnd w:id="0"/>
    </w:p>
    <w:p w14:paraId="4D0BB0DF" w14:textId="77777777" w:rsidR="009A6E82" w:rsidRPr="00024202" w:rsidRDefault="009A6E82" w:rsidP="009A6E82">
      <w:pPr>
        <w:suppressAutoHyphens/>
        <w:ind w:firstLine="709"/>
        <w:jc w:val="both"/>
        <w:rPr>
          <w:sz w:val="26"/>
          <w:szCs w:val="26"/>
          <w:lang w:val="uk-UA"/>
        </w:rPr>
      </w:pPr>
      <w:r w:rsidRPr="00024202">
        <w:rPr>
          <w:sz w:val="26"/>
          <w:szCs w:val="26"/>
          <w:lang w:val="uk-UA"/>
        </w:rPr>
        <w:t>Комунальне підприємство «Вінницяоблводоканал» (КП «Вінницяоблводоканал», ЄДРПОУ 03339012, юридична адреса: 21022 Вінницька обл., м. Вінниця, Замостянський р-н, вул. Київська, 173, тел. (0432) 53 74 08, email: office@vinvk.com.ua) повідомляє про наміри отримати дозвіл на викиди забруднюючих речовин в атмосферне повітря для НСК, що знаходяться у м. Вінниця за адресою: НСК б/н по вул. Чумацька-Могильчака (навпроти буд. 38); НСК б/н по вул. Чумацька-Кузнєцова (навпроти буд. 150); НСК б/н по вул. Лугова (навпроти буд. 25); НСК б/н по вул. Соняшникова (навпроти буд. 29); НСК б/н по Барському шосе, 2-й км; НСК б/н по пров. 2-й. М. Хвильового (навпроти буд. 3).</w:t>
      </w:r>
    </w:p>
    <w:p w14:paraId="548D4B54" w14:textId="77777777" w:rsidR="009A6E82" w:rsidRPr="00024202" w:rsidRDefault="009A6E82" w:rsidP="009A6E82">
      <w:pPr>
        <w:suppressAutoHyphens/>
        <w:ind w:firstLine="709"/>
        <w:jc w:val="both"/>
        <w:rPr>
          <w:sz w:val="26"/>
          <w:szCs w:val="26"/>
          <w:lang w:val="uk-UA"/>
        </w:rPr>
      </w:pPr>
      <w:r w:rsidRPr="00024202">
        <w:rPr>
          <w:sz w:val="26"/>
          <w:szCs w:val="26"/>
          <w:lang w:val="uk-UA"/>
        </w:rPr>
        <w:t>Мета отримання дозволу на викиди: отримання дозволу на викиди для існуючого об’єкту.</w:t>
      </w:r>
    </w:p>
    <w:p w14:paraId="4B8FBA12" w14:textId="77777777" w:rsidR="009A6E82" w:rsidRPr="00024202" w:rsidRDefault="009A6E82" w:rsidP="009A6E82">
      <w:pPr>
        <w:suppressAutoHyphens/>
        <w:ind w:firstLine="709"/>
        <w:jc w:val="both"/>
        <w:rPr>
          <w:sz w:val="26"/>
          <w:szCs w:val="26"/>
          <w:lang w:val="uk-UA"/>
        </w:rPr>
      </w:pPr>
      <w:r w:rsidRPr="00024202">
        <w:rPr>
          <w:sz w:val="26"/>
          <w:szCs w:val="26"/>
          <w:lang w:val="uk-UA"/>
        </w:rPr>
        <w:t>Згідно Закону України «Про оцінку впливу на довкілля» діяльність даних НСК КП «Вінницяоблводоканал» не відноситься до видів планованої діяльності та об’єктів, які підлягають оцінці впливу на довкілля.</w:t>
      </w:r>
    </w:p>
    <w:p w14:paraId="63E2153C" w14:textId="77777777" w:rsidR="009A6E82" w:rsidRPr="00024202" w:rsidRDefault="009A6E82" w:rsidP="009A6E82">
      <w:pPr>
        <w:suppressAutoHyphens/>
        <w:ind w:firstLine="709"/>
        <w:jc w:val="both"/>
        <w:rPr>
          <w:sz w:val="26"/>
          <w:szCs w:val="26"/>
          <w:lang w:val="uk-UA"/>
        </w:rPr>
      </w:pPr>
      <w:r w:rsidRPr="00024202">
        <w:rPr>
          <w:sz w:val="26"/>
          <w:szCs w:val="26"/>
          <w:lang w:val="uk-UA"/>
        </w:rPr>
        <w:t>Підприємство спеціалізується на заборі, очищенні та постачанні води. Джерелами утворення забруднюючих речовин на проммайданчи</w:t>
      </w:r>
      <w:r>
        <w:rPr>
          <w:sz w:val="26"/>
          <w:szCs w:val="26"/>
          <w:lang w:val="uk-UA"/>
        </w:rPr>
        <w:t>ках</w:t>
      </w:r>
      <w:r w:rsidRPr="00024202">
        <w:rPr>
          <w:sz w:val="26"/>
          <w:szCs w:val="26"/>
          <w:lang w:val="uk-UA"/>
        </w:rPr>
        <w:t xml:space="preserve"> є: приймальні камери НСК: НСК б/н по вул. Чумацька-Могильчака; НСК б/н по вул. Чумацька-Кузнєцова; НСК б/н по вул. Лугова; НСК б/н по вул. Соняшникова; НСК б/н по Барському шосе; НСК б/н по пров. 2-й М. Хвильового.</w:t>
      </w:r>
    </w:p>
    <w:p w14:paraId="735590AF" w14:textId="77777777" w:rsidR="009A6E82" w:rsidRPr="00024202" w:rsidRDefault="009A6E82" w:rsidP="009A6E82">
      <w:pPr>
        <w:suppressAutoHyphens/>
        <w:ind w:firstLine="709"/>
        <w:jc w:val="both"/>
        <w:rPr>
          <w:sz w:val="26"/>
          <w:szCs w:val="26"/>
          <w:lang w:val="uk-UA"/>
        </w:rPr>
      </w:pPr>
      <w:r w:rsidRPr="00024202">
        <w:rPr>
          <w:sz w:val="26"/>
          <w:szCs w:val="26"/>
          <w:lang w:val="uk-UA"/>
        </w:rPr>
        <w:t>Від джерел в атмосферне повітря надходять такі забруднюючі речовини (т/рік): аміак (0,0058); сірководень (0,00058);  вуглецю оксид  (0,0132); метан (0,3); етилмеркаптан (0,000000272); метилмеркаптан (0,000000582); азоту діоксид  (0,00058).</w:t>
      </w:r>
    </w:p>
    <w:p w14:paraId="349C8D60" w14:textId="77777777" w:rsidR="009A6E82" w:rsidRPr="00024202" w:rsidRDefault="009A6E82" w:rsidP="009A6E82">
      <w:pPr>
        <w:suppressAutoHyphens/>
        <w:ind w:firstLine="709"/>
        <w:jc w:val="both"/>
        <w:rPr>
          <w:sz w:val="26"/>
          <w:szCs w:val="26"/>
          <w:lang w:val="uk-UA"/>
        </w:rPr>
      </w:pPr>
      <w:r w:rsidRPr="00024202">
        <w:rPr>
          <w:sz w:val="26"/>
          <w:szCs w:val="26"/>
          <w:lang w:val="uk-UA"/>
        </w:rPr>
        <w:t>Дане підприємство за ступенем впливу на забруднення атмосферного повітря належить до третьої групи об’єктів, тому наявні виробництва та технологічне устаткування, не потребують впровадження найкращих доступних технологій та методів керування.</w:t>
      </w:r>
    </w:p>
    <w:p w14:paraId="74E862D4" w14:textId="77777777" w:rsidR="009A6E82" w:rsidRPr="00024202" w:rsidRDefault="009A6E82" w:rsidP="009A6E82">
      <w:pPr>
        <w:suppressAutoHyphens/>
        <w:ind w:firstLine="709"/>
        <w:jc w:val="both"/>
        <w:rPr>
          <w:sz w:val="26"/>
          <w:szCs w:val="26"/>
          <w:lang w:val="uk-UA"/>
        </w:rPr>
      </w:pPr>
      <w:r w:rsidRPr="00024202">
        <w:rPr>
          <w:sz w:val="26"/>
          <w:szCs w:val="26"/>
          <w:lang w:val="uk-UA"/>
        </w:rPr>
        <w:t>Так як підприємство дотримується нормативів граничнодопустимих викидів для стаціонарних джерел та не перевищує граничнодопустимих концентрацій атмосферного повітря заходи щодо скорочення викидів забруднюючих речовин в атмосферне повітря не розроблялись.</w:t>
      </w:r>
    </w:p>
    <w:p w14:paraId="12245FBF" w14:textId="77777777" w:rsidR="009A6E82" w:rsidRPr="00024202" w:rsidRDefault="009A6E82" w:rsidP="009A6E82">
      <w:pPr>
        <w:suppressAutoHyphens/>
        <w:ind w:firstLine="709"/>
        <w:jc w:val="both"/>
        <w:rPr>
          <w:sz w:val="26"/>
          <w:szCs w:val="26"/>
          <w:lang w:val="uk-UA"/>
        </w:rPr>
      </w:pPr>
      <w:r w:rsidRPr="00024202">
        <w:rPr>
          <w:sz w:val="26"/>
          <w:szCs w:val="26"/>
          <w:lang w:val="uk-UA"/>
        </w:rPr>
        <w:t xml:space="preserve">Для джерел викидів та забруднюючих речовин, які підлягають нормуванню, встановлюються нормативи викидів забруднюючих речовин відповідно до наказу Мінприроди №309 від 27.06.2006 «Про затвердження нормативів граничнодопустимих викидів забруднюючих речовин із стаціонарних джерел». Для джерел викидів для речовин, на які не встановлені нормативи граничнодопустимих викидів відповідно до цього Наказу, встановлюються величини масової витрати в г/с. </w:t>
      </w:r>
    </w:p>
    <w:p w14:paraId="1879D843" w14:textId="77777777" w:rsidR="009A6E82" w:rsidRPr="00024202" w:rsidRDefault="009A6E82" w:rsidP="009A6E82">
      <w:pPr>
        <w:pStyle w:val="a5"/>
        <w:shd w:val="clear" w:color="auto" w:fill="FFFFFF"/>
        <w:spacing w:before="0" w:beforeAutospacing="0" w:after="0" w:afterAutospacing="0"/>
        <w:ind w:firstLine="709"/>
        <w:jc w:val="both"/>
        <w:rPr>
          <w:sz w:val="26"/>
          <w:szCs w:val="26"/>
          <w:lang w:val="uk-UA" w:eastAsia="en-US"/>
        </w:rPr>
      </w:pPr>
      <w:r w:rsidRPr="00024202">
        <w:rPr>
          <w:sz w:val="26"/>
          <w:szCs w:val="26"/>
          <w:lang w:val="uk-UA" w:eastAsia="en-US"/>
        </w:rPr>
        <w:t xml:space="preserve">Пропозиції щодо дозволених обсягів викидів відповідають чинному законодавству. </w:t>
      </w:r>
    </w:p>
    <w:p w14:paraId="156A4CD2" w14:textId="77777777" w:rsidR="009A6E82" w:rsidRPr="00024202" w:rsidRDefault="009A6E82" w:rsidP="009A6E82">
      <w:pPr>
        <w:pStyle w:val="a5"/>
        <w:shd w:val="clear" w:color="auto" w:fill="FFFFFF"/>
        <w:spacing w:before="0" w:beforeAutospacing="0" w:after="0" w:afterAutospacing="0"/>
        <w:ind w:firstLine="709"/>
        <w:jc w:val="both"/>
        <w:rPr>
          <w:sz w:val="26"/>
          <w:szCs w:val="26"/>
          <w:lang w:val="uk-UA"/>
        </w:rPr>
      </w:pPr>
      <w:r w:rsidRPr="00024202">
        <w:rPr>
          <w:sz w:val="26"/>
          <w:szCs w:val="26"/>
          <w:lang w:val="uk-UA"/>
        </w:rPr>
        <w:t xml:space="preserve">Пропозиції та зауваження від громадських організацій та окремих громадян приймаються протягом 30 календарних днів з дати опублікування інформації в газеті у Вінницькій обласній військовій адміністрації, що знаходиться за адресою: 21050, Вінницька обл., м. Вінниця, вул. Соборна, 70, тел.: 0-800-216-433, ел. пошта: </w:t>
      </w:r>
      <w:hyperlink r:id="rId5" w:history="1">
        <w:r w:rsidRPr="00024202">
          <w:rPr>
            <w:sz w:val="26"/>
            <w:szCs w:val="26"/>
            <w:lang w:val="uk-UA"/>
          </w:rPr>
          <w:t>oda@vin.gov.ua</w:t>
        </w:r>
      </w:hyperlink>
      <w:r w:rsidRPr="00024202">
        <w:rPr>
          <w:sz w:val="26"/>
          <w:szCs w:val="26"/>
          <w:lang w:val="uk-UA"/>
        </w:rPr>
        <w:t>.</w:t>
      </w:r>
    </w:p>
    <w:p w14:paraId="2A11DCE5" w14:textId="77777777" w:rsidR="009A6E82" w:rsidRPr="00024202" w:rsidRDefault="009A6E82" w:rsidP="009A6E82">
      <w:pPr>
        <w:ind w:firstLine="709"/>
        <w:rPr>
          <w:sz w:val="26"/>
          <w:szCs w:val="26"/>
          <w:lang w:val="uk-UA"/>
        </w:rPr>
      </w:pPr>
    </w:p>
    <w:p w14:paraId="17C05365" w14:textId="77777777" w:rsidR="009A6E82" w:rsidRPr="00C940B5" w:rsidRDefault="009A6E82" w:rsidP="009A6E82">
      <w:pPr>
        <w:snapToGrid w:val="0"/>
        <w:spacing w:line="360" w:lineRule="auto"/>
        <w:ind w:firstLine="708"/>
        <w:jc w:val="both"/>
        <w:rPr>
          <w:sz w:val="26"/>
          <w:szCs w:val="26"/>
          <w:lang w:val="uk-UA"/>
        </w:rPr>
      </w:pPr>
    </w:p>
    <w:p w14:paraId="484C16DE" w14:textId="77777777" w:rsidR="009A6E82" w:rsidRPr="009F38B8" w:rsidRDefault="009A6E82" w:rsidP="009A6E82">
      <w:pPr>
        <w:pStyle w:val="2"/>
        <w:keepNext w:val="0"/>
        <w:widowControl w:val="0"/>
        <w:spacing w:line="360" w:lineRule="auto"/>
        <w:ind w:firstLine="720"/>
        <w:jc w:val="both"/>
        <w:rPr>
          <w:b w:val="0"/>
          <w:bCs w:val="0"/>
          <w:sz w:val="26"/>
        </w:rPr>
      </w:pPr>
    </w:p>
    <w:p w14:paraId="2A161FF0" w14:textId="77777777" w:rsidR="009A6E82" w:rsidRDefault="009A6E82" w:rsidP="009A6E82">
      <w:pPr>
        <w:spacing w:line="360" w:lineRule="auto"/>
        <w:ind w:firstLine="708"/>
        <w:jc w:val="both"/>
        <w:rPr>
          <w:sz w:val="26"/>
          <w:szCs w:val="26"/>
          <w:lang w:val="uk-UA"/>
        </w:rPr>
      </w:pPr>
      <w:r w:rsidRPr="00B54B4C">
        <w:rPr>
          <w:sz w:val="26"/>
          <w:szCs w:val="26"/>
          <w:lang w:val="uk-UA"/>
        </w:rPr>
        <w:t xml:space="preserve"> </w:t>
      </w:r>
    </w:p>
    <w:p w14:paraId="46A674A5" w14:textId="77777777" w:rsidR="00D2251C" w:rsidRPr="009A6E82" w:rsidRDefault="00D2251C">
      <w:pPr>
        <w:rPr>
          <w:lang w:val="uk-UA"/>
        </w:rPr>
      </w:pPr>
    </w:p>
    <w:sectPr w:rsidR="00D2251C" w:rsidRPr="009A6E82" w:rsidSect="00C05F6E">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E82"/>
    <w:rsid w:val="002E4AD6"/>
    <w:rsid w:val="007D7942"/>
    <w:rsid w:val="009A6E82"/>
    <w:rsid w:val="00AA6FF9"/>
    <w:rsid w:val="00D2251C"/>
    <w:rsid w:val="00FB25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F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E82"/>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qFormat/>
    <w:rsid w:val="009A6E82"/>
    <w:pPr>
      <w:keepNext/>
      <w:jc w:val="center"/>
      <w:outlineLvl w:val="1"/>
    </w:pPr>
    <w:rPr>
      <w:b/>
      <w:bCs/>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A6E82"/>
    <w:rPr>
      <w:rFonts w:ascii="Times New Roman" w:eastAsia="Times New Roman" w:hAnsi="Times New Roman" w:cs="Times New Roman"/>
      <w:b/>
      <w:bCs/>
      <w:sz w:val="24"/>
      <w:szCs w:val="26"/>
      <w:lang w:eastAsia="ru-RU"/>
    </w:rPr>
  </w:style>
  <w:style w:type="paragraph" w:styleId="a3">
    <w:name w:val="Body Text"/>
    <w:aliases w:val="Знак, Знак"/>
    <w:basedOn w:val="a"/>
    <w:link w:val="a4"/>
    <w:rsid w:val="009A6E82"/>
    <w:pPr>
      <w:spacing w:after="120"/>
    </w:pPr>
    <w:rPr>
      <w:sz w:val="26"/>
      <w:szCs w:val="20"/>
    </w:rPr>
  </w:style>
  <w:style w:type="character" w:customStyle="1" w:styleId="a4">
    <w:name w:val="Основной текст Знак"/>
    <w:aliases w:val="Знак Знак, Знак Знак"/>
    <w:basedOn w:val="a0"/>
    <w:link w:val="a3"/>
    <w:rsid w:val="009A6E82"/>
    <w:rPr>
      <w:rFonts w:ascii="Times New Roman" w:eastAsia="Times New Roman" w:hAnsi="Times New Roman" w:cs="Times New Roman"/>
      <w:sz w:val="26"/>
      <w:szCs w:val="20"/>
      <w:lang w:val="ru-RU" w:eastAsia="ru-RU"/>
    </w:rPr>
  </w:style>
  <w:style w:type="paragraph" w:styleId="a5">
    <w:name w:val="Normal (Web)"/>
    <w:basedOn w:val="a"/>
    <w:uiPriority w:val="99"/>
    <w:rsid w:val="009A6E8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E82"/>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qFormat/>
    <w:rsid w:val="009A6E82"/>
    <w:pPr>
      <w:keepNext/>
      <w:jc w:val="center"/>
      <w:outlineLvl w:val="1"/>
    </w:pPr>
    <w:rPr>
      <w:b/>
      <w:bCs/>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A6E82"/>
    <w:rPr>
      <w:rFonts w:ascii="Times New Roman" w:eastAsia="Times New Roman" w:hAnsi="Times New Roman" w:cs="Times New Roman"/>
      <w:b/>
      <w:bCs/>
      <w:sz w:val="24"/>
      <w:szCs w:val="26"/>
      <w:lang w:eastAsia="ru-RU"/>
    </w:rPr>
  </w:style>
  <w:style w:type="paragraph" w:styleId="a3">
    <w:name w:val="Body Text"/>
    <w:aliases w:val="Знак, Знак"/>
    <w:basedOn w:val="a"/>
    <w:link w:val="a4"/>
    <w:rsid w:val="009A6E82"/>
    <w:pPr>
      <w:spacing w:after="120"/>
    </w:pPr>
    <w:rPr>
      <w:sz w:val="26"/>
      <w:szCs w:val="20"/>
    </w:rPr>
  </w:style>
  <w:style w:type="character" w:customStyle="1" w:styleId="a4">
    <w:name w:val="Основной текст Знак"/>
    <w:aliases w:val="Знак Знак, Знак Знак"/>
    <w:basedOn w:val="a0"/>
    <w:link w:val="a3"/>
    <w:rsid w:val="009A6E82"/>
    <w:rPr>
      <w:rFonts w:ascii="Times New Roman" w:eastAsia="Times New Roman" w:hAnsi="Times New Roman" w:cs="Times New Roman"/>
      <w:sz w:val="26"/>
      <w:szCs w:val="20"/>
      <w:lang w:val="ru-RU" w:eastAsia="ru-RU"/>
    </w:rPr>
  </w:style>
  <w:style w:type="paragraph" w:styleId="a5">
    <w:name w:val="Normal (Web)"/>
    <w:basedOn w:val="a"/>
    <w:uiPriority w:val="99"/>
    <w:rsid w:val="009A6E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da@vin.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1866</Words>
  <Characters>1065</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Тарасенко Ольга Володимирівна</cp:lastModifiedBy>
  <cp:revision>3</cp:revision>
  <dcterms:created xsi:type="dcterms:W3CDTF">2023-04-06T13:09:00Z</dcterms:created>
  <dcterms:modified xsi:type="dcterms:W3CDTF">2023-04-06T13:09:00Z</dcterms:modified>
</cp:coreProperties>
</file>