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3F" w:rsidRDefault="0071173F" w:rsidP="0071173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1173F" w:rsidRDefault="0071173F" w:rsidP="007117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проєкту постанови </w:t>
      </w:r>
      <w:bookmarkStart w:id="0" w:name="_Hlk37243009"/>
      <w:r>
        <w:rPr>
          <w:rFonts w:ascii="Times New Roman" w:hAnsi="Times New Roman" w:cs="Times New Roman"/>
          <w:b/>
          <w:sz w:val="28"/>
          <w:szCs w:val="28"/>
        </w:rPr>
        <w:t>Кабінету Міністрів України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затвердження </w:t>
      </w:r>
      <w:r w:rsidRPr="00F5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створення охоронних зон для збереження біорізноманіття у лісах та</w:t>
      </w:r>
      <w:r w:rsidRPr="00F5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Порядку створення охоронних зон для збереження об’єктів Червоної</w:t>
      </w:r>
      <w:r w:rsidRPr="001F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книги України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End w:id="0"/>
    </w:p>
    <w:p w:rsidR="0071173F" w:rsidRDefault="0071173F" w:rsidP="007117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Мета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348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Проєкт постанови Кабінету Міністрів України «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>Про затвердження Порядку створення охоронних зон для збереження біорізноманіття у лісах та Порядку створення охоронних зон для збереження об’єктів Червоної книги України»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розроблений з метою визначення процедури створення охоронних зон для збереження об’єктів Червоної книги України та процедури створення охоронних зон для збереження біорізноманіття у лісах, їх площі та конфігурації, а також режиму ведення лісового господарства та іншої господарської діяльності в межах таких охоронних зон, що забезпечить ефективне збереження та відтворення лісового біорізноманіття та об’єктів Червоної книги України.</w:t>
      </w:r>
    </w:p>
    <w:p w:rsidR="0071173F" w:rsidRPr="00F564A7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3487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Обґрунтування необхідності прийняття акта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3488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Проєкт постанови Кабінету Міністрів України «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>Про затвердження Порядку створення охоронних зон для збереження біорізноманіття у лісах та Порядку створення охоронних зон для збереження об’єктів Червоної книги України»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розроблено на виконання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д 15 липня 2021 року № 1684-IX «Про внесення змін до деяких законодавчих актів України щодо імплементації положень деяких міжнародних угод та директив Європейського Союзу у сфері охорони тваринного та рослинного світу».</w:t>
      </w:r>
    </w:p>
    <w:p w:rsidR="0071173F" w:rsidRPr="00EE294E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аявні наукові дані свідчать про деградацію біорізноманіття, зокрема біорізноманіття лісів, наслідками якої є суттєві фінансові збитки для держави. За оцінками західних експертів, у період між 1997 та 2011 роками глобальні збитки внаслідок деградації земель (та їхнього біорізноманіття) </w:t>
      </w:r>
      <w:r>
        <w:rPr>
          <w:rFonts w:ascii="Times New Roman" w:eastAsia="Times New Roman" w:hAnsi="Times New Roman" w:cs="Times New Roman"/>
          <w:sz w:val="28"/>
          <w:szCs w:val="28"/>
        </w:rPr>
        <w:t>становили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6-11 трильйонів доларів США щорічно. Суттєва частина таких збитків завдається через відсутність деталізованих вимог щодо збереження біорізноманіття</w:t>
      </w:r>
      <w:r>
        <w:rPr>
          <w:rFonts w:ascii="Times New Roman" w:eastAsia="Times New Roman" w:hAnsi="Times New Roman" w:cs="Times New Roman"/>
          <w:sz w:val="28"/>
          <w:szCs w:val="28"/>
        </w:rPr>
        <w:t>, і, зокрема, об’єктів Червоної книги України,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під час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ведення </w:t>
      </w:r>
      <w:r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діяльності.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>дним з найбільш ефективних механізмів збереження біорізноманіття є створення охоронних зон у межах найважливіших для попередження деградації біорізноманіття територій. На відміну від територій та об’єктів природно-заповідного фонду, такі охоронні зони мають більш гнучкий характер, можуть бути адаптовані до умов середовища, що змінюється. Однак нормативно-правова база для функціонування таких охоронних з</w:t>
      </w:r>
      <w:r>
        <w:rPr>
          <w:rFonts w:ascii="Times New Roman" w:eastAsia="Times New Roman" w:hAnsi="Times New Roman" w:cs="Times New Roman"/>
          <w:sz w:val="28"/>
          <w:szCs w:val="28"/>
        </w:rPr>
        <w:t>он України наразі відсутня. Проє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кт постанови </w:t>
      </w:r>
      <w:r>
        <w:rPr>
          <w:rFonts w:ascii="Times New Roman" w:eastAsia="Times New Roman" w:hAnsi="Times New Roman" w:cs="Times New Roman"/>
          <w:sz w:val="28"/>
          <w:szCs w:val="28"/>
        </w:rPr>
        <w:t>спрямований на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створ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підґрунтя для ефективного функціонування охоронних зон для збереження біорізноманіття </w:t>
      </w:r>
      <w:r>
        <w:rPr>
          <w:rFonts w:ascii="Times New Roman" w:eastAsia="Times New Roman" w:hAnsi="Times New Roman" w:cs="Times New Roman"/>
          <w:sz w:val="28"/>
          <w:szCs w:val="28"/>
        </w:rPr>
        <w:t>та, зокрема, об’єктів Червоної книги України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3490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Основні положення проєкту акта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3491"/>
      <w:bookmarkEnd w:id="5"/>
      <w:r w:rsidRPr="00EE294E">
        <w:rPr>
          <w:rFonts w:ascii="Times New Roman" w:eastAsia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>ктом постанови передбачається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94E">
        <w:rPr>
          <w:rFonts w:ascii="Times New Roman" w:eastAsia="Times New Roman" w:hAnsi="Times New Roman" w:cs="Times New Roman"/>
          <w:sz w:val="28"/>
          <w:szCs w:val="28"/>
        </w:rPr>
        <w:t>затвердити порядок створення охоронних зон для збереження біорізноманіття у лісах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охоронних зон для збереження об’єктів Червоної книги України;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запровадити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механізм створення та скасування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статусу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охоронних</w:t>
      </w:r>
      <w:r w:rsidRPr="00EE294E">
        <w:rPr>
          <w:rFonts w:ascii="Times New Roman" w:eastAsia="Times New Roman" w:hAnsi="Times New Roman" w:cs="Times New Roman"/>
          <w:sz w:val="28"/>
          <w:szCs w:val="28"/>
        </w:rPr>
        <w:t xml:space="preserve"> зон, </w:t>
      </w:r>
      <w:r>
        <w:rPr>
          <w:rFonts w:ascii="Times New Roman" w:eastAsia="Times New Roman" w:hAnsi="Times New Roman" w:cs="Times New Roman"/>
          <w:sz w:val="28"/>
          <w:szCs w:val="28"/>
        </w:rPr>
        <w:t>що відбуватиметься на підставі звернень заінтересованих юридичних або фізичних осіб, а також зауважень землевласників і землекористувачів;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визначити </w:t>
      </w:r>
      <w:r w:rsidRPr="007B248D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B248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B248D">
        <w:rPr>
          <w:rFonts w:ascii="Times New Roman" w:hAnsi="Times New Roman" w:cs="Times New Roman"/>
          <w:sz w:val="28"/>
          <w:szCs w:val="28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</w:rPr>
        <w:t xml:space="preserve">екології та природних ресурсів,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якими є 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>обласні, Київська та Севастопольська міські державні адміністрації (відповідний підрозділ з питань екології та природних ресурсів), орган виконавчої влади Автономної Республіки Крим з питан</w:t>
      </w:r>
      <w:r>
        <w:rPr>
          <w:rFonts w:ascii="Times New Roman" w:eastAsia="Times New Roman" w:hAnsi="Times New Roman" w:cs="Times New Roman"/>
          <w:sz w:val="28"/>
          <w:szCs w:val="28"/>
        </w:rPr>
        <w:t>ь екології та природних ресурсів;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94E">
        <w:rPr>
          <w:rFonts w:ascii="Times New Roman" w:eastAsia="Times New Roman" w:hAnsi="Times New Roman" w:cs="Times New Roman"/>
          <w:sz w:val="28"/>
          <w:szCs w:val="28"/>
        </w:rPr>
        <w:t>встановити основні вимоги для довгострокового збереження природних комплексів та об’єктів у межах охоронних зон.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n3492"/>
      <w:bookmarkEnd w:id="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Правові аспекти</w:t>
      </w:r>
    </w:p>
    <w:p w:rsidR="0071173F" w:rsidRPr="00F564A7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правового регулювання проєкту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 є відносини у сфері </w:t>
      </w:r>
      <w:r>
        <w:rPr>
          <w:rFonts w:ascii="Times New Roman" w:eastAsia="Times New Roman" w:hAnsi="Times New Roman" w:cs="Times New Roman"/>
          <w:sz w:val="28"/>
          <w:szCs w:val="28"/>
        </w:rPr>
        <w:t>збереження біорізноманіття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 в частині </w:t>
      </w:r>
      <w:r>
        <w:rPr>
          <w:rFonts w:ascii="Times New Roman" w:eastAsia="Times New Roman" w:hAnsi="Times New Roman" w:cs="Times New Roman"/>
          <w:sz w:val="28"/>
          <w:szCs w:val="28"/>
        </w:rPr>
        <w:t>охорони біорізноманіття лісів і збереження об’єктів Червоної книги України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На законодавчому рівні відносини в галузі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збереження біорізноманіття, зокрема, регулюються такими актами: 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>Лісови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 України, З</w:t>
      </w:r>
      <w:r>
        <w:rPr>
          <w:rFonts w:ascii="Times New Roman" w:eastAsia="Times New Roman" w:hAnsi="Times New Roman" w:cs="Times New Roman"/>
          <w:sz w:val="28"/>
          <w:szCs w:val="28"/>
        </w:rPr>
        <w:t>емельним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</w:rPr>
        <w:t>, законами</w:t>
      </w:r>
      <w:r w:rsidRPr="00F564A7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навколишнє природне середовище», «Про Червону книгу України», «Про природно-заповідний фонд України», «Про тваринний світ», «Про рослинний світ».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3493"/>
      <w:bookmarkEnd w:id="7"/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n3494"/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Фінансово-економічне обґрунтування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n3495"/>
      <w:bookmarkEnd w:id="9"/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акта не потребуватиме фінансування з державного та місцевого бюджетів у 2021 та наступних роках. </w:t>
      </w:r>
      <w:r w:rsidRPr="00B74EB6">
        <w:rPr>
          <w:rFonts w:ascii="Times New Roman" w:eastAsia="Times New Roman" w:hAnsi="Times New Roman" w:cs="Times New Roman"/>
          <w:sz w:val="28"/>
          <w:szCs w:val="28"/>
        </w:rPr>
        <w:t>Фінансово-економічні розрахунки до проєкту акта додаються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73F" w:rsidRPr="00B74EB6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EB6">
        <w:rPr>
          <w:rFonts w:ascii="Times New Roman" w:eastAsia="Times New Roman" w:hAnsi="Times New Roman" w:cs="Times New Roman"/>
          <w:b/>
          <w:bCs/>
          <w:sz w:val="28"/>
          <w:szCs w:val="28"/>
        </w:rPr>
        <w:t>6. Позиція заінтересованих сторін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Проєкт постанови </w:t>
      </w:r>
      <w:r>
        <w:rPr>
          <w:rFonts w:ascii="Times New Roman" w:eastAsia="Times New Roman" w:hAnsi="Times New Roman" w:cs="Times New Roman"/>
          <w:sz w:val="28"/>
          <w:szCs w:val="28"/>
        </w:rPr>
        <w:t>потребує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 погодження Мін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істерством 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>фін</w:t>
      </w:r>
      <w:r>
        <w:rPr>
          <w:rFonts w:ascii="Times New Roman" w:eastAsia="Times New Roman" w:hAnsi="Times New Roman" w:cs="Times New Roman"/>
          <w:sz w:val="28"/>
          <w:szCs w:val="28"/>
        </w:rPr>
        <w:t>ансів України, Міністерством економіки України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>, Держ</w:t>
      </w:r>
      <w:r>
        <w:rPr>
          <w:rFonts w:ascii="Times New Roman" w:eastAsia="Times New Roman" w:hAnsi="Times New Roman" w:cs="Times New Roman"/>
          <w:sz w:val="28"/>
          <w:szCs w:val="28"/>
        </w:rPr>
        <w:t>авним агентством лісових ресурсів України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Державною регуляторною службою України 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</w:rPr>
        <w:t>Національною академією наук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> 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потребує проведення правової експертизи Міністерством юстиції України, проведення 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>цифрової експертизи</w:t>
      </w:r>
      <w:r w:rsidRPr="005C2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 цифрової трансформації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також визначення 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 xml:space="preserve">необхідності проведення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антикорупційної експертизи Національним 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 xml:space="preserve"> з питань запобігання корупції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73F" w:rsidRPr="00482D71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Проєкт постанови не</w:t>
      </w:r>
      <w:r w:rsidRPr="005B74AB">
        <w:rPr>
          <w:rFonts w:ascii="Times New Roman" w:eastAsia="Times New Roman" w:hAnsi="Times New Roman" w:cs="Times New Roman"/>
          <w:sz w:val="28"/>
          <w:szCs w:val="28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73F" w:rsidRPr="00B74EB6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EB6">
        <w:rPr>
          <w:rFonts w:ascii="Times New Roman" w:eastAsia="Times New Roman" w:hAnsi="Times New Roman" w:cs="Times New Roman"/>
          <w:b/>
          <w:bCs/>
          <w:sz w:val="28"/>
          <w:szCs w:val="28"/>
        </w:rPr>
        <w:t>7. Оцінка відповідності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A4A">
        <w:rPr>
          <w:rFonts w:ascii="Times New Roman" w:eastAsia="Times New Roman" w:hAnsi="Times New Roman" w:cs="Times New Roman"/>
          <w:sz w:val="28"/>
          <w:szCs w:val="28"/>
        </w:rPr>
        <w:t xml:space="preserve">У проєкті постанови відсутні положення, що стосуються прав та свобод, гарантованих Конвенцією про захист прав людини і основоположних свобод; </w:t>
      </w:r>
      <w:r w:rsidRPr="002D7A4A">
        <w:rPr>
          <w:rFonts w:ascii="Times New Roman" w:eastAsia="Times New Roman" w:hAnsi="Times New Roman" w:cs="Times New Roman"/>
          <w:sz w:val="28"/>
          <w:szCs w:val="28"/>
        </w:rPr>
        <w:lastRenderedPageBreak/>
        <w:t>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:rsidR="0071173F" w:rsidRPr="002D7A4A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71">
        <w:rPr>
          <w:rFonts w:ascii="Times New Roman" w:eastAsia="Times New Roman" w:hAnsi="Times New Roman" w:cs="Times New Roman"/>
          <w:sz w:val="28"/>
          <w:szCs w:val="28"/>
        </w:rPr>
        <w:t xml:space="preserve">Проєкт постанови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потребує визначення 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 xml:space="preserve">необхідності проведення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антикорупційної експертизи Національним 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F1A79">
        <w:rPr>
          <w:rFonts w:ascii="Times New Roman" w:eastAsia="Times New Roman" w:hAnsi="Times New Roman" w:cs="Times New Roman"/>
          <w:sz w:val="28"/>
          <w:szCs w:val="28"/>
        </w:rPr>
        <w:t xml:space="preserve"> з питань запобігання корупції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A4A">
        <w:rPr>
          <w:rFonts w:ascii="Times New Roman" w:eastAsia="Times New Roman" w:hAnsi="Times New Roman" w:cs="Times New Roman"/>
          <w:sz w:val="28"/>
          <w:szCs w:val="28"/>
        </w:rPr>
        <w:t xml:space="preserve">Громадська антикорупційна, громадська </w:t>
      </w:r>
      <w:proofErr w:type="spellStart"/>
      <w:r w:rsidRPr="002D7A4A">
        <w:rPr>
          <w:rFonts w:ascii="Times New Roman" w:eastAsia="Times New Roman" w:hAnsi="Times New Roman" w:cs="Times New Roman"/>
          <w:sz w:val="28"/>
          <w:szCs w:val="28"/>
        </w:rPr>
        <w:t>антидискримінаційна</w:t>
      </w:r>
      <w:proofErr w:type="spellEnd"/>
      <w:r w:rsidRPr="002D7A4A">
        <w:rPr>
          <w:rFonts w:ascii="Times New Roman" w:eastAsia="Times New Roman" w:hAnsi="Times New Roman" w:cs="Times New Roman"/>
          <w:sz w:val="28"/>
          <w:szCs w:val="28"/>
        </w:rPr>
        <w:t xml:space="preserve"> та громадська гендерно-правова експертизи не проводились.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73F" w:rsidRPr="00B74EB6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EB6">
        <w:rPr>
          <w:rFonts w:ascii="Times New Roman" w:eastAsia="Times New Roman" w:hAnsi="Times New Roman" w:cs="Times New Roman"/>
          <w:b/>
          <w:bCs/>
          <w:sz w:val="28"/>
          <w:szCs w:val="28"/>
        </w:rPr>
        <w:t>8. Прогноз результатів</w:t>
      </w:r>
    </w:p>
    <w:p w:rsidR="0071173F" w:rsidRDefault="0071173F" w:rsidP="007117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71">
        <w:rPr>
          <w:rFonts w:ascii="Times New Roman" w:eastAsia="Times New Roman" w:hAnsi="Times New Roman" w:cs="Times New Roman"/>
          <w:sz w:val="28"/>
          <w:szCs w:val="28"/>
        </w:rPr>
        <w:t>Реалізація постанови матиме вплив на стан навколишнього природного середовища, зокрема забезпечить збереження та відтворення лісового біорізноманіття та об’єктів Червоної книги України.</w:t>
      </w:r>
    </w:p>
    <w:p w:rsidR="0071173F" w:rsidRDefault="0071173F" w:rsidP="0071173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443"/>
      </w:tblGrid>
      <w:tr w:rsidR="0071173F" w:rsidRPr="00B74EB6" w:rsidTr="00B3658F">
        <w:trPr>
          <w:trHeight w:val="718"/>
          <w:tblHeader/>
        </w:trPr>
        <w:tc>
          <w:tcPr>
            <w:tcW w:w="3369" w:type="dxa"/>
            <w:shd w:val="clear" w:color="auto" w:fill="auto"/>
            <w:vAlign w:val="center"/>
          </w:tcPr>
          <w:p w:rsidR="0071173F" w:rsidRPr="00B74EB6" w:rsidRDefault="0071173F" w:rsidP="00B36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Заінтересована сторона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73F" w:rsidRPr="00B74EB6" w:rsidRDefault="0071173F" w:rsidP="00B36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Вплив реалізації акта</w:t>
            </w:r>
            <w:r w:rsidRPr="00B7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</w:t>
            </w:r>
            <w:r w:rsidRPr="00B7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заінтересовану</w:t>
            </w:r>
            <w:r w:rsidRPr="00B7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сторону</w:t>
            </w:r>
            <w:r w:rsidRPr="00B74E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1173F" w:rsidRPr="00B74EB6" w:rsidRDefault="0071173F" w:rsidP="00B36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Пояснення очікуван</w:t>
            </w:r>
            <w:proofErr w:type="spellEnd"/>
            <w:r w:rsidRPr="00B74EB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ого впливу</w:t>
            </w:r>
          </w:p>
        </w:tc>
      </w:tr>
      <w:tr w:rsidR="0071173F" w:rsidRPr="00B74EB6" w:rsidTr="00B3658F">
        <w:trPr>
          <w:trHeight w:val="768"/>
        </w:trPr>
        <w:tc>
          <w:tcPr>
            <w:tcW w:w="3369" w:type="dxa"/>
            <w:vMerge w:val="restart"/>
            <w:shd w:val="clear" w:color="auto" w:fill="auto"/>
          </w:tcPr>
          <w:p w:rsidR="0071173F" w:rsidRDefault="0071173F" w:rsidP="00B36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Місцеві жителі</w:t>
            </w: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Наявність робочих місць</w:t>
            </w: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Pr="00DC6E4B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Екологічно-чисте довкілля</w:t>
            </w:r>
          </w:p>
        </w:tc>
        <w:tc>
          <w:tcPr>
            <w:tcW w:w="2835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Збільшення привабливості регіонів для туризму</w:t>
            </w:r>
          </w:p>
        </w:tc>
        <w:tc>
          <w:tcPr>
            <w:tcW w:w="3443" w:type="dxa"/>
            <w:shd w:val="clear" w:color="auto" w:fill="auto"/>
          </w:tcPr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Згідно з наявними науковими даними території з добре збереженим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біорізноманіттям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є основою для розвитку зеленого туризму і відіграють ключову роль для добробуту громад у сільській місцевості</w:t>
            </w:r>
          </w:p>
        </w:tc>
      </w:tr>
      <w:tr w:rsidR="0071173F" w:rsidRPr="00B74EB6" w:rsidTr="00B3658F">
        <w:trPr>
          <w:trHeight w:val="901"/>
        </w:trPr>
        <w:tc>
          <w:tcPr>
            <w:tcW w:w="3369" w:type="dxa"/>
            <w:vMerge/>
            <w:shd w:val="clear" w:color="auto" w:fill="auto"/>
          </w:tcPr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Покращення стану довкілля</w:t>
            </w:r>
          </w:p>
        </w:tc>
        <w:tc>
          <w:tcPr>
            <w:tcW w:w="3443" w:type="dxa"/>
            <w:shd w:val="clear" w:color="auto" w:fill="auto"/>
          </w:tcPr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Охорона та збереження біорізноманіття є однією з ключових складових охорони та збереження довкілля</w:t>
            </w:r>
          </w:p>
        </w:tc>
      </w:tr>
      <w:tr w:rsidR="0071173F" w:rsidRPr="00B74EB6" w:rsidTr="00B3658F">
        <w:trPr>
          <w:trHeight w:val="1633"/>
        </w:trPr>
        <w:tc>
          <w:tcPr>
            <w:tcW w:w="3369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Природо-охоронні</w:t>
            </w:r>
            <w:proofErr w:type="spellEnd"/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громадські організації</w:t>
            </w: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Забезпечення збереження, відтворення і ефективного використання природних комплексів та об’єктів</w:t>
            </w: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ння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комплексному збереженню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лісового біорізноманіття та об’єктів Червоної книги України</w:t>
            </w:r>
          </w:p>
        </w:tc>
        <w:tc>
          <w:tcPr>
            <w:tcW w:w="3443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Створення охоронних зон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 xml:space="preserve"> забезпечить ефективне збереження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лісового біорізноманіття та об’єктів Червоної книги України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1173F" w:rsidRPr="00B74EB6" w:rsidTr="00B3658F">
        <w:trPr>
          <w:trHeight w:val="1538"/>
        </w:trPr>
        <w:tc>
          <w:tcPr>
            <w:tcW w:w="3369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Наукові організації</w:t>
            </w: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Отримання даних про біорізноманіття</w:t>
            </w: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Збільшення обсягу інформації про біорізноманіття</w:t>
            </w:r>
          </w:p>
        </w:tc>
        <w:tc>
          <w:tcPr>
            <w:tcW w:w="3443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Формування відомостей охоронних зон дозволить створити значний масив наукових даних про місцезнаходження та стан об’єктів Червоної книги України</w:t>
            </w:r>
          </w:p>
        </w:tc>
      </w:tr>
      <w:tr w:rsidR="0071173F" w:rsidRPr="00B74EB6" w:rsidTr="00B3658F">
        <w:trPr>
          <w:trHeight w:val="1026"/>
        </w:trPr>
        <w:tc>
          <w:tcPr>
            <w:tcW w:w="3369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Організації, що займаються розвитком туризму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Створення нових туристичних продуктів</w:t>
            </w: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Створення нових туристичних продуктів</w:t>
            </w:r>
          </w:p>
        </w:tc>
        <w:tc>
          <w:tcPr>
            <w:tcW w:w="3443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0B">
              <w:rPr>
                <w:rFonts w:ascii="Times New Roman" w:eastAsia="Times New Roman" w:hAnsi="Times New Roman" w:cs="Times New Roman"/>
                <w:lang w:eastAsia="ru-RU"/>
              </w:rPr>
              <w:t xml:space="preserve">Згідно з наявними науковими даними території з добре збереженим </w:t>
            </w:r>
            <w:proofErr w:type="spellStart"/>
            <w:r w:rsidRPr="00FB0E0B">
              <w:rPr>
                <w:rFonts w:ascii="Times New Roman" w:eastAsia="Times New Roman" w:hAnsi="Times New Roman" w:cs="Times New Roman"/>
                <w:lang w:eastAsia="ru-RU"/>
              </w:rPr>
              <w:t>біорізноманіттям</w:t>
            </w:r>
            <w:proofErr w:type="spellEnd"/>
            <w:r w:rsidRPr="00FB0E0B">
              <w:rPr>
                <w:rFonts w:ascii="Times New Roman" w:eastAsia="Times New Roman" w:hAnsi="Times New Roman" w:cs="Times New Roman"/>
                <w:lang w:eastAsia="ru-RU"/>
              </w:rPr>
              <w:t xml:space="preserve"> є основою для розвитку зеленого туризму </w:t>
            </w:r>
          </w:p>
        </w:tc>
      </w:tr>
      <w:tr w:rsidR="0071173F" w:rsidRPr="00B74EB6" w:rsidTr="00B3658F">
        <w:trPr>
          <w:trHeight w:val="725"/>
        </w:trPr>
        <w:tc>
          <w:tcPr>
            <w:tcW w:w="3369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Підприємства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сільського-</w:t>
            </w:r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подарської</w:t>
            </w:r>
            <w:proofErr w:type="spellEnd"/>
            <w:r w:rsidRPr="00B74E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та лісової галузі</w:t>
            </w: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 xml:space="preserve">абезпечення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сільськогос-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подарських</w:t>
            </w:r>
            <w:proofErr w:type="spellEnd"/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лісогоспо-дарських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EB6">
              <w:rPr>
                <w:rFonts w:ascii="Times New Roman" w:eastAsia="Times New Roman" w:hAnsi="Times New Roman" w:cs="Times New Roman"/>
                <w:lang w:eastAsia="ru-RU"/>
              </w:rPr>
              <w:t>потреб</w:t>
            </w: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Збільшення врожайності та здоров’я лісів</w:t>
            </w:r>
          </w:p>
        </w:tc>
        <w:tc>
          <w:tcPr>
            <w:tcW w:w="3443" w:type="dxa"/>
            <w:shd w:val="clear" w:color="auto" w:fill="auto"/>
          </w:tcPr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73F" w:rsidRPr="00B74EB6" w:rsidRDefault="0071173F" w:rsidP="00B365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Збереження лісового біорізноманіття є ключовою складовою підтримки здоров’я лісових екосистем, що є основним завданням роботи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лісогосподарських підприємств згідно з Лісовим кодексом України. Збереження біорізноманіття має позитивний вплив на підприємства сільськогосподарської галузі через збільшення продуктивності угідь внаслідок збереження організмів-запилювачів та їхнього природного середовища</w:t>
            </w:r>
          </w:p>
        </w:tc>
      </w:tr>
    </w:tbl>
    <w:p w:rsidR="0071173F" w:rsidRDefault="0071173F" w:rsidP="0071173F"/>
    <w:p w:rsidR="0071173F" w:rsidRPr="00264B56" w:rsidRDefault="0071173F" w:rsidP="0071173F">
      <w:pPr>
        <w:pStyle w:val="1"/>
        <w:tabs>
          <w:tab w:val="num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73F" w:rsidRPr="00264B56" w:rsidRDefault="0071173F" w:rsidP="0071173F">
      <w:pPr>
        <w:pStyle w:val="1"/>
        <w:tabs>
          <w:tab w:val="num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71173F" w:rsidRPr="00336A37" w:rsidTr="00B3658F">
        <w:tc>
          <w:tcPr>
            <w:tcW w:w="5529" w:type="dxa"/>
          </w:tcPr>
          <w:p w:rsidR="0071173F" w:rsidRPr="005D0110" w:rsidRDefault="0071173F" w:rsidP="00B3658F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10">
              <w:rPr>
                <w:rFonts w:ascii="Times New Roman" w:hAnsi="Times New Roman" w:cs="Times New Roman"/>
                <w:b/>
                <w:sz w:val="28"/>
                <w:szCs w:val="28"/>
              </w:rPr>
              <w:t>Міністр захисту довкілля та природних ресурсів України</w:t>
            </w:r>
          </w:p>
        </w:tc>
        <w:tc>
          <w:tcPr>
            <w:tcW w:w="4110" w:type="dxa"/>
          </w:tcPr>
          <w:p w:rsidR="0071173F" w:rsidRDefault="0071173F" w:rsidP="00B3658F">
            <w:pPr>
              <w:spacing w:after="0"/>
              <w:ind w:left="-284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71173F" w:rsidRPr="005D0110" w:rsidRDefault="0071173F" w:rsidP="00B3658F">
            <w:pPr>
              <w:spacing w:after="0"/>
              <w:ind w:left="-284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 АБРАМОВСЬКИЙ </w:t>
            </w:r>
          </w:p>
        </w:tc>
      </w:tr>
      <w:tr w:rsidR="0071173F" w:rsidRPr="00B06922" w:rsidTr="00B3658F">
        <w:tc>
          <w:tcPr>
            <w:tcW w:w="5529" w:type="dxa"/>
          </w:tcPr>
          <w:p w:rsidR="0071173F" w:rsidRPr="00B06922" w:rsidRDefault="0071173F" w:rsidP="00B3658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Pr="00B06922">
              <w:rPr>
                <w:rFonts w:ascii="Times New Roman" w:hAnsi="Times New Roman" w:cs="Times New Roman"/>
                <w:sz w:val="28"/>
                <w:szCs w:val="28"/>
              </w:rPr>
              <w:t>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692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110" w:type="dxa"/>
          </w:tcPr>
          <w:p w:rsidR="0071173F" w:rsidRPr="00B06922" w:rsidRDefault="0071173F" w:rsidP="00B3658F">
            <w:pPr>
              <w:spacing w:after="0" w:line="240" w:lineRule="auto"/>
              <w:ind w:left="-284"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1173F" w:rsidRDefault="0071173F" w:rsidP="007117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73F" w:rsidRPr="005C6197" w:rsidRDefault="0071173F" w:rsidP="0071173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651" w:rsidRDefault="00A31651">
      <w:bookmarkStart w:id="10" w:name="_GoBack"/>
      <w:bookmarkEnd w:id="10"/>
    </w:p>
    <w:sectPr w:rsidR="00A31651" w:rsidSect="00177F03">
      <w:pgSz w:w="11906" w:h="16838"/>
      <w:pgMar w:top="425" w:right="851" w:bottom="1134" w:left="1701" w:header="425" w:footer="709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EA"/>
    <w:rsid w:val="00301503"/>
    <w:rsid w:val="0071173F"/>
    <w:rsid w:val="00A31651"/>
    <w:rsid w:val="00D216EA"/>
    <w:rsid w:val="00F21EAD"/>
    <w:rsid w:val="00F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F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uiPriority w:val="99"/>
    <w:unhideWhenUsed/>
    <w:rsid w:val="0071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71173F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Абзац списка1"/>
    <w:basedOn w:val="a"/>
    <w:rsid w:val="0071173F"/>
    <w:pPr>
      <w:spacing w:after="200" w:line="276" w:lineRule="auto"/>
      <w:ind w:left="720"/>
    </w:pPr>
    <w:rPr>
      <w:rFonts w:eastAsia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F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uiPriority w:val="99"/>
    <w:unhideWhenUsed/>
    <w:rsid w:val="0071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71173F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Абзац списка1"/>
    <w:basedOn w:val="a"/>
    <w:rsid w:val="0071173F"/>
    <w:pPr>
      <w:spacing w:after="200" w:line="276" w:lineRule="auto"/>
      <w:ind w:left="720"/>
    </w:pPr>
    <w:rPr>
      <w:rFonts w:eastAsia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5037</Words>
  <Characters>2872</Characters>
  <Application>Microsoft Office Word</Application>
  <DocSecurity>0</DocSecurity>
  <Lines>23</Lines>
  <Paragraphs>15</Paragraphs>
  <ScaleCrop>false</ScaleCrop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Філюта Катерина Олександрівна</dc:creator>
  <cp:keywords/>
  <dc:description/>
  <cp:lastModifiedBy>Філюта Катерина Олександрівна</cp:lastModifiedBy>
  <cp:revision>2</cp:revision>
  <dcterms:created xsi:type="dcterms:W3CDTF">2021-10-11T09:31:00Z</dcterms:created>
  <dcterms:modified xsi:type="dcterms:W3CDTF">2021-10-11T09:32:00Z</dcterms:modified>
</cp:coreProperties>
</file>