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838" w:rsidRDefault="00814838" w:rsidP="00814838">
      <w:pPr>
        <w:pageBreakBefore/>
        <w:jc w:val="center"/>
        <w:rPr>
          <w:b/>
          <w:sz w:val="28"/>
          <w:szCs w:val="28"/>
          <w:lang w:val="uk-UA"/>
        </w:rPr>
      </w:pPr>
      <w:r>
        <w:rPr>
          <w:b/>
          <w:sz w:val="28"/>
          <w:szCs w:val="28"/>
          <w:lang w:val="uk-UA"/>
        </w:rPr>
        <w:t xml:space="preserve">ПОВІДОМЛЕННЯ </w:t>
      </w:r>
    </w:p>
    <w:p w:rsidR="00814838" w:rsidRDefault="00814838" w:rsidP="00814838">
      <w:pPr>
        <w:jc w:val="center"/>
        <w:rPr>
          <w:b/>
          <w:sz w:val="28"/>
          <w:szCs w:val="28"/>
          <w:lang w:val="uk-UA"/>
        </w:rPr>
      </w:pPr>
      <w:r>
        <w:rPr>
          <w:b/>
          <w:sz w:val="28"/>
          <w:szCs w:val="28"/>
          <w:lang w:val="uk-UA"/>
        </w:rPr>
        <w:t xml:space="preserve">про намір отримати дозвіл на викиди </w:t>
      </w:r>
    </w:p>
    <w:p w:rsidR="00814838" w:rsidRDefault="00814838" w:rsidP="00814838">
      <w:pPr>
        <w:ind w:firstLine="709"/>
        <w:jc w:val="center"/>
        <w:rPr>
          <w:b/>
          <w:color w:val="FF0000"/>
          <w:sz w:val="28"/>
          <w:szCs w:val="28"/>
          <w:lang w:val="uk-UA"/>
        </w:rPr>
      </w:pPr>
    </w:p>
    <w:p w:rsidR="00814838" w:rsidRDefault="00814838" w:rsidP="00814838">
      <w:pPr>
        <w:ind w:firstLine="567"/>
        <w:jc w:val="both"/>
        <w:rPr>
          <w:sz w:val="28"/>
          <w:szCs w:val="28"/>
          <w:lang w:val="uk-UA"/>
        </w:rPr>
      </w:pPr>
      <w:r>
        <w:rPr>
          <w:b/>
          <w:sz w:val="28"/>
          <w:szCs w:val="28"/>
          <w:lang w:val="uk-UA"/>
        </w:rPr>
        <w:t>Повне та скорочене найменування суб’єкта господарювання:</w:t>
      </w:r>
      <w:r>
        <w:rPr>
          <w:sz w:val="28"/>
          <w:szCs w:val="28"/>
          <w:lang w:val="uk-UA"/>
        </w:rPr>
        <w:t xml:space="preserve"> Товариство з обмеженою відповідальністю «ПРИДНІПРОВСЬКИЙ ОЛІЙНОЕКСТРАКЦІЙНИЙ ЗАВОД» (</w:t>
      </w:r>
      <w:bookmarkStart w:id="0" w:name="_GoBack"/>
      <w:r>
        <w:rPr>
          <w:sz w:val="28"/>
          <w:szCs w:val="28"/>
          <w:lang w:val="uk-UA"/>
        </w:rPr>
        <w:t>ТОВ «ПРИДНІПРОВСЬКИЙ ОЕЗ»</w:t>
      </w:r>
      <w:bookmarkEnd w:id="0"/>
      <w:r>
        <w:rPr>
          <w:sz w:val="28"/>
          <w:szCs w:val="28"/>
          <w:lang w:val="uk-UA"/>
        </w:rPr>
        <w:t>).</w:t>
      </w:r>
    </w:p>
    <w:p w:rsidR="00814838" w:rsidRDefault="00814838" w:rsidP="00814838">
      <w:pPr>
        <w:ind w:firstLine="567"/>
        <w:jc w:val="both"/>
        <w:rPr>
          <w:sz w:val="28"/>
          <w:szCs w:val="28"/>
          <w:lang w:val="uk-UA"/>
        </w:rPr>
      </w:pPr>
      <w:r>
        <w:rPr>
          <w:b/>
          <w:sz w:val="28"/>
          <w:szCs w:val="28"/>
          <w:lang w:val="uk-UA"/>
        </w:rPr>
        <w:t xml:space="preserve">Ідентифікаційний код юридичної особи в ЄДРПОУ: </w:t>
      </w:r>
      <w:r>
        <w:rPr>
          <w:sz w:val="28"/>
          <w:szCs w:val="28"/>
          <w:lang w:val="uk-UA"/>
        </w:rPr>
        <w:t>39974537.</w:t>
      </w:r>
    </w:p>
    <w:p w:rsidR="00814838" w:rsidRDefault="00814838" w:rsidP="00814838">
      <w:pPr>
        <w:ind w:firstLine="567"/>
        <w:jc w:val="both"/>
        <w:rPr>
          <w:sz w:val="28"/>
          <w:szCs w:val="28"/>
          <w:lang w:val="uk-UA"/>
        </w:rPr>
      </w:pPr>
      <w:r>
        <w:rPr>
          <w:b/>
          <w:sz w:val="28"/>
          <w:szCs w:val="28"/>
          <w:lang w:val="uk-UA"/>
        </w:rPr>
        <w:t xml:space="preserve">Місцезнаходження суб’єкта господарювання, контактний номер телефону, адреса електронної пошти суб’єкта господарювання: </w:t>
      </w:r>
      <w:r>
        <w:rPr>
          <w:sz w:val="28"/>
          <w:szCs w:val="28"/>
          <w:lang w:val="uk-UA"/>
        </w:rPr>
        <w:t>25014</w:t>
      </w:r>
      <w:r>
        <w:rPr>
          <w:b/>
          <w:sz w:val="28"/>
          <w:szCs w:val="28"/>
          <w:lang w:val="uk-UA"/>
        </w:rPr>
        <w:t xml:space="preserve">, </w:t>
      </w:r>
      <w:r>
        <w:rPr>
          <w:sz w:val="28"/>
          <w:szCs w:val="28"/>
          <w:lang w:val="uk-UA"/>
        </w:rPr>
        <w:t xml:space="preserve">Кіровоградська область, місто Кропивницький, просп. Промисловий, 14-а, та вул. Мурманська, 53, тел. (0522) </w:t>
      </w:r>
      <w:r>
        <w:rPr>
          <w:sz w:val="28"/>
          <w:szCs w:val="28"/>
          <w:shd w:val="clear" w:color="auto" w:fill="FFFFFF"/>
          <w:lang w:val="uk-UA"/>
        </w:rPr>
        <w:t xml:space="preserve">36-88-88, </w:t>
      </w:r>
      <w:r>
        <w:rPr>
          <w:sz w:val="28"/>
          <w:szCs w:val="28"/>
          <w:lang w:val="en-US"/>
        </w:rPr>
        <w:t>pdmez</w:t>
      </w:r>
      <w:r>
        <w:rPr>
          <w:sz w:val="28"/>
          <w:szCs w:val="28"/>
        </w:rPr>
        <w:t>@</w:t>
      </w:r>
      <w:r>
        <w:rPr>
          <w:sz w:val="28"/>
          <w:szCs w:val="28"/>
          <w:lang w:val="en-US"/>
        </w:rPr>
        <w:t>kernel</w:t>
      </w:r>
      <w:r>
        <w:rPr>
          <w:sz w:val="28"/>
          <w:szCs w:val="28"/>
        </w:rPr>
        <w:t>.</w:t>
      </w:r>
      <w:r>
        <w:rPr>
          <w:sz w:val="28"/>
          <w:szCs w:val="28"/>
          <w:lang w:val="en-US"/>
        </w:rPr>
        <w:t>ua</w:t>
      </w:r>
      <w:r>
        <w:rPr>
          <w:sz w:val="28"/>
          <w:szCs w:val="28"/>
          <w:lang w:val="uk-UA"/>
        </w:rPr>
        <w:t>.</w:t>
      </w:r>
    </w:p>
    <w:p w:rsidR="00814838" w:rsidRDefault="00814838" w:rsidP="00814838">
      <w:pPr>
        <w:ind w:firstLine="567"/>
        <w:jc w:val="both"/>
        <w:rPr>
          <w:b/>
          <w:sz w:val="28"/>
          <w:szCs w:val="28"/>
          <w:lang w:val="uk-UA"/>
        </w:rPr>
      </w:pPr>
      <w:r>
        <w:rPr>
          <w:b/>
          <w:sz w:val="28"/>
          <w:szCs w:val="28"/>
          <w:lang w:val="uk-UA"/>
        </w:rPr>
        <w:t>Місцезнаходження об’єкта/промислового майданчика:</w:t>
      </w:r>
      <w:r>
        <w:rPr>
          <w:sz w:val="28"/>
          <w:szCs w:val="28"/>
          <w:lang w:val="uk-UA"/>
        </w:rPr>
        <w:t xml:space="preserve"> 25014</w:t>
      </w:r>
      <w:r>
        <w:rPr>
          <w:b/>
          <w:sz w:val="28"/>
          <w:szCs w:val="28"/>
          <w:lang w:val="uk-UA"/>
        </w:rPr>
        <w:t xml:space="preserve">, </w:t>
      </w:r>
      <w:r>
        <w:rPr>
          <w:sz w:val="28"/>
          <w:szCs w:val="28"/>
          <w:lang w:val="uk-UA"/>
        </w:rPr>
        <w:t>Кіровоградсь-ка область, м. Кропивницький, просп. Промисловий, 14-а, та вул. Мурманська, 53.</w:t>
      </w:r>
    </w:p>
    <w:p w:rsidR="00814838" w:rsidRDefault="00814838" w:rsidP="00814838">
      <w:pPr>
        <w:ind w:firstLine="567"/>
        <w:jc w:val="both"/>
        <w:rPr>
          <w:sz w:val="28"/>
          <w:szCs w:val="28"/>
          <w:lang w:val="uk-UA"/>
        </w:rPr>
      </w:pPr>
      <w:r>
        <w:rPr>
          <w:b/>
          <w:sz w:val="28"/>
          <w:szCs w:val="28"/>
          <w:lang w:val="uk-UA"/>
        </w:rPr>
        <w:t xml:space="preserve">Мета отримання дозволу на викиди: </w:t>
      </w:r>
      <w:r>
        <w:rPr>
          <w:sz w:val="28"/>
          <w:szCs w:val="28"/>
          <w:lang w:val="uk-UA"/>
        </w:rPr>
        <w:t>дотримання  вимог статті 11 Закону України "Про охорону атмосферного повітря".</w:t>
      </w:r>
    </w:p>
    <w:p w:rsidR="00814838" w:rsidRDefault="00814838" w:rsidP="00814838">
      <w:pPr>
        <w:ind w:firstLine="567"/>
        <w:jc w:val="both"/>
        <w:rPr>
          <w:b/>
          <w:sz w:val="28"/>
          <w:szCs w:val="28"/>
          <w:lang w:val="uk-UA"/>
        </w:rPr>
      </w:pPr>
      <w:r>
        <w:rPr>
          <w:b/>
          <w:sz w:val="28"/>
          <w:szCs w:val="28"/>
          <w:lang w:val="uk-UA"/>
        </w:rPr>
        <w:t xml:space="preserve">Відомості про наявність висновку з оцінки впливу на довкілля, в якому визначено допустимість провадження планованої діяльності, яка згідно з вимогами Закону України «Про оцінку впливу на довкілля» підлягає оцінці впливу на довкілля: </w:t>
      </w:r>
      <w:r>
        <w:rPr>
          <w:sz w:val="28"/>
          <w:szCs w:val="28"/>
          <w:lang w:val="uk-UA"/>
        </w:rPr>
        <w:t>Звіт з оцінки впливу на довкілля «Реконструкція комплексу споруд ТОВ «Придніпровський ОЕЗ» з добудовою котельного відділення з встановленням 3-х твердопаливних котлів номінальною термічною потужністю 28 МВт кожний та паросилової дільниці з когенераційною установкою електричною потужністю до 26 МВт за адресою: Кіровоградська область, м. Кропивницький, вул Мурманська, 53. Реєстраційний номер справи 20191164768. Висновок з оцінки впливу на довкілля №7-03/12-20191164768/1.</w:t>
      </w:r>
    </w:p>
    <w:p w:rsidR="00814838" w:rsidRDefault="00814838" w:rsidP="00814838">
      <w:pPr>
        <w:autoSpaceDE w:val="0"/>
        <w:autoSpaceDN w:val="0"/>
        <w:adjustRightInd w:val="0"/>
        <w:ind w:firstLine="540"/>
        <w:jc w:val="both"/>
        <w:rPr>
          <w:color w:val="000000"/>
          <w:sz w:val="28"/>
          <w:szCs w:val="28"/>
          <w:lang w:val="uk-UA"/>
        </w:rPr>
      </w:pPr>
      <w:r>
        <w:rPr>
          <w:b/>
          <w:sz w:val="28"/>
          <w:szCs w:val="28"/>
          <w:lang w:val="uk-UA"/>
        </w:rPr>
        <w:t xml:space="preserve">Загальний опис об’єкта (опис виробництв та технологічного устаткування): </w:t>
      </w:r>
      <w:r>
        <w:rPr>
          <w:sz w:val="28"/>
          <w:szCs w:val="28"/>
          <w:lang w:val="uk-UA"/>
        </w:rPr>
        <w:t>ТОВ «ПРИДНІПРОВСЬКИЙ ОЕЗ» спеціалізується на переробці насіння соняшника, сої та ріпаку. Основна продукція, яка випускається: макуха соняшникова, олія соняшникова прессова та екстракційна, шрот соняшниковий, лушпиння соняшникове, соєва пелюстка, соєвий шрот, оболочка соєва, олія соєва екстракційна, макуха ріпакова, олія ріпакова пресова, шрот ріпаковий, олія екстракційна ріпакова. Основна сировина, що використовується: насіння соняшнику, сої та ріпаку, розчинник (гексан), природний газ. Структура основного виробництва: елеваторний комплекс, два цеха добування олії, два цеха екстракції, котельня, котельне відділення. На елеваторному комплексі відбуваються наступні технологічні стадії: приймання сировини, очищення сировини від сторонніх домішок, сушіння сировини до заданої вологості, зберігання сировини. Елеваторний комплекс включає в себе один залізничний та чотири автомобільні розвантажувачі, шість сепараторів КБС, чотири сепаратори БСХ-300, два сепаратори «Луч», зерносушарку «Mathews», зерносушарку «Chief», зерносушарку «Mega», силоси сухого та вологого насіння, силоси</w:t>
      </w:r>
      <w:r>
        <w:rPr>
          <w:color w:val="FF0000"/>
          <w:sz w:val="28"/>
          <w:szCs w:val="28"/>
          <w:lang w:val="uk-UA"/>
        </w:rPr>
        <w:t xml:space="preserve"> </w:t>
      </w:r>
      <w:r>
        <w:rPr>
          <w:sz w:val="28"/>
          <w:szCs w:val="28"/>
          <w:lang w:val="uk-UA"/>
        </w:rPr>
        <w:t>відвантаження насіння на автотранспорт, силоси відходів, та силоси для зберігання</w:t>
      </w:r>
      <w:r>
        <w:rPr>
          <w:color w:val="FF0000"/>
          <w:sz w:val="28"/>
          <w:szCs w:val="28"/>
          <w:lang w:val="uk-UA"/>
        </w:rPr>
        <w:t xml:space="preserve"> </w:t>
      </w:r>
      <w:r>
        <w:rPr>
          <w:sz w:val="28"/>
          <w:szCs w:val="28"/>
          <w:lang w:val="uk-UA"/>
        </w:rPr>
        <w:t xml:space="preserve">насіння, конвеєра і норії, які обслуговують їх. </w:t>
      </w:r>
      <w:r>
        <w:rPr>
          <w:bCs/>
          <w:sz w:val="28"/>
          <w:szCs w:val="28"/>
          <w:lang w:val="uk-UA"/>
        </w:rPr>
        <w:t>Цехи добування олії призначені для отримання соняшникової</w:t>
      </w:r>
      <w:r w:rsidR="00BA5562">
        <w:rPr>
          <w:bCs/>
          <w:sz w:val="28"/>
          <w:szCs w:val="28"/>
          <w:lang w:val="uk-UA"/>
        </w:rPr>
        <w:t>,</w:t>
      </w:r>
      <w:r>
        <w:rPr>
          <w:bCs/>
          <w:sz w:val="28"/>
          <w:szCs w:val="28"/>
          <w:lang w:val="uk-UA"/>
        </w:rPr>
        <w:t xml:space="preserve"> ріпакової </w:t>
      </w:r>
      <w:r w:rsidR="00BA5562">
        <w:rPr>
          <w:bCs/>
          <w:sz w:val="28"/>
          <w:szCs w:val="28"/>
          <w:lang w:val="uk-UA"/>
        </w:rPr>
        <w:t xml:space="preserve">та соєвої </w:t>
      </w:r>
      <w:r>
        <w:rPr>
          <w:bCs/>
          <w:sz w:val="28"/>
          <w:szCs w:val="28"/>
          <w:lang w:val="uk-UA"/>
        </w:rPr>
        <w:t>олії та підготовки матеріалу (макуха соняшника, ріпака, сої) для подальшої екстракції з неї олії, а також грануляції знежиреного матеріалу (шрот соняшника, шрот сої та ріпаку).</w:t>
      </w:r>
      <w:r>
        <w:rPr>
          <w:sz w:val="28"/>
          <w:szCs w:val="28"/>
          <w:lang w:val="uk-UA"/>
        </w:rPr>
        <w:t xml:space="preserve"> Технологічним обладнанням, яке використовується в цехах добування олії є: </w:t>
      </w:r>
      <w:r>
        <w:rPr>
          <w:rStyle w:val="FontStyle14"/>
          <w:i w:val="0"/>
          <w:sz w:val="28"/>
          <w:szCs w:val="28"/>
          <w:lang w:val="uk-UA" w:eastAsia="uk-UA"/>
        </w:rPr>
        <w:t xml:space="preserve">зерносушарка </w:t>
      </w:r>
      <w:r>
        <w:rPr>
          <w:sz w:val="28"/>
          <w:szCs w:val="28"/>
          <w:lang w:val="uk-UA"/>
        </w:rPr>
        <w:t>«</w:t>
      </w:r>
      <w:r>
        <w:rPr>
          <w:sz w:val="28"/>
          <w:szCs w:val="28"/>
        </w:rPr>
        <w:t>Mega</w:t>
      </w:r>
      <w:r>
        <w:rPr>
          <w:sz w:val="28"/>
          <w:szCs w:val="28"/>
          <w:lang w:val="uk-UA"/>
        </w:rPr>
        <w:t>»</w:t>
      </w:r>
      <w:r>
        <w:rPr>
          <w:rStyle w:val="FontStyle14"/>
          <w:i w:val="0"/>
          <w:sz w:val="28"/>
          <w:szCs w:val="28"/>
          <w:lang w:val="uk-UA" w:eastAsia="uk-UA"/>
        </w:rPr>
        <w:t xml:space="preserve">, </w:t>
      </w:r>
      <w:r>
        <w:rPr>
          <w:sz w:val="28"/>
          <w:szCs w:val="28"/>
          <w:lang w:val="uk-UA"/>
        </w:rPr>
        <w:t xml:space="preserve">магнітний сепаратор, сепаратор БСХ-100, </w:t>
      </w:r>
      <w:r>
        <w:rPr>
          <w:rStyle w:val="FontStyle14"/>
          <w:i w:val="0"/>
          <w:sz w:val="28"/>
          <w:szCs w:val="28"/>
          <w:lang w:val="uk-UA" w:eastAsia="uk-UA"/>
        </w:rPr>
        <w:t>насіннєвіяльні машини, вальцеві верстати, жаровні,</w:t>
      </w:r>
      <w:r>
        <w:rPr>
          <w:sz w:val="28"/>
          <w:szCs w:val="28"/>
          <w:lang w:val="uk-UA"/>
        </w:rPr>
        <w:t xml:space="preserve"> форпреси, гранулятори,</w:t>
      </w:r>
      <w:r>
        <w:rPr>
          <w:rStyle w:val="FontStyle14"/>
          <w:i w:val="0"/>
          <w:sz w:val="28"/>
          <w:szCs w:val="28"/>
          <w:lang w:val="uk-UA" w:eastAsia="uk-UA"/>
        </w:rPr>
        <w:t xml:space="preserve"> </w:t>
      </w:r>
      <w:r>
        <w:rPr>
          <w:rStyle w:val="FontStyle14"/>
          <w:i w:val="0"/>
          <w:sz w:val="28"/>
          <w:szCs w:val="28"/>
          <w:lang w:val="uk-UA" w:eastAsia="uk-UA"/>
        </w:rPr>
        <w:lastRenderedPageBreak/>
        <w:t xml:space="preserve">експандер, силоси для зберігання насіння та відходів, </w:t>
      </w:r>
      <w:r>
        <w:rPr>
          <w:sz w:val="28"/>
          <w:szCs w:val="28"/>
          <w:lang w:val="uk-UA"/>
        </w:rPr>
        <w:t>конвеєра і норії, які обслуговують їх. В цехах екстракції відбуваються наступні технологічні процеси</w:t>
      </w:r>
      <w:r>
        <w:rPr>
          <w:rStyle w:val="FontStyle14"/>
          <w:i w:val="0"/>
          <w:sz w:val="28"/>
          <w:szCs w:val="28"/>
          <w:lang w:val="uk-UA" w:eastAsia="uk-UA"/>
        </w:rPr>
        <w:t xml:space="preserve">: </w:t>
      </w:r>
      <w:r>
        <w:rPr>
          <w:color w:val="000000"/>
          <w:sz w:val="28"/>
          <w:szCs w:val="28"/>
          <w:lang w:val="uk-UA"/>
        </w:rPr>
        <w:t>приймання, зберігання та подавання розчинника в цех екстракції; екстракції олії з підготовленого жирного матеріалу розчиником;  видалення розчинника з шроту (знежиренного матеріалу) та отримання готової продукції; дистиляції місцели та отримання готової продукції (олії); регенерації розчинника; абсорбції залишкових парів розчинника;</w:t>
      </w:r>
      <w:r>
        <w:rPr>
          <w:color w:val="000000"/>
          <w:w w:val="101"/>
          <w:sz w:val="28"/>
          <w:szCs w:val="28"/>
          <w:lang w:val="uk-UA"/>
        </w:rPr>
        <w:t xml:space="preserve"> в</w:t>
      </w:r>
      <w:r>
        <w:rPr>
          <w:color w:val="000000"/>
          <w:sz w:val="28"/>
          <w:szCs w:val="28"/>
          <w:lang w:val="uk-UA"/>
        </w:rPr>
        <w:t>одооборотний цикл; збирання конденсату водяної пари; збирання стічних вод. Технологічн</w:t>
      </w:r>
      <w:r w:rsidR="00BA5562">
        <w:rPr>
          <w:color w:val="000000"/>
          <w:sz w:val="28"/>
          <w:szCs w:val="28"/>
          <w:lang w:val="uk-UA"/>
        </w:rPr>
        <w:t>е</w:t>
      </w:r>
      <w:r>
        <w:rPr>
          <w:color w:val="000000"/>
          <w:sz w:val="28"/>
          <w:szCs w:val="28"/>
          <w:lang w:val="uk-UA"/>
        </w:rPr>
        <w:t xml:space="preserve"> обладнання, яке використовується в цехах екстракції є: екстрактори та тостери, шість підземних резервурів розчиника, </w:t>
      </w:r>
      <w:r>
        <w:rPr>
          <w:sz w:val="28"/>
          <w:szCs w:val="28"/>
          <w:lang w:val="uk-UA"/>
        </w:rPr>
        <w:t xml:space="preserve">насосні станції та блочні вентиляторні градірні, </w:t>
      </w:r>
      <w:r>
        <w:rPr>
          <w:color w:val="000000"/>
          <w:sz w:val="28"/>
          <w:szCs w:val="28"/>
          <w:lang w:val="uk-UA"/>
        </w:rPr>
        <w:t>гексановловлювачі</w:t>
      </w:r>
      <w:r>
        <w:rPr>
          <w:rStyle w:val="FontStyle14"/>
          <w:i w:val="0"/>
          <w:sz w:val="28"/>
          <w:szCs w:val="28"/>
          <w:lang w:val="uk-UA" w:eastAsia="uk-UA"/>
        </w:rPr>
        <w:t xml:space="preserve">, силоси зберігання шроту та лушпиння, </w:t>
      </w:r>
      <w:r>
        <w:rPr>
          <w:sz w:val="28"/>
          <w:szCs w:val="28"/>
          <w:lang w:val="uk-UA"/>
        </w:rPr>
        <w:t xml:space="preserve">конвеєра і норії, які обслуговують їх. </w:t>
      </w:r>
      <w:r>
        <w:rPr>
          <w:rStyle w:val="FontStyle14"/>
          <w:i w:val="0"/>
          <w:sz w:val="28"/>
          <w:szCs w:val="28"/>
          <w:lang w:val="uk-UA" w:eastAsia="uk-UA"/>
        </w:rPr>
        <w:t xml:space="preserve">Для вироблення пари для виробничих потреб використовуються котельня та котельне відділення. В котельній встановлено два котли </w:t>
      </w:r>
      <w:r>
        <w:rPr>
          <w:sz w:val="28"/>
          <w:szCs w:val="28"/>
          <w:lang w:val="uk-UA"/>
        </w:rPr>
        <w:t>«</w:t>
      </w:r>
      <w:r>
        <w:rPr>
          <w:sz w:val="28"/>
          <w:szCs w:val="28"/>
          <w:lang w:val="en-US"/>
        </w:rPr>
        <w:t>ASTEBO</w:t>
      </w:r>
      <w:r>
        <w:rPr>
          <w:sz w:val="28"/>
          <w:szCs w:val="28"/>
          <w:lang w:val="uk-UA"/>
        </w:rPr>
        <w:t xml:space="preserve">» та два котли </w:t>
      </w:r>
      <w:r>
        <w:rPr>
          <w:rStyle w:val="FontStyle14"/>
          <w:i w:val="0"/>
          <w:sz w:val="28"/>
          <w:szCs w:val="28"/>
          <w:lang w:val="uk-UA" w:eastAsia="uk-UA"/>
        </w:rPr>
        <w:t xml:space="preserve">Е-16-2,54-300, в котельному відділенні – три </w:t>
      </w:r>
      <w:r>
        <w:rPr>
          <w:sz w:val="28"/>
          <w:szCs w:val="28"/>
          <w:lang w:val="uk-UA"/>
        </w:rPr>
        <w:t xml:space="preserve">парові котли </w:t>
      </w:r>
      <w:r>
        <w:rPr>
          <w:sz w:val="28"/>
          <w:szCs w:val="28"/>
        </w:rPr>
        <w:t>«</w:t>
      </w:r>
      <w:r>
        <w:rPr>
          <w:sz w:val="28"/>
          <w:szCs w:val="28"/>
          <w:lang w:val="en-US"/>
        </w:rPr>
        <w:t>EKOL</w:t>
      </w:r>
      <w:r>
        <w:rPr>
          <w:sz w:val="28"/>
          <w:szCs w:val="28"/>
        </w:rPr>
        <w:t>» RKF35</w:t>
      </w:r>
      <w:r>
        <w:rPr>
          <w:sz w:val="28"/>
          <w:szCs w:val="28"/>
          <w:lang w:val="uk-UA"/>
        </w:rPr>
        <w:t xml:space="preserve"> та парову турбіну </w:t>
      </w:r>
      <w:r>
        <w:rPr>
          <w:sz w:val="28"/>
          <w:szCs w:val="28"/>
        </w:rPr>
        <w:t>типу «EKOL»</w:t>
      </w:r>
      <w:r>
        <w:rPr>
          <w:sz w:val="28"/>
          <w:szCs w:val="28"/>
          <w:lang w:val="uk-UA"/>
        </w:rPr>
        <w:t xml:space="preserve"> з генератором.</w:t>
      </w:r>
    </w:p>
    <w:p w:rsidR="00814838" w:rsidRDefault="00814838" w:rsidP="00814838">
      <w:pPr>
        <w:pStyle w:val="HTML"/>
        <w:shd w:val="clear" w:color="auto" w:fill="FFFFFF"/>
        <w:ind w:firstLine="567"/>
        <w:jc w:val="both"/>
        <w:textAlignment w:val="baseline"/>
        <w:rPr>
          <w:rFonts w:ascii="Times New Roman" w:hAnsi="Times New Roman" w:cs="Times New Roman"/>
          <w:noProof w:val="0"/>
          <w:color w:val="auto"/>
          <w:sz w:val="28"/>
          <w:szCs w:val="28"/>
          <w:lang w:val="uk-UA"/>
        </w:rPr>
      </w:pPr>
    </w:p>
    <w:p w:rsidR="00814838" w:rsidRDefault="00814838" w:rsidP="00814838">
      <w:pPr>
        <w:pStyle w:val="HTML"/>
        <w:shd w:val="clear" w:color="auto" w:fill="FFFFFF"/>
        <w:ind w:firstLine="567"/>
        <w:jc w:val="both"/>
        <w:textAlignment w:val="baseline"/>
        <w:rPr>
          <w:rFonts w:ascii="Times New Roman" w:hAnsi="Times New Roman" w:cs="Times New Roman"/>
          <w:color w:val="auto"/>
          <w:sz w:val="28"/>
          <w:szCs w:val="28"/>
          <w:lang w:val="uk-UA"/>
        </w:rPr>
      </w:pPr>
      <w:r>
        <w:rPr>
          <w:rFonts w:ascii="Times New Roman" w:hAnsi="Times New Roman" w:cs="Times New Roman"/>
          <w:b/>
          <w:sz w:val="28"/>
          <w:szCs w:val="28"/>
          <w:lang w:val="uk-UA"/>
        </w:rPr>
        <w:t>Відомості щодо видів та обсягів викидів:</w:t>
      </w:r>
      <w:r>
        <w:rPr>
          <w:rFonts w:ascii="Times New Roman" w:hAnsi="Times New Roman" w:cs="Times New Roman"/>
          <w:b/>
          <w:sz w:val="20"/>
          <w:szCs w:val="20"/>
          <w:lang w:val="uk-UA"/>
        </w:rPr>
        <w:t xml:space="preserve"> </w:t>
      </w:r>
      <w:r>
        <w:rPr>
          <w:rFonts w:ascii="Times New Roman" w:hAnsi="Times New Roman" w:cs="Times New Roman"/>
          <w:noProof w:val="0"/>
          <w:color w:val="auto"/>
          <w:sz w:val="28"/>
          <w:szCs w:val="28"/>
          <w:lang w:val="uk-UA"/>
        </w:rPr>
        <w:t xml:space="preserve">визначений обсяг викидів, в кількості </w:t>
      </w:r>
      <w:r>
        <w:rPr>
          <w:rFonts w:ascii="Times New Roman" w:hAnsi="Times New Roman" w:cs="Times New Roman"/>
          <w:color w:val="auto"/>
          <w:sz w:val="28"/>
          <w:szCs w:val="28"/>
          <w:lang w:val="uk-UA"/>
        </w:rPr>
        <w:t>263958,040133677 т/рік</w:t>
      </w:r>
      <w:r>
        <w:rPr>
          <w:rFonts w:ascii="Times New Roman" w:hAnsi="Times New Roman" w:cs="Times New Roman"/>
          <w:noProof w:val="0"/>
          <w:color w:val="auto"/>
          <w:sz w:val="28"/>
          <w:szCs w:val="28"/>
          <w:lang w:val="uk-UA"/>
        </w:rPr>
        <w:t>, а саме: натрію гідроокис – 0,000013, сажа – 0,0120018,</w:t>
      </w:r>
      <w:r>
        <w:rPr>
          <w:rFonts w:ascii="Times New Roman" w:hAnsi="Times New Roman" w:cs="Times New Roman"/>
          <w:noProof w:val="0"/>
          <w:color w:val="FF0000"/>
          <w:sz w:val="28"/>
          <w:szCs w:val="28"/>
          <w:lang w:val="uk-UA"/>
        </w:rPr>
        <w:t xml:space="preserve"> </w:t>
      </w:r>
      <w:r>
        <w:rPr>
          <w:rFonts w:ascii="Times New Roman" w:hAnsi="Times New Roman" w:cs="Times New Roman"/>
          <w:color w:val="auto"/>
          <w:sz w:val="28"/>
          <w:szCs w:val="28"/>
          <w:lang w:val="uk-UA"/>
        </w:rPr>
        <w:t>оксид вуглецю ‒ 446,23386, вуглецю діоксид ‒ 262817,272, метан ‒ 26,9814318,</w:t>
      </w:r>
      <w:r>
        <w:rPr>
          <w:rFonts w:ascii="Times New Roman" w:hAnsi="Times New Roman" w:cs="Times New Roman"/>
          <w:color w:val="FF0000"/>
          <w:sz w:val="28"/>
          <w:szCs w:val="28"/>
          <w:lang w:val="uk-UA"/>
        </w:rPr>
        <w:t xml:space="preserve"> </w:t>
      </w:r>
      <w:r>
        <w:rPr>
          <w:rFonts w:ascii="Times New Roman" w:hAnsi="Times New Roman" w:cs="Times New Roman"/>
          <w:color w:val="auto"/>
          <w:sz w:val="28"/>
          <w:szCs w:val="28"/>
          <w:lang w:val="uk-UA"/>
        </w:rPr>
        <w:t>залізо та його сполуки ‒ 0,07954, ртуть та її сполуки ‒ 0,000035603, хром та його сполуки ‒ 0,000004, манган та його сполуки ‒ 0,002715, речовини у вигляді</w:t>
      </w:r>
      <w:r>
        <w:rPr>
          <w:rFonts w:ascii="Times New Roman" w:hAnsi="Times New Roman" w:cs="Times New Roman"/>
          <w:color w:val="FF0000"/>
          <w:sz w:val="28"/>
          <w:szCs w:val="28"/>
          <w:lang w:val="uk-UA"/>
        </w:rPr>
        <w:t xml:space="preserve"> </w:t>
      </w:r>
      <w:r>
        <w:rPr>
          <w:rFonts w:ascii="Times New Roman" w:hAnsi="Times New Roman" w:cs="Times New Roman"/>
          <w:color w:val="auto"/>
          <w:sz w:val="28"/>
          <w:szCs w:val="28"/>
          <w:lang w:val="uk-UA"/>
        </w:rPr>
        <w:t>суспендованих твердих частинок ‒ 216,15965332, пил абразивний ‒ 0,1267,  пил</w:t>
      </w:r>
      <w:r>
        <w:rPr>
          <w:rFonts w:ascii="Times New Roman" w:hAnsi="Times New Roman" w:cs="Times New Roman"/>
          <w:color w:val="FF0000"/>
          <w:sz w:val="28"/>
          <w:szCs w:val="28"/>
          <w:lang w:val="uk-UA"/>
        </w:rPr>
        <w:t xml:space="preserve"> </w:t>
      </w:r>
      <w:r>
        <w:rPr>
          <w:rFonts w:ascii="Times New Roman" w:hAnsi="Times New Roman" w:cs="Times New Roman"/>
          <w:color w:val="auto"/>
          <w:sz w:val="28"/>
          <w:szCs w:val="28"/>
          <w:lang w:val="uk-UA"/>
        </w:rPr>
        <w:t>лушиння соняшника – 0,004038, натрію хлорид – 0,000000045,  натрію сульфат –</w:t>
      </w:r>
      <w:r>
        <w:rPr>
          <w:rFonts w:ascii="Times New Roman" w:hAnsi="Times New Roman" w:cs="Times New Roman"/>
          <w:color w:val="FF0000"/>
          <w:sz w:val="28"/>
          <w:szCs w:val="28"/>
          <w:lang w:val="uk-UA"/>
        </w:rPr>
        <w:t xml:space="preserve"> </w:t>
      </w:r>
      <w:r>
        <w:rPr>
          <w:rFonts w:ascii="Times New Roman" w:hAnsi="Times New Roman" w:cs="Times New Roman"/>
          <w:color w:val="auto"/>
          <w:sz w:val="28"/>
          <w:szCs w:val="28"/>
          <w:lang w:val="uk-UA"/>
        </w:rPr>
        <w:t>0,00042, пил металевий ‒ 0,2063, натрію піросульфат – 0,00015, аерозоль фарби –</w:t>
      </w:r>
      <w:r>
        <w:rPr>
          <w:rFonts w:ascii="Times New Roman" w:hAnsi="Times New Roman" w:cs="Times New Roman"/>
          <w:color w:val="FF0000"/>
          <w:sz w:val="28"/>
          <w:szCs w:val="28"/>
          <w:lang w:val="uk-UA"/>
        </w:rPr>
        <w:t xml:space="preserve"> </w:t>
      </w:r>
      <w:r>
        <w:rPr>
          <w:rFonts w:ascii="Times New Roman" w:hAnsi="Times New Roman" w:cs="Times New Roman"/>
          <w:color w:val="auto"/>
          <w:sz w:val="28"/>
          <w:szCs w:val="28"/>
          <w:lang w:val="uk-UA"/>
        </w:rPr>
        <w:t xml:space="preserve">0,06, калію гідроокис – 0,00042, </w:t>
      </w:r>
      <w:r>
        <w:rPr>
          <w:rFonts w:ascii="Times New Roman" w:hAnsi="Times New Roman" w:cs="Times New Roman"/>
          <w:sz w:val="28"/>
          <w:szCs w:val="28"/>
          <w:lang w:val="uk-UA"/>
        </w:rPr>
        <w:t>оксиди азоту (у перерахунку на діоксид азоту [NO + NO</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w:t>
      </w:r>
      <w:r>
        <w:rPr>
          <w:rFonts w:ascii="Times New Roman" w:hAnsi="Times New Roman" w:cs="Times New Roman"/>
          <w:sz w:val="20"/>
          <w:szCs w:val="20"/>
          <w:lang w:val="uk-UA"/>
        </w:rPr>
        <w:t xml:space="preserve"> </w:t>
      </w:r>
      <w:r>
        <w:rPr>
          <w:rFonts w:ascii="Times New Roman" w:hAnsi="Times New Roman" w:cs="Times New Roman"/>
          <w:color w:val="auto"/>
          <w:sz w:val="28"/>
          <w:szCs w:val="28"/>
          <w:lang w:val="uk-UA"/>
        </w:rPr>
        <w:t>‒ 250,276923, оксид азоту (NO) – 0,02234,</w:t>
      </w:r>
      <w:r>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азоту (1) оксид (N</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 xml:space="preserve">O) </w:t>
      </w:r>
      <w:r>
        <w:rPr>
          <w:rFonts w:ascii="Times New Roman" w:hAnsi="Times New Roman" w:cs="Times New Roman"/>
          <w:color w:val="auto"/>
          <w:sz w:val="28"/>
          <w:szCs w:val="28"/>
          <w:lang w:val="uk-UA"/>
        </w:rPr>
        <w:t xml:space="preserve">‒ 14,821523, аміак – 0,0036301, метилмеркаптан ‒ 0,000000013, етилмеркаптан ‒ 0,000000006, сірки діоксид ‒ 30,67605, сірководень </w:t>
      </w:r>
      <w:r>
        <w:rPr>
          <w:rFonts w:ascii="Times New Roman" w:hAnsi="Times New Roman" w:cs="Times New Roman"/>
          <w:sz w:val="28"/>
          <w:szCs w:val="28"/>
          <w:lang w:val="uk-UA"/>
        </w:rPr>
        <w:t>(H</w:t>
      </w:r>
      <w:r>
        <w:rPr>
          <w:rFonts w:ascii="Times New Roman" w:hAnsi="Times New Roman" w:cs="Times New Roman"/>
          <w:sz w:val="28"/>
          <w:szCs w:val="28"/>
          <w:vertAlign w:val="subscript"/>
          <w:lang w:val="uk-UA"/>
        </w:rPr>
        <w:t>2</w:t>
      </w:r>
      <w:r>
        <w:rPr>
          <w:rFonts w:ascii="Times New Roman" w:hAnsi="Times New Roman" w:cs="Times New Roman"/>
          <w:sz w:val="28"/>
          <w:szCs w:val="28"/>
          <w:lang w:val="uk-UA"/>
        </w:rPr>
        <w:t>S)</w:t>
      </w:r>
      <w:r>
        <w:rPr>
          <w:rFonts w:ascii="Times New Roman" w:hAnsi="Times New Roman" w:cs="Times New Roman"/>
          <w:sz w:val="20"/>
          <w:szCs w:val="20"/>
          <w:lang w:val="uk-UA"/>
        </w:rPr>
        <w:t xml:space="preserve"> </w:t>
      </w:r>
      <w:r>
        <w:rPr>
          <w:rFonts w:ascii="Times New Roman" w:hAnsi="Times New Roman" w:cs="Times New Roman"/>
          <w:color w:val="auto"/>
          <w:sz w:val="28"/>
          <w:szCs w:val="28"/>
          <w:lang w:val="uk-UA"/>
        </w:rPr>
        <w:t xml:space="preserve"> ‒ 0,000013,</w:t>
      </w:r>
      <w:r>
        <w:rPr>
          <w:rFonts w:ascii="Times New Roman" w:hAnsi="Times New Roman" w:cs="Times New Roman"/>
          <w:color w:val="FF0000"/>
          <w:sz w:val="28"/>
          <w:szCs w:val="28"/>
          <w:lang w:val="uk-UA"/>
        </w:rPr>
        <w:t xml:space="preserve"> </w:t>
      </w:r>
      <w:r>
        <w:rPr>
          <w:rFonts w:ascii="Times New Roman" w:hAnsi="Times New Roman" w:cs="Times New Roman"/>
          <w:color w:val="auto"/>
          <w:sz w:val="28"/>
          <w:szCs w:val="28"/>
          <w:lang w:val="uk-UA"/>
        </w:rPr>
        <w:t xml:space="preserve">сульфатная кислота </w:t>
      </w:r>
      <w:r>
        <w:rPr>
          <w:rFonts w:ascii="Times New Roman" w:hAnsi="Times New Roman" w:cs="Times New Roman"/>
          <w:sz w:val="28"/>
          <w:szCs w:val="28"/>
          <w:lang w:val="uk-UA"/>
        </w:rPr>
        <w:t>(</w:t>
      </w:r>
      <w:r>
        <w:rPr>
          <w:rFonts w:ascii="Times New Roman" w:hAnsi="Times New Roman" w:cs="Times New Roman"/>
          <w:sz w:val="28"/>
          <w:szCs w:val="28"/>
        </w:rPr>
        <w:t>H</w:t>
      </w:r>
      <w:r>
        <w:rPr>
          <w:rFonts w:ascii="Times New Roman" w:hAnsi="Times New Roman" w:cs="Times New Roman"/>
          <w:sz w:val="28"/>
          <w:szCs w:val="28"/>
          <w:vertAlign w:val="subscript"/>
          <w:lang w:val="uk-UA"/>
        </w:rPr>
        <w:t>2</w:t>
      </w:r>
      <w:r>
        <w:rPr>
          <w:rFonts w:ascii="Times New Roman" w:hAnsi="Times New Roman" w:cs="Times New Roman"/>
          <w:sz w:val="28"/>
          <w:szCs w:val="28"/>
        </w:rPr>
        <w:t>SO</w:t>
      </w:r>
      <w:r>
        <w:rPr>
          <w:rFonts w:ascii="Times New Roman" w:hAnsi="Times New Roman" w:cs="Times New Roman"/>
          <w:sz w:val="28"/>
          <w:szCs w:val="28"/>
          <w:vertAlign w:val="subscript"/>
          <w:lang w:val="uk-UA"/>
        </w:rPr>
        <w:t>4</w:t>
      </w:r>
      <w:r>
        <w:rPr>
          <w:rFonts w:ascii="Times New Roman" w:hAnsi="Times New Roman" w:cs="Times New Roman"/>
          <w:sz w:val="28"/>
          <w:szCs w:val="28"/>
          <w:lang w:val="uk-UA"/>
        </w:rPr>
        <w:t>)</w:t>
      </w:r>
      <w:r>
        <w:rPr>
          <w:rFonts w:ascii="Times New Roman" w:hAnsi="Times New Roman" w:cs="Times New Roman"/>
          <w:color w:val="auto"/>
          <w:sz w:val="28"/>
          <w:szCs w:val="28"/>
          <w:lang w:val="uk-UA"/>
        </w:rPr>
        <w:t xml:space="preserve"> (сірчана кислота) ‒ 0,001, диметиламін – 0,0000002, гексан ‒ 4,4683756, спирт бутиловий – 0,0014, спирт ізобутиловий – 0,0014, спирт етиловий –</w:t>
      </w:r>
      <w:r>
        <w:rPr>
          <w:rFonts w:ascii="Times New Roman" w:hAnsi="Times New Roman" w:cs="Times New Roman"/>
          <w:color w:val="FF0000"/>
          <w:sz w:val="28"/>
          <w:szCs w:val="28"/>
          <w:lang w:val="uk-UA"/>
        </w:rPr>
        <w:t xml:space="preserve"> </w:t>
      </w:r>
      <w:r>
        <w:rPr>
          <w:rFonts w:ascii="Times New Roman" w:hAnsi="Times New Roman" w:cs="Times New Roman"/>
          <w:color w:val="auto"/>
          <w:sz w:val="28"/>
          <w:szCs w:val="28"/>
          <w:lang w:val="uk-UA"/>
        </w:rPr>
        <w:t>0,0562, альдегід пропіоновий – 0,0000004, кислота валеріанова – 0,000001, масло</w:t>
      </w:r>
      <w:r>
        <w:rPr>
          <w:rFonts w:ascii="Times New Roman" w:hAnsi="Times New Roman" w:cs="Times New Roman"/>
          <w:color w:val="FF0000"/>
          <w:sz w:val="28"/>
          <w:szCs w:val="28"/>
          <w:lang w:val="uk-UA"/>
        </w:rPr>
        <w:t xml:space="preserve"> </w:t>
      </w:r>
      <w:r>
        <w:rPr>
          <w:rFonts w:ascii="Times New Roman" w:hAnsi="Times New Roman" w:cs="Times New Roman"/>
          <w:color w:val="auto"/>
          <w:sz w:val="28"/>
          <w:szCs w:val="28"/>
          <w:lang w:val="uk-UA"/>
        </w:rPr>
        <w:t xml:space="preserve">мінеральне – 0,000044, уайт-спірит – 0,06425, вуглеводні гpаничні С12-С19 </w:t>
      </w:r>
      <w:r>
        <w:rPr>
          <w:rFonts w:ascii="Times New Roman" w:hAnsi="Times New Roman" w:cs="Times New Roman"/>
          <w:sz w:val="28"/>
          <w:szCs w:val="28"/>
          <w:lang w:val="uk-UA"/>
        </w:rPr>
        <w:t>(розчинник РПК-265 П та інш.)</w:t>
      </w:r>
      <w:r>
        <w:rPr>
          <w:rFonts w:ascii="Times New Roman" w:hAnsi="Times New Roman" w:cs="Times New Roman"/>
          <w:sz w:val="20"/>
          <w:szCs w:val="20"/>
          <w:lang w:val="uk-UA"/>
        </w:rPr>
        <w:t xml:space="preserve"> </w:t>
      </w:r>
      <w:r>
        <w:rPr>
          <w:rFonts w:ascii="Times New Roman" w:hAnsi="Times New Roman" w:cs="Times New Roman"/>
          <w:color w:val="auto"/>
          <w:sz w:val="28"/>
          <w:szCs w:val="28"/>
          <w:lang w:val="uk-UA"/>
        </w:rPr>
        <w:t xml:space="preserve">‒ 149,70711, акролеїн – 0,70254, діетиловий ефір – 0,0153, кислота оцтова – 0,009, ксилол – 0,06425, формальдегід – 0,00240057, бенз(а)пірен – 0,000000220039, хлорид водню – 0,0071.  </w:t>
      </w:r>
    </w:p>
    <w:p w:rsidR="00814838" w:rsidRDefault="00814838" w:rsidP="00814838">
      <w:pPr>
        <w:pStyle w:val="HTML"/>
        <w:shd w:val="clear" w:color="auto" w:fill="FFFFFF"/>
        <w:ind w:firstLine="567"/>
        <w:jc w:val="both"/>
        <w:textAlignment w:val="baseline"/>
        <w:rPr>
          <w:rFonts w:ascii="Times New Roman" w:hAnsi="Times New Roman" w:cs="Times New Roman"/>
          <w:color w:val="auto"/>
          <w:sz w:val="28"/>
          <w:szCs w:val="28"/>
          <w:lang w:val="uk-UA"/>
        </w:rPr>
      </w:pPr>
      <w:r>
        <w:rPr>
          <w:rFonts w:ascii="Times New Roman" w:hAnsi="Times New Roman" w:cs="Times New Roman"/>
          <w:b/>
          <w:sz w:val="28"/>
          <w:szCs w:val="28"/>
          <w:lang w:val="uk-UA"/>
        </w:rPr>
        <w:t>Заходи щодо впровадження найкращих існуючих технологій виробництва, що виконані або/та які потребують виконання:</w:t>
      </w:r>
      <w:r>
        <w:rPr>
          <w:rFonts w:ascii="Times New Roman" w:hAnsi="Times New Roman" w:cs="Times New Roman"/>
          <w:color w:val="auto"/>
          <w:sz w:val="28"/>
          <w:szCs w:val="28"/>
          <w:lang w:val="uk-UA"/>
        </w:rPr>
        <w:t xml:space="preserve"> проводити пуско-налагоджувальні та режимно-налагоджувальні роботи, прямі інструментально-лабораторні вимірювання для визначення параметрів газопилового потоку та фактичних обсягів викидів забруднюючих речовин. </w:t>
      </w:r>
    </w:p>
    <w:p w:rsidR="00814838" w:rsidRDefault="00814838" w:rsidP="00814838">
      <w:pPr>
        <w:pStyle w:val="HTML"/>
        <w:shd w:val="clear" w:color="auto" w:fill="FFFFFF"/>
        <w:ind w:firstLine="567"/>
        <w:jc w:val="both"/>
        <w:textAlignment w:val="baseline"/>
        <w:rPr>
          <w:rFonts w:ascii="Times New Roman" w:hAnsi="Times New Roman" w:cs="Times New Roman"/>
          <w:color w:val="auto"/>
          <w:sz w:val="28"/>
          <w:szCs w:val="28"/>
          <w:lang w:val="uk-UA"/>
        </w:rPr>
      </w:pPr>
      <w:r>
        <w:rPr>
          <w:rFonts w:ascii="Times New Roman" w:hAnsi="Times New Roman" w:cs="Times New Roman"/>
          <w:b/>
          <w:sz w:val="28"/>
          <w:szCs w:val="28"/>
          <w:lang w:val="uk-UA"/>
        </w:rPr>
        <w:t>Перелік заходів щодо скорочення викидів, що виконані або/та які потребують виконання та дотримання виконання природоохоронних заходів щодо скорочення викидів:</w:t>
      </w:r>
      <w:r>
        <w:rPr>
          <w:rFonts w:ascii="Times New Roman" w:hAnsi="Times New Roman" w:cs="Times New Roman"/>
          <w:color w:val="auto"/>
          <w:sz w:val="28"/>
          <w:szCs w:val="28"/>
          <w:lang w:val="uk-UA"/>
        </w:rPr>
        <w:t xml:space="preserve"> режимно-налагоджувальні роботи, прямі інструментально-лабораторні вимірювання для визначення параметрів газопилового потоку та фактичних обсягів викидів забруднюючих речовин, регулярний огляд пожежонебезпечних вузлів.</w:t>
      </w:r>
    </w:p>
    <w:p w:rsidR="00814838" w:rsidRDefault="00814838" w:rsidP="00814838">
      <w:pPr>
        <w:ind w:firstLine="567"/>
        <w:jc w:val="both"/>
        <w:rPr>
          <w:b/>
          <w:sz w:val="28"/>
          <w:szCs w:val="28"/>
          <w:lang w:val="uk-UA"/>
        </w:rPr>
      </w:pPr>
      <w:r>
        <w:rPr>
          <w:b/>
          <w:sz w:val="28"/>
          <w:szCs w:val="28"/>
          <w:lang w:val="uk-UA"/>
        </w:rPr>
        <w:lastRenderedPageBreak/>
        <w:t xml:space="preserve">Відповідність пропозицій щодо дозволених обсягів викидів законодавству: </w:t>
      </w:r>
      <w:r>
        <w:rPr>
          <w:sz w:val="28"/>
          <w:szCs w:val="28"/>
          <w:lang w:val="uk-UA"/>
        </w:rPr>
        <w:t>пропозиції щодо дозволених обсягів викидів відповідають та</w:t>
      </w:r>
      <w:r>
        <w:rPr>
          <w:b/>
          <w:sz w:val="28"/>
          <w:szCs w:val="28"/>
          <w:lang w:val="uk-UA"/>
        </w:rPr>
        <w:t xml:space="preserve"> </w:t>
      </w:r>
      <w:r>
        <w:rPr>
          <w:sz w:val="28"/>
          <w:szCs w:val="28"/>
          <w:lang w:val="uk-UA"/>
        </w:rPr>
        <w:t>дотримуються всіх установлених вимог чинного законодавства України.</w:t>
      </w:r>
    </w:p>
    <w:p w:rsidR="00814838" w:rsidRDefault="00814838" w:rsidP="00814838">
      <w:pPr>
        <w:ind w:firstLine="567"/>
        <w:jc w:val="both"/>
        <w:rPr>
          <w:sz w:val="28"/>
          <w:szCs w:val="28"/>
          <w:lang w:val="uk-UA"/>
        </w:rPr>
      </w:pPr>
      <w:r>
        <w:rPr>
          <w:sz w:val="28"/>
          <w:szCs w:val="28"/>
          <w:lang w:val="uk-UA"/>
        </w:rPr>
        <w:t>Зауваження та пропозиції громадськості щодо дозволу на викиди з питань охорони навколишнього природного середовища можуть надсилатися до Кіровоградської обласної військової адміністрації на адресу: 25006, м. Кропивницький–06, пл. Героїв Майдану, 1; тел. 24-17-25, е-mail: </w:t>
      </w:r>
    </w:p>
    <w:p w:rsidR="00814838" w:rsidRDefault="002B6A31" w:rsidP="00814838">
      <w:pPr>
        <w:ind w:firstLine="567"/>
        <w:jc w:val="both"/>
        <w:rPr>
          <w:sz w:val="28"/>
          <w:szCs w:val="28"/>
          <w:lang w:val="uk-UA"/>
        </w:rPr>
      </w:pPr>
      <w:hyperlink r:id="rId5" w:history="1">
        <w:r w:rsidR="00814838">
          <w:rPr>
            <w:rStyle w:val="a3"/>
            <w:color w:val="auto"/>
            <w:sz w:val="28"/>
            <w:szCs w:val="28"/>
            <w:u w:val="none"/>
            <w:lang w:val="uk-UA"/>
          </w:rPr>
          <w:t>ekologkr2019@gmail.com</w:t>
        </w:r>
      </w:hyperlink>
      <w:r w:rsidR="00814838">
        <w:rPr>
          <w:sz w:val="28"/>
          <w:szCs w:val="28"/>
          <w:lang w:val="uk-UA"/>
        </w:rPr>
        <w:t>.</w:t>
      </w:r>
    </w:p>
    <w:p w:rsidR="00814838" w:rsidRDefault="00814838" w:rsidP="00814838">
      <w:pPr>
        <w:ind w:firstLine="567"/>
        <w:jc w:val="both"/>
        <w:rPr>
          <w:sz w:val="28"/>
          <w:szCs w:val="28"/>
          <w:lang w:val="uk-UA"/>
        </w:rPr>
      </w:pPr>
      <w:r>
        <w:rPr>
          <w:sz w:val="28"/>
          <w:szCs w:val="28"/>
          <w:lang w:val="uk-UA"/>
        </w:rPr>
        <w:t>Зауваження та пропозиції приймаються до розгляду протягом 30 календарних днів з дати опублікування повідомлення в місцевих друкованих засобах масової інформації.</w:t>
      </w:r>
    </w:p>
    <w:p w:rsidR="000C6808" w:rsidRPr="00814838" w:rsidRDefault="000C6808" w:rsidP="00814838">
      <w:pPr>
        <w:rPr>
          <w:lang w:val="uk-UA"/>
        </w:rPr>
      </w:pPr>
    </w:p>
    <w:sectPr w:rsidR="000C6808" w:rsidRPr="00814838" w:rsidSect="000F39C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9C7"/>
    <w:rsid w:val="000C6808"/>
    <w:rsid w:val="000F39C7"/>
    <w:rsid w:val="001A41A5"/>
    <w:rsid w:val="002B6A31"/>
    <w:rsid w:val="003F242A"/>
    <w:rsid w:val="00814838"/>
    <w:rsid w:val="00AD75BA"/>
    <w:rsid w:val="00BA5562"/>
    <w:rsid w:val="00D83D5E"/>
    <w:rsid w:val="00E60C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C7"/>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F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color w:val="000000"/>
      <w:sz w:val="21"/>
      <w:szCs w:val="21"/>
    </w:rPr>
  </w:style>
  <w:style w:type="character" w:customStyle="1" w:styleId="HTML0">
    <w:name w:val="Стандартный HTML Знак"/>
    <w:basedOn w:val="a0"/>
    <w:link w:val="HTML"/>
    <w:uiPriority w:val="99"/>
    <w:rsid w:val="000F39C7"/>
    <w:rPr>
      <w:rFonts w:ascii="Courier New" w:eastAsia="Times New Roman" w:hAnsi="Courier New" w:cs="Courier New"/>
      <w:noProof/>
      <w:color w:val="000000"/>
      <w:sz w:val="21"/>
      <w:szCs w:val="21"/>
      <w:lang w:eastAsia="ru-RU"/>
    </w:rPr>
  </w:style>
  <w:style w:type="character" w:customStyle="1" w:styleId="FontStyle14">
    <w:name w:val="Font Style14"/>
    <w:rsid w:val="000F39C7"/>
    <w:rPr>
      <w:rFonts w:ascii="Times New Roman" w:hAnsi="Times New Roman" w:cs="Times New Roman"/>
      <w:i/>
      <w:iCs/>
      <w:sz w:val="22"/>
      <w:szCs w:val="22"/>
    </w:rPr>
  </w:style>
  <w:style w:type="character" w:styleId="a3">
    <w:name w:val="Hyperlink"/>
    <w:basedOn w:val="a0"/>
    <w:uiPriority w:val="99"/>
    <w:semiHidden/>
    <w:unhideWhenUsed/>
    <w:rsid w:val="008148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9C7"/>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0F3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color w:val="000000"/>
      <w:sz w:val="21"/>
      <w:szCs w:val="21"/>
    </w:rPr>
  </w:style>
  <w:style w:type="character" w:customStyle="1" w:styleId="HTML0">
    <w:name w:val="Стандартный HTML Знак"/>
    <w:basedOn w:val="a0"/>
    <w:link w:val="HTML"/>
    <w:uiPriority w:val="99"/>
    <w:rsid w:val="000F39C7"/>
    <w:rPr>
      <w:rFonts w:ascii="Courier New" w:eastAsia="Times New Roman" w:hAnsi="Courier New" w:cs="Courier New"/>
      <w:noProof/>
      <w:color w:val="000000"/>
      <w:sz w:val="21"/>
      <w:szCs w:val="21"/>
      <w:lang w:eastAsia="ru-RU"/>
    </w:rPr>
  </w:style>
  <w:style w:type="character" w:customStyle="1" w:styleId="FontStyle14">
    <w:name w:val="Font Style14"/>
    <w:rsid w:val="000F39C7"/>
    <w:rPr>
      <w:rFonts w:ascii="Times New Roman" w:hAnsi="Times New Roman" w:cs="Times New Roman"/>
      <w:i/>
      <w:iCs/>
      <w:sz w:val="22"/>
      <w:szCs w:val="22"/>
    </w:rPr>
  </w:style>
  <w:style w:type="character" w:styleId="a3">
    <w:name w:val="Hyperlink"/>
    <w:basedOn w:val="a0"/>
    <w:uiPriority w:val="99"/>
    <w:semiHidden/>
    <w:unhideWhenUsed/>
    <w:rsid w:val="008148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5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kologkr20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4612</Words>
  <Characters>2630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Тарасенко Ольга Володимирівна</cp:lastModifiedBy>
  <cp:revision>2</cp:revision>
  <dcterms:created xsi:type="dcterms:W3CDTF">2023-03-31T10:18:00Z</dcterms:created>
  <dcterms:modified xsi:type="dcterms:W3CDTF">2023-03-31T10:18:00Z</dcterms:modified>
</cp:coreProperties>
</file>