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E3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522DE3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F3793F" w:rsidRPr="00E1687C" w:rsidRDefault="00522DE3" w:rsidP="00522DE3">
      <w:pPr>
        <w:spacing w:line="240" w:lineRule="auto"/>
        <w:ind w:left="41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від  «___» ______ 20 __ р. № _____</w:t>
      </w:r>
    </w:p>
    <w:p w:rsidR="00D522E9" w:rsidRPr="00E1687C" w:rsidRDefault="00D522E9" w:rsidP="00BC2A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</w:t>
      </w: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маркування пластикових пакетів</w:t>
      </w:r>
    </w:p>
    <w:p w:rsidR="00F3793F" w:rsidRPr="00E1687C" w:rsidRDefault="009336F5" w:rsidP="00BC2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793F" w:rsidRDefault="009336F5" w:rsidP="005D78E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Цей Порядок визначає вимоги до маркування пластикових пакетів для їх обігу в Україні.</w:t>
      </w:r>
    </w:p>
    <w:p w:rsidR="00BD44DF" w:rsidRPr="00E1687C" w:rsidRDefault="00BD44DF" w:rsidP="005D78E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Маркуванню підлягають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2. Для цілей цього Порядку терміни вживаються в такому значенні</w:t>
      </w:r>
      <w:r w:rsidRPr="00E1687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партія -</w:t>
      </w:r>
      <w:r w:rsidRPr="00E168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будь-яка кількість біорозкладних пластикових пакетів з однаковими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фізичними та хімічними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характеристиками (склад, форма, розмір, товщина стінок), що супроводжується одним товаросупровідним документом; 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типовий представник асортиментного ряду - представник сукупності біорозкладних пластикових пакетів з однаковими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фізичними та хімічними 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характеристиками.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терміни вживаються у значенн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наведен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 в 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аконах України 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обмеження обігу пластикових пакетів на території України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технічні регламенти та оцінку відповідності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«Про загальну безпечність нехарчової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Про державний ринковий нагляд і контроль нехарч</w:t>
      </w:r>
      <w:r w:rsidR="00A177B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біг пластикових пакетів як біорозкладних пластикових пакетів дозволяється за умови їх відповідності нормам 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щодо утилізації способом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компостування або біорозкладання, визначеним ДСТУ EN 13432:2015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Упаковка. Вимоги до упаковки, утилізованої способом компостування і біодеградації. Тестові схеми та критерії оцінювання для остаточного прийняття упаковки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(EN 13432:2000, IDT) або ДСТУ EN 14995:2018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Пластмаси. Оцінювання здатності до біохімічного розпаду. Порядок випробування та технічні умови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(EN 14995:2006, IDT)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3429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відповідним гармонізованим європейським стандарт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33429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встановлені норми щодо утилізації способом компостування або біорозкладання). </w:t>
      </w:r>
    </w:p>
    <w:p w:rsidR="00F3793F" w:rsidRPr="00E1687C" w:rsidRDefault="009336F5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Обов’язки виробників</w:t>
      </w:r>
    </w:p>
    <w:p w:rsidR="00522DE3" w:rsidRPr="00E1687C" w:rsidRDefault="00522DE3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 Виробники під час введення біорозкладних пластикових пакетів в обіг забезпечують їх відповідність встановленим нормам щодо утилізації способом компостування або біорозкладання.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Виробники складають технічну документацію, яка повинна містити  інформацію 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фізичні та хімічні характеристики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біорозкладних пластикових пакетів та результати випробувань типового представника асортиментного ряду біорозкладних пластикових пакетів на відповідність встановленим нормам щодо утилізації способом компостування або біорозкладання.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Якщо відповідність пластикових пакетів встановленим нормам щодо </w:t>
      </w:r>
      <w:r w:rsidR="00612A47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утилізації способом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компостування або біорозкладання була доведена шляхом випробування типового представника асортиментного ряду біорозкладних пластикових пакетів, виробники наносять на кожний пластиковий пакет, що належить до такого асортиментного ряду, напис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</w:t>
      </w:r>
      <w:proofErr w:type="spellEnd"/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біопакет</w:t>
      </w:r>
      <w:proofErr w:type="spellEnd"/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біорозкладний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повинен бути розбірливим, видимим і незмивним.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Виробники забезпечують підтримання відповідності біорозкладних пластикових пакетів, що виготовляються 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партіями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, встановленим нормам щодо утилізації способом компостування або біорозкладання. При цьому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повинні враховуватись зміни у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фізичних та/або хімічних характеристиках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біорозкладних пластикових пакетів та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/або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технології виробництва.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 Виробники зберігають технічну документацію, зазначену в пункті 6 цього Порядку, протягом 10 років після введення останньої партії біорозкладн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пластиков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пакет</w:t>
      </w:r>
      <w:r w:rsidR="005D78E6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обіг.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36F5" w:rsidRPr="00E1687C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На запит</w:t>
      </w:r>
      <w:r w:rsidR="009336F5" w:rsidRPr="00E168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державного ринкового нагляду виробники надають йому інформацію та документацію (у паперовій або електронній формі), необхідну для демонстрування відповідності біорозкладних пластикових пакетів встановленим нормам щодо утилізації способом компостування або біорозкладання.</w:t>
      </w:r>
    </w:p>
    <w:p w:rsidR="00A43185" w:rsidRDefault="00A4318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43185" w:rsidRDefault="00A4318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43185" w:rsidRDefault="00A4318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3793F" w:rsidRPr="00E1687C" w:rsidRDefault="009336F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Обов’язки імпортерів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5601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Імпортери вводять в обіг біорозкладні пластикові пакети, що відповідають встановленим нормам щодо утилізації способом компостування або біорозкладання та на які нанесено маркування, зазначене у пункті </w:t>
      </w:r>
      <w:r w:rsidR="00DF4A40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F3793F" w:rsidRPr="00E1687C" w:rsidRDefault="00A56011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Перед введенням біорозкладних пластикових пакетів в обіг імпортери пересвідчуються в тому, що виробник склав технічну документацію та на ці біорозкладні пластикові пакети нанесено маркування, зазначене у пункті </w:t>
      </w:r>
      <w:r w:rsidR="00DF4A40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9336F5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F3793F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імпортер вважає або має підстави вважати, що біорозкладний пластиковий пакет не відповідає нормам щодо утилізації способом компостування або біорозкладання та/або на пакети не нанесено маркування, зазначене в пункті </w:t>
      </w:r>
      <w:r w:rsidR="00DF4A40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Порядку, він не вводить такі пластикові пакети в обіг, повідомляє про це виробнику та органу державного ринкового нагляду.</w:t>
      </w:r>
    </w:p>
    <w:p w:rsidR="00D522E9" w:rsidRPr="00E1687C" w:rsidRDefault="00D522E9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Імпортери</w:t>
      </w:r>
      <w:r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забезпечують підтримання відповідності біорозк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ладних пластикових пакетів, що імпорту</w:t>
      </w:r>
      <w:r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партіями, встановленим нормам щодо утилізації способом компостування або біорозкладання. При цьому повинні враховуватись зміни 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фізичних та/або хімічних характеристиках біорозкладних пластикових пакетів та/або технології виробництва.</w:t>
      </w:r>
    </w:p>
    <w:p w:rsidR="00D522E9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22E9"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Імпортери зберігають технічну документацію, зазначену в пункті 11 цього Порядку, протягом 10 років після введення останньої одиниці/партії біорозкладного пластикового пакет</w:t>
      </w:r>
      <w:r w:rsidR="00A4318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522E9"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обіг та надають органу державного ринкового нагляду інформацію та документацію (у па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перовій або електронній формі) </w:t>
      </w:r>
      <w:r w:rsidR="00D522E9" w:rsidRP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на його запит.</w:t>
      </w:r>
    </w:p>
    <w:p w:rsidR="00BD44DF" w:rsidRDefault="00BD44DF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Обов’язки розповсюджувачів</w:t>
      </w:r>
    </w:p>
    <w:p w:rsidR="00522DE3" w:rsidRPr="00E1687C" w:rsidRDefault="00522DE3" w:rsidP="00BC2ACC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D4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наданням біорозкладних пластикових пакетів на ринку розповсюджувачі перевіряють, що на такі пластикові пакети нанесено  </w:t>
      </w:r>
      <w:r w:rsidR="00DF4A40">
        <w:rPr>
          <w:rFonts w:ascii="Times New Roman" w:eastAsia="Times New Roman" w:hAnsi="Times New Roman" w:cs="Times New Roman"/>
          <w:sz w:val="28"/>
          <w:szCs w:val="28"/>
          <w:lang w:val="uk-UA"/>
        </w:rPr>
        <w:t>маркування, зазначене у пункті 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Якщо розповсюджувач вважає або має підстави вважати, що біорозкладні пластикові пакети не відповідають нормам щодо утилізації способом компостування або біорозкладання та/або на пакети не нанесено маркування, зазначене в пункті </w:t>
      </w:r>
      <w:r w:rsidR="00DF4A40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Порядку, він не надає такі пластикові пакети на ринку і повідомляє про це виробнику або імпортеру, а також органу державного ринкового нагляду.</w:t>
      </w:r>
    </w:p>
    <w:p w:rsidR="00A56011" w:rsidRDefault="00A56011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Ідентифікація суб’єктів господарювання</w:t>
      </w:r>
    </w:p>
    <w:p w:rsidR="00522DE3" w:rsidRPr="00E1687C" w:rsidRDefault="00522DE3" w:rsidP="00522DE3">
      <w:pPr>
        <w:shd w:val="clear" w:color="auto" w:fill="FFFFFF"/>
        <w:spacing w:line="240" w:lineRule="auto"/>
        <w:ind w:left="460" w:right="4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. Суб’єкти господарювання надають органу державного ринкового нагляду за його запитами інформацію, що дає змогу ідентифікувати: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 суб’єкта господарювання, який поставив їм біорозкладні пластикові пакети;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 суб’єкта господарювання, якому вони поставили біорозкладні пластикові пакети.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Суб’єкти господарювання надають інформацію, визначену в цьому пункті, протягом 10 років після того, як їм було поставлено біорозкладні пластикові пакети, та протягом 10 років після того, як вони поставили біорозкладні пластикові пакети.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ринковий нагляд і контроль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біорозкладни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пластикови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</w:t>
      </w:r>
      <w:r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пакет</w:t>
      </w:r>
      <w:r w:rsidR="00612A47" w:rsidRPr="00E168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</w:t>
      </w:r>
    </w:p>
    <w:p w:rsidR="00522DE3" w:rsidRPr="00E1687C" w:rsidRDefault="00522DE3" w:rsidP="00BC2AC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Державний ринковий нагляд і контроль за біорозкладними пластиковими пакетами здійснюється відповідно до Закону України </w:t>
      </w:r>
      <w:r w:rsidR="00F37F8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державний ринковий нагляд </w:t>
      </w:r>
      <w:r w:rsidR="00F37F81">
        <w:rPr>
          <w:rFonts w:ascii="Times New Roman" w:eastAsia="Times New Roman" w:hAnsi="Times New Roman" w:cs="Times New Roman"/>
          <w:sz w:val="28"/>
          <w:szCs w:val="28"/>
          <w:lang w:val="uk-UA"/>
        </w:rPr>
        <w:t>і контроль нехарчової продукції»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вимог цього Порядку.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22E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Заходи щодо усунення формальної невідповідності вживаються </w:t>
      </w:r>
      <w:r w:rsidR="00474FB9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разі, коли орган державного ринкового нагляду встановить будь-яку таку невідповідність: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маркування було нане</w:t>
      </w:r>
      <w:r w:rsidR="00DF4A40">
        <w:rPr>
          <w:rFonts w:ascii="Times New Roman" w:eastAsia="Times New Roman" w:hAnsi="Times New Roman" w:cs="Times New Roman"/>
          <w:sz w:val="28"/>
          <w:szCs w:val="28"/>
          <w:lang w:val="uk-UA"/>
        </w:rPr>
        <w:t>сено з порушенням вимог пункту 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було нанесено маркування, визначеного пунктом </w:t>
      </w:r>
      <w:r w:rsidR="00DF4A40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Порядку;</w:t>
      </w:r>
    </w:p>
    <w:p w:rsidR="00F3793F" w:rsidRPr="00E1687C" w:rsidRDefault="009336F5" w:rsidP="005D78E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органу державного ринкового нагляду не надано доступу до технічної документації або вона є неповною.</w:t>
      </w:r>
    </w:p>
    <w:p w:rsidR="00522DE3" w:rsidRPr="00E1687C" w:rsidRDefault="009336F5" w:rsidP="00612A47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522DE3"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Pr="00E168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:rsidR="00E1687C" w:rsidRPr="00612A47" w:rsidRDefault="00E1687C">
      <w:pP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1687C" w:rsidRPr="00612A47" w:rsidSect="00DF4A40">
      <w:headerReference w:type="default" r:id="rId6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EA" w:rsidRDefault="00C703EA">
      <w:pPr>
        <w:spacing w:line="240" w:lineRule="auto"/>
      </w:pPr>
      <w:r>
        <w:separator/>
      </w:r>
    </w:p>
  </w:endnote>
  <w:endnote w:type="continuationSeparator" w:id="0">
    <w:p w:rsidR="00C703EA" w:rsidRDefault="00C70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EA" w:rsidRDefault="00C703EA">
      <w:pPr>
        <w:spacing w:line="240" w:lineRule="auto"/>
      </w:pPr>
      <w:r>
        <w:separator/>
      </w:r>
    </w:p>
  </w:footnote>
  <w:footnote w:type="continuationSeparator" w:id="0">
    <w:p w:rsidR="00C703EA" w:rsidRDefault="00C70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90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DD6" w:rsidRPr="00404DD6" w:rsidRDefault="00404D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D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185" w:rsidRPr="00A43185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404D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DD6" w:rsidRDefault="00404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F"/>
    <w:rsid w:val="0024433C"/>
    <w:rsid w:val="002A0A1A"/>
    <w:rsid w:val="002A298F"/>
    <w:rsid w:val="00334293"/>
    <w:rsid w:val="00404DD6"/>
    <w:rsid w:val="00456643"/>
    <w:rsid w:val="00474FB9"/>
    <w:rsid w:val="00522DE3"/>
    <w:rsid w:val="005D78E6"/>
    <w:rsid w:val="005F431F"/>
    <w:rsid w:val="00612A47"/>
    <w:rsid w:val="006A4641"/>
    <w:rsid w:val="00701E63"/>
    <w:rsid w:val="00931AF4"/>
    <w:rsid w:val="009336F5"/>
    <w:rsid w:val="00A177B7"/>
    <w:rsid w:val="00A43185"/>
    <w:rsid w:val="00A56011"/>
    <w:rsid w:val="00A61724"/>
    <w:rsid w:val="00A66AE8"/>
    <w:rsid w:val="00BC2ACC"/>
    <w:rsid w:val="00BD44DF"/>
    <w:rsid w:val="00BF142A"/>
    <w:rsid w:val="00C703EA"/>
    <w:rsid w:val="00CA1C27"/>
    <w:rsid w:val="00D43F31"/>
    <w:rsid w:val="00D522E9"/>
    <w:rsid w:val="00DF4A40"/>
    <w:rsid w:val="00E1687C"/>
    <w:rsid w:val="00E632F2"/>
    <w:rsid w:val="00EB2EFA"/>
    <w:rsid w:val="00F3793F"/>
    <w:rsid w:val="00F37F81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72CEF-4EEE-4DC8-8E0D-F0B6B2B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header"/>
    <w:basedOn w:val="a"/>
    <w:link w:val="a7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2DE3"/>
  </w:style>
  <w:style w:type="paragraph" w:styleId="a8">
    <w:name w:val="footer"/>
    <w:basedOn w:val="a"/>
    <w:link w:val="a9"/>
    <w:uiPriority w:val="99"/>
    <w:unhideWhenUsed/>
    <w:rsid w:val="00522D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2DE3"/>
  </w:style>
  <w:style w:type="paragraph" w:styleId="aa">
    <w:name w:val="List Paragraph"/>
    <w:basedOn w:val="a"/>
    <w:uiPriority w:val="34"/>
    <w:qFormat/>
    <w:rsid w:val="00BD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4342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Філоненко Роман Степанович</dc:creator>
  <cp:lastModifiedBy>Філоненко Роман Степанович</cp:lastModifiedBy>
  <cp:revision>9</cp:revision>
  <cp:lastPrinted>2021-11-29T09:47:00Z</cp:lastPrinted>
  <dcterms:created xsi:type="dcterms:W3CDTF">2021-11-30T09:49:00Z</dcterms:created>
  <dcterms:modified xsi:type="dcterms:W3CDTF">2021-12-03T14:43:00Z</dcterms:modified>
</cp:coreProperties>
</file>