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3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522DE3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F3793F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від  «___» ______ 20 __ р. № _____</w:t>
      </w:r>
    </w:p>
    <w:p w:rsidR="00D522E9" w:rsidRPr="00E1687C" w:rsidRDefault="00D522E9" w:rsidP="00BC2A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</w:t>
      </w: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маркування </w:t>
      </w:r>
      <w:r w:rsidR="007D14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біорозкладних 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пластикових пакетів</w:t>
      </w: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793F" w:rsidRDefault="009336F5" w:rsidP="005D78E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Цей Порядок визначає вимоги до маркування</w:t>
      </w:r>
      <w:r w:rsidR="007D14BE" w:rsidRPr="007D1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14BE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</w:t>
      </w:r>
      <w:r w:rsidR="007D14B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пластикових пакетів для їх обігу в Україні.</w:t>
      </w:r>
    </w:p>
    <w:p w:rsidR="00BD44DF" w:rsidRDefault="00BD44DF" w:rsidP="003914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Маркуванню підлягають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:rsidR="003914F4" w:rsidRPr="00E1687C" w:rsidRDefault="003914F4" w:rsidP="003914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2. Для цілей цього Порядку терміни вживаються в такому значенні</w:t>
      </w:r>
      <w:r w:rsidRPr="00E1687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партія -</w:t>
      </w:r>
      <w:r w:rsidRPr="00E168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будь-яка кількість біорозкладних пластикових пакетів з однаковими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фізичними та хімічними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характеристиками (склад, форма, розмір, товщина стінок), що супроводжується одним товаросупровідним документом; 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типовий представник асортиментного ряду - представник сукупності біорозкладних пластикових пакетів з однаковими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фізичними та хімічними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характеристиками.</w:t>
      </w: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терміни вживаються у значенн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наведен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 в 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аконах України 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обмеження обігу пластикових пакетів на території України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технічні регламенти та оцінку відповідності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«Про загальну безпечність нехарчової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державний ринковий нагляд і контроль нехарч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біг пластикових пакетів як біорозкладних пластикових пакетів дозволяється за умови їх відповідності нормам 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щодо утилізації способом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компостування або біорозкладання, визначеним ДСТУ EN 13432:2015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Упаковка. Вимоги до упаковки, утилізованої способом компостування і біодеградації. Тестові схеми та критерії оцінювання для остаточного прийняття упаковки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(EN 13432:2000, IDT) або ДСТУ EN 14995:2018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Пластмаси. Оцінювання здатності до біохімічного розпаду. Порядок випробування та технічні умови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(EN 14995:2006, IDT)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3429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відповідним гармонізованим </w:t>
      </w:r>
      <w:r w:rsidR="0033429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європейським стандарт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33429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встановлені норми щодо утилізації способом компостування або біорозкладання). </w:t>
      </w:r>
    </w:p>
    <w:p w:rsidR="00F3793F" w:rsidRPr="00E1687C" w:rsidRDefault="009336F5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Обов’язки виробників</w:t>
      </w:r>
    </w:p>
    <w:p w:rsidR="00522DE3" w:rsidRPr="00E1687C" w:rsidRDefault="00522DE3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 Виробники під час введення біорозкладних пластикових пакетів в обіг забезпечують їх відповідність встановленим нормам щодо утилізації способом компостування або біорозкладання.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Виробники складають технічну документацію, яка повинна містити  інформацію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фізичні та хімічні характеристики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біорозкладних пластикових пакетів та результати випробувань типового представника асортиментного ряду біорозкладних пластикових пакетів на відповідність встановленим нормам щодо утилізації способом компостування або біорозкладання.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Якщо відповідність пластикових пакетів встановленим нормам щодо 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утилізації способом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компостування або біорозкладання була доведена шляхом випробування типового представника асортиментного ряду біорозкладних пластикових пакетів, виробники наносять на кожний пластиковий пакет, що належить до такого асортиментного ряду, напис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біопакет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біорозкладний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повинен бути розбірливим, видимим і незмивним.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Виробники забезпечують підтримання відповідності біорозкладних пластикових пакетів, що </w:t>
      </w:r>
      <w:r w:rsidR="007A10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ними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виготовляються, встановленим нормам щодо утилізації способом компостування або біорозкладання. При цьому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повинні враховуватись зміни у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фізичних та/або хімічних характеристиках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біорозкладних пластикових пакетів та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/або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технології виробництва.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Виробники зберігають технічну документацію, зазначену в пункті </w:t>
      </w:r>
      <w:r w:rsidR="000B6F1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Порядку, протягом 10 років після введення останньої партії біорозкладн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пластиков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пакет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обіг.</w:t>
      </w:r>
    </w:p>
    <w:p w:rsidR="003914F4" w:rsidRPr="00E1687C" w:rsidRDefault="003914F4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14F4" w:rsidRDefault="00A56011" w:rsidP="003914F4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36F5" w:rsidRPr="00E1687C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На запит</w:t>
      </w:r>
      <w:r w:rsidR="009336F5" w:rsidRPr="00E168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державного ринкового нагляду виробники надають йому інформацію та документацію (у паперовій або електронній формі), необхідну для демонстрування відповідності біорозкладних пластикових пакетів встановленим нормам щодо утилізації способом компостування або біорозкладання.</w:t>
      </w:r>
    </w:p>
    <w:p w:rsidR="00F3793F" w:rsidRPr="00E1687C" w:rsidRDefault="009336F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Обов’язки імпортерів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5601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Імпортери вводять в обіг біорозкладні пластикові пакети, що відповідають встановленим нормам щодо утилізації способом компостування або біорозкладання та на які нанесено маркування, зазначене у пункті </w:t>
      </w:r>
      <w:r w:rsidR="00DF4A40" w:rsidRPr="003914F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Перед введенням біорозкладних пластикових пакетів в обіг імпортери пересвідчуються в тому, що виробник склав технічну документацію та на ці біорозкладні пластикові пакети нанесено маркування, зазначене у пункті </w:t>
      </w:r>
      <w:r w:rsidR="00DF4A40" w:rsidRPr="003914F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67FB" w:rsidRDefault="009336F5" w:rsidP="003A083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67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0832" w:rsidRPr="003A0832">
        <w:rPr>
          <w:rFonts w:ascii="Times New Roman" w:eastAsia="Times New Roman" w:hAnsi="Times New Roman" w:cs="Times New Roman"/>
          <w:sz w:val="28"/>
          <w:szCs w:val="28"/>
          <w:lang w:val="uk-UA"/>
        </w:rPr>
        <w:t>мпортери протягом 10 років після введення партії</w:t>
      </w:r>
      <w:r w:rsidR="003A08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0832" w:rsidRPr="003A0832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біорозкладних пластикових пакетів в обіг повинні забезпечити можливість</w:t>
      </w:r>
      <w:r w:rsidR="003A08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0832" w:rsidRPr="003A08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доступу </w:t>
      </w:r>
      <w:r w:rsidR="00E067FB"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державного ринкового нагляду</w:t>
      </w:r>
      <w:r w:rsidR="00E06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0832" w:rsidRPr="003A083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A08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0832" w:rsidRPr="003A083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</w:t>
      </w:r>
      <w:r w:rsidR="00E06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67FB"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на його запит.</w:t>
      </w:r>
    </w:p>
    <w:p w:rsidR="00BD44DF" w:rsidRDefault="00BD44DF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Обов’язки розповсюджувачів</w:t>
      </w:r>
    </w:p>
    <w:p w:rsidR="00522DE3" w:rsidRPr="00E1687C" w:rsidRDefault="00522DE3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наданням біорозкладних пластикових пакетів на ринку розповсюджувачі перевіряють, що на такі пластикові пакети нанесено  </w:t>
      </w:r>
      <w:r w:rsidR="00DF4A40">
        <w:rPr>
          <w:rFonts w:ascii="Times New Roman" w:eastAsia="Times New Roman" w:hAnsi="Times New Roman" w:cs="Times New Roman"/>
          <w:sz w:val="28"/>
          <w:szCs w:val="28"/>
          <w:lang w:val="uk-UA"/>
        </w:rPr>
        <w:t>маркування, зазначене у пункті 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Якщо розповсюджувач вважає або має підстави вважати, що біорозкладні пластикові пакети не відповідають нормам щодо утилізації способом компостування або біорозкладання та/або на пакети не нанесено маркування, зазначене в пункті </w:t>
      </w:r>
      <w:r w:rsidR="00DF4A40" w:rsidRPr="003914F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Порядку, він не надає такі пластикові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пакети на ринку і повідомляє про це виробнику або імпортеру, а також органу державного ринкового нагляду.</w:t>
      </w:r>
    </w:p>
    <w:p w:rsidR="00A56011" w:rsidRDefault="00A56011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Ідентифікація суб’єктів господарювання</w:t>
      </w:r>
    </w:p>
    <w:p w:rsidR="00522DE3" w:rsidRPr="00E1687C" w:rsidRDefault="00522DE3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 Суб’єкти господарювання надають органу державного ринкового нагляду за його запитами інформацію, що дає змогу ідентифікувати: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 суб’єкта господарювання, який поставив їм біорозкладні пластикові пакети;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 суб’єкта господарювання, якому вони поставили біорозкладні пластикові пакети.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Суб’єкти господарювання надають інформацію, визначену в цьому пункті, протягом 10 років після того, як їм було поставлено біорозкладні пластикові пакети, та протягом 10 років після того, як вони поставили біорозкладні пластикові пакети.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ринковий нагляд і контроль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біорозкладни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пластикови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пакет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Державний ринковий нагляд і контроль за біорозкладними пластиковими пакетами здійснюється відповідно до Закону України </w:t>
      </w:r>
      <w:r w:rsidR="00F37F8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державний ринковий нагляд </w:t>
      </w:r>
      <w:r w:rsidR="00F37F81">
        <w:rPr>
          <w:rFonts w:ascii="Times New Roman" w:eastAsia="Times New Roman" w:hAnsi="Times New Roman" w:cs="Times New Roman"/>
          <w:sz w:val="28"/>
          <w:szCs w:val="28"/>
          <w:lang w:val="uk-UA"/>
        </w:rPr>
        <w:t>і контроль нехарчової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вимог цього Порядку.</w:t>
      </w:r>
    </w:p>
    <w:p w:rsidR="003914F4" w:rsidRPr="00E1687C" w:rsidRDefault="003914F4" w:rsidP="003914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33F5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Заходи щодо усунення формальної невідповідності вживаються </w:t>
      </w:r>
      <w:r w:rsidR="00474FB9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разі, коли орган державного ринкового нагляду встановить будь-яку таку невідповідність: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маркування було нане</w:t>
      </w:r>
      <w:r w:rsidR="00DF4A40">
        <w:rPr>
          <w:rFonts w:ascii="Times New Roman" w:eastAsia="Times New Roman" w:hAnsi="Times New Roman" w:cs="Times New Roman"/>
          <w:sz w:val="28"/>
          <w:szCs w:val="28"/>
          <w:lang w:val="uk-UA"/>
        </w:rPr>
        <w:t>сено з порушенням вимог пункту 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було нанесено маркування, визначеного пунктом </w:t>
      </w:r>
      <w:r w:rsidR="00DF4A40" w:rsidRPr="003914F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державного ринкового нагляду не надано доступу до технічної документації або вона є неповною.</w:t>
      </w:r>
    </w:p>
    <w:p w:rsidR="00E1687C" w:rsidRPr="00612A47" w:rsidRDefault="009336F5" w:rsidP="003914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sectPr w:rsidR="00E1687C" w:rsidRPr="00612A47" w:rsidSect="00DF4A40">
      <w:head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D8" w:rsidRDefault="00502DD8">
      <w:pPr>
        <w:spacing w:line="240" w:lineRule="auto"/>
      </w:pPr>
      <w:r>
        <w:separator/>
      </w:r>
    </w:p>
  </w:endnote>
  <w:endnote w:type="continuationSeparator" w:id="0">
    <w:p w:rsidR="00502DD8" w:rsidRDefault="0050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D8" w:rsidRDefault="00502DD8">
      <w:pPr>
        <w:spacing w:line="240" w:lineRule="auto"/>
      </w:pPr>
      <w:r>
        <w:separator/>
      </w:r>
    </w:p>
  </w:footnote>
  <w:footnote w:type="continuationSeparator" w:id="0">
    <w:p w:rsidR="00502DD8" w:rsidRDefault="00502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90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DD6" w:rsidRPr="00404DD6" w:rsidRDefault="00404D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D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4F4" w:rsidRPr="003914F4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404D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DD6" w:rsidRDefault="00404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F"/>
    <w:rsid w:val="000B6F16"/>
    <w:rsid w:val="00133F55"/>
    <w:rsid w:val="0024433C"/>
    <w:rsid w:val="002A0A1A"/>
    <w:rsid w:val="002A298F"/>
    <w:rsid w:val="00334293"/>
    <w:rsid w:val="003914F4"/>
    <w:rsid w:val="003A0832"/>
    <w:rsid w:val="00404DD6"/>
    <w:rsid w:val="00456643"/>
    <w:rsid w:val="00474FB9"/>
    <w:rsid w:val="004D4A17"/>
    <w:rsid w:val="00502DD8"/>
    <w:rsid w:val="00522DE3"/>
    <w:rsid w:val="00570283"/>
    <w:rsid w:val="005D78E6"/>
    <w:rsid w:val="005F431F"/>
    <w:rsid w:val="00612A47"/>
    <w:rsid w:val="006A4641"/>
    <w:rsid w:val="00701E63"/>
    <w:rsid w:val="007A1035"/>
    <w:rsid w:val="007D14BE"/>
    <w:rsid w:val="00931AF4"/>
    <w:rsid w:val="009336F5"/>
    <w:rsid w:val="00A177B7"/>
    <w:rsid w:val="00A42643"/>
    <w:rsid w:val="00A43185"/>
    <w:rsid w:val="00A56011"/>
    <w:rsid w:val="00A61724"/>
    <w:rsid w:val="00A66AE8"/>
    <w:rsid w:val="00A86516"/>
    <w:rsid w:val="00B877A4"/>
    <w:rsid w:val="00BC2ACC"/>
    <w:rsid w:val="00BD44DF"/>
    <w:rsid w:val="00BF142A"/>
    <w:rsid w:val="00C703EA"/>
    <w:rsid w:val="00CA1C27"/>
    <w:rsid w:val="00D43F31"/>
    <w:rsid w:val="00D522E9"/>
    <w:rsid w:val="00DF4A40"/>
    <w:rsid w:val="00E067FB"/>
    <w:rsid w:val="00E1687C"/>
    <w:rsid w:val="00E632F2"/>
    <w:rsid w:val="00EB2EFA"/>
    <w:rsid w:val="00F3793F"/>
    <w:rsid w:val="00F37F81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header"/>
    <w:basedOn w:val="a"/>
    <w:link w:val="a7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DE3"/>
  </w:style>
  <w:style w:type="paragraph" w:styleId="a8">
    <w:name w:val="footer"/>
    <w:basedOn w:val="a"/>
    <w:link w:val="a9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DE3"/>
  </w:style>
  <w:style w:type="paragraph" w:styleId="aa">
    <w:name w:val="List Paragraph"/>
    <w:basedOn w:val="a"/>
    <w:uiPriority w:val="34"/>
    <w:qFormat/>
    <w:rsid w:val="00BD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header"/>
    <w:basedOn w:val="a"/>
    <w:link w:val="a7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DE3"/>
  </w:style>
  <w:style w:type="paragraph" w:styleId="a8">
    <w:name w:val="footer"/>
    <w:basedOn w:val="a"/>
    <w:link w:val="a9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DE3"/>
  </w:style>
  <w:style w:type="paragraph" w:styleId="aa">
    <w:name w:val="List Paragraph"/>
    <w:basedOn w:val="a"/>
    <w:uiPriority w:val="34"/>
    <w:qFormat/>
    <w:rsid w:val="00BD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3864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2</cp:revision>
  <cp:lastPrinted>2021-11-29T09:47:00Z</cp:lastPrinted>
  <dcterms:created xsi:type="dcterms:W3CDTF">2023-04-20T13:10:00Z</dcterms:created>
  <dcterms:modified xsi:type="dcterms:W3CDTF">2023-04-20T13:10:00Z</dcterms:modified>
</cp:coreProperties>
</file>