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5D" w:rsidRPr="00D5260B" w:rsidRDefault="003011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78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30115D" w:rsidRPr="00D5260B">
        <w:tc>
          <w:tcPr>
            <w:tcW w:w="4536" w:type="dxa"/>
          </w:tcPr>
          <w:p w:rsidR="0030115D" w:rsidRPr="00D5260B" w:rsidRDefault="0030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5"/>
              <w:jc w:val="center"/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ЗАТВЕРДЖЕНО</w:t>
            </w:r>
          </w:p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5"/>
              <w:jc w:val="center"/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 xml:space="preserve">постановою Кабінету Міністрів України </w:t>
            </w:r>
            <w:r w:rsidRPr="00D5260B">
              <w:rPr>
                <w:color w:val="000000"/>
                <w:sz w:val="28"/>
                <w:szCs w:val="28"/>
              </w:rPr>
              <w:br/>
              <w:t>від  «___» ______ 20 __ р. № _____</w:t>
            </w:r>
          </w:p>
          <w:p w:rsidR="0030115D" w:rsidRPr="00D5260B" w:rsidRDefault="00301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5" w:right="4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0115D" w:rsidRPr="00D5260B" w:rsidRDefault="0030115D">
            <w:pPr>
              <w:ind w:left="-185"/>
              <w:rPr>
                <w:sz w:val="28"/>
                <w:szCs w:val="28"/>
              </w:rPr>
            </w:pPr>
          </w:p>
        </w:tc>
      </w:tr>
    </w:tbl>
    <w:p w:rsidR="0030115D" w:rsidRPr="00D5260B" w:rsidRDefault="0030115D">
      <w:pPr>
        <w:jc w:val="center"/>
        <w:rPr>
          <w:sz w:val="28"/>
          <w:szCs w:val="28"/>
        </w:rPr>
      </w:pPr>
    </w:p>
    <w:p w:rsidR="0030115D" w:rsidRPr="00D5260B" w:rsidRDefault="003B7F76">
      <w:pPr>
        <w:jc w:val="center"/>
        <w:rPr>
          <w:b/>
          <w:sz w:val="28"/>
          <w:szCs w:val="28"/>
        </w:rPr>
      </w:pPr>
      <w:r w:rsidRPr="00D5260B">
        <w:rPr>
          <w:b/>
          <w:sz w:val="28"/>
          <w:szCs w:val="28"/>
        </w:rPr>
        <w:t>ТЕХНІЧНИЙ РЕГЛАМЕНТ</w:t>
      </w:r>
    </w:p>
    <w:p w:rsidR="0030115D" w:rsidRPr="00D5260B" w:rsidRDefault="003B7F76">
      <w:pPr>
        <w:jc w:val="center"/>
        <w:rPr>
          <w:b/>
          <w:sz w:val="28"/>
          <w:szCs w:val="28"/>
        </w:rPr>
      </w:pPr>
      <w:r w:rsidRPr="00D5260B">
        <w:rPr>
          <w:b/>
          <w:sz w:val="28"/>
          <w:szCs w:val="28"/>
        </w:rPr>
        <w:t>щодо обмеження вмісту свинцю у лакофарбових матеріалах</w:t>
      </w:r>
    </w:p>
    <w:p w:rsidR="0030115D" w:rsidRPr="00D5260B" w:rsidRDefault="0030115D">
      <w:pPr>
        <w:jc w:val="center"/>
        <w:rPr>
          <w:sz w:val="28"/>
          <w:szCs w:val="28"/>
        </w:rPr>
      </w:pPr>
    </w:p>
    <w:p w:rsidR="0030115D" w:rsidRDefault="003B7F76" w:rsidP="0071162A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Цей Технічний регламент визначає вимоги до всіх типів лакофарбових матеріалів</w:t>
      </w:r>
      <w:r w:rsidR="00D10165">
        <w:rPr>
          <w:sz w:val="28"/>
          <w:szCs w:val="28"/>
        </w:rPr>
        <w:t xml:space="preserve"> </w:t>
      </w:r>
      <w:r w:rsidRPr="00D5260B">
        <w:rPr>
          <w:sz w:val="28"/>
          <w:szCs w:val="28"/>
        </w:rPr>
        <w:t xml:space="preserve">незалежно від їх призначення та застосування, а також </w:t>
      </w:r>
      <w:proofErr w:type="spellStart"/>
      <w:r w:rsidRPr="00D5260B">
        <w:rPr>
          <w:sz w:val="28"/>
          <w:szCs w:val="28"/>
        </w:rPr>
        <w:t>сировин</w:t>
      </w:r>
      <w:proofErr w:type="spellEnd"/>
      <w:r w:rsidRPr="00D5260B">
        <w:rPr>
          <w:sz w:val="28"/>
          <w:szCs w:val="28"/>
        </w:rPr>
        <w:t xml:space="preserve"> </w:t>
      </w:r>
      <w:r w:rsidR="00B84F28">
        <w:rPr>
          <w:sz w:val="28"/>
          <w:szCs w:val="28"/>
        </w:rPr>
        <w:t>(</w:t>
      </w:r>
      <w:r w:rsidR="00277E28" w:rsidRPr="00087C47">
        <w:rPr>
          <w:sz w:val="28"/>
          <w:szCs w:val="28"/>
        </w:rPr>
        <w:t>сировинн</w:t>
      </w:r>
      <w:r w:rsidR="00B84F28">
        <w:rPr>
          <w:sz w:val="28"/>
          <w:szCs w:val="28"/>
        </w:rPr>
        <w:t>их</w:t>
      </w:r>
      <w:r w:rsidR="00277E28" w:rsidRPr="00087C47">
        <w:rPr>
          <w:sz w:val="28"/>
          <w:szCs w:val="28"/>
        </w:rPr>
        <w:t xml:space="preserve"> компонент</w:t>
      </w:r>
      <w:r w:rsidR="00B84F28">
        <w:rPr>
          <w:sz w:val="28"/>
          <w:szCs w:val="28"/>
        </w:rPr>
        <w:t>ів,</w:t>
      </w:r>
      <w:r w:rsidR="00277E28" w:rsidRPr="00087C47">
        <w:rPr>
          <w:sz w:val="28"/>
          <w:szCs w:val="28"/>
        </w:rPr>
        <w:t xml:space="preserve"> пігмент</w:t>
      </w:r>
      <w:r w:rsidR="00B84F28">
        <w:rPr>
          <w:sz w:val="28"/>
          <w:szCs w:val="28"/>
        </w:rPr>
        <w:t>ів</w:t>
      </w:r>
      <w:r w:rsidR="00277E28" w:rsidRPr="00087C47">
        <w:rPr>
          <w:sz w:val="28"/>
          <w:szCs w:val="28"/>
        </w:rPr>
        <w:t>, пігментн</w:t>
      </w:r>
      <w:r w:rsidR="00B84F28">
        <w:rPr>
          <w:sz w:val="28"/>
          <w:szCs w:val="28"/>
        </w:rPr>
        <w:t>их</w:t>
      </w:r>
      <w:r w:rsidR="00277E28" w:rsidRPr="00087C47">
        <w:rPr>
          <w:sz w:val="28"/>
          <w:szCs w:val="28"/>
        </w:rPr>
        <w:t xml:space="preserve"> концентрат</w:t>
      </w:r>
      <w:r w:rsidR="00B84F28">
        <w:rPr>
          <w:sz w:val="28"/>
          <w:szCs w:val="28"/>
        </w:rPr>
        <w:t>ів</w:t>
      </w:r>
      <w:r w:rsidR="00277E28" w:rsidRPr="00087C47">
        <w:rPr>
          <w:sz w:val="28"/>
          <w:szCs w:val="28"/>
        </w:rPr>
        <w:t xml:space="preserve"> на їх основі та допоміжн</w:t>
      </w:r>
      <w:r w:rsidR="00B84F28">
        <w:rPr>
          <w:sz w:val="28"/>
          <w:szCs w:val="28"/>
        </w:rPr>
        <w:t>их</w:t>
      </w:r>
      <w:r w:rsidR="00277E28" w:rsidRPr="00087C47">
        <w:rPr>
          <w:sz w:val="28"/>
          <w:szCs w:val="28"/>
        </w:rPr>
        <w:t xml:space="preserve"> речовин)</w:t>
      </w:r>
      <w:r w:rsidR="00277E28">
        <w:rPr>
          <w:sz w:val="28"/>
          <w:szCs w:val="28"/>
        </w:rPr>
        <w:t xml:space="preserve"> (далі - сировини) </w:t>
      </w:r>
      <w:r w:rsidRPr="00D5260B">
        <w:rPr>
          <w:sz w:val="28"/>
          <w:szCs w:val="28"/>
        </w:rPr>
        <w:t>для їх виробництва, стосовно загального вмісту сполук свинцю, які входять до їх складу.</w:t>
      </w:r>
      <w:r w:rsidR="00D10165">
        <w:rPr>
          <w:sz w:val="28"/>
          <w:szCs w:val="28"/>
        </w:rPr>
        <w:t xml:space="preserve"> Л</w:t>
      </w:r>
      <w:r w:rsidRPr="00D10165">
        <w:rPr>
          <w:sz w:val="28"/>
          <w:szCs w:val="28"/>
        </w:rPr>
        <w:t>акофарбові матеріали</w:t>
      </w:r>
      <w:r w:rsidR="00B84F28">
        <w:rPr>
          <w:sz w:val="28"/>
          <w:szCs w:val="28"/>
        </w:rPr>
        <w:br/>
      </w:r>
      <w:r w:rsidR="00D10165" w:rsidRPr="00D5260B">
        <w:rPr>
          <w:sz w:val="28"/>
          <w:szCs w:val="28"/>
        </w:rPr>
        <w:t>(далі – ЛФМ</w:t>
      </w:r>
      <w:r w:rsidR="00D10165">
        <w:rPr>
          <w:sz w:val="28"/>
          <w:szCs w:val="28"/>
        </w:rPr>
        <w:t>)</w:t>
      </w:r>
      <w:r w:rsidR="00D10165" w:rsidRPr="00D5260B">
        <w:rPr>
          <w:sz w:val="28"/>
          <w:szCs w:val="28"/>
        </w:rPr>
        <w:t xml:space="preserve"> </w:t>
      </w:r>
      <w:r w:rsidRPr="00D10165">
        <w:rPr>
          <w:sz w:val="28"/>
          <w:szCs w:val="28"/>
        </w:rPr>
        <w:t>можуть застосовуватись у промисловості, будівництві чи в інших сферах, використовуватись споживачами з метою надання декоративних, функціональних і захисних властивостей, навчання та живопису</w:t>
      </w:r>
      <w:r w:rsidR="00277E28">
        <w:rPr>
          <w:sz w:val="28"/>
          <w:szCs w:val="28"/>
        </w:rPr>
        <w:t>.</w:t>
      </w:r>
    </w:p>
    <w:p w:rsidR="00B84F28" w:rsidRDefault="00B84F28" w:rsidP="00B84F28">
      <w:pPr>
        <w:tabs>
          <w:tab w:val="left" w:pos="1134"/>
        </w:tabs>
        <w:ind w:left="708"/>
        <w:jc w:val="both"/>
        <w:rPr>
          <w:sz w:val="28"/>
          <w:szCs w:val="28"/>
        </w:rPr>
      </w:pPr>
    </w:p>
    <w:p w:rsidR="00B84F28" w:rsidRPr="00087C47" w:rsidRDefault="00B84F28" w:rsidP="0071162A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Свинець-</w:t>
      </w:r>
      <w:proofErr w:type="spellStart"/>
      <w:r>
        <w:rPr>
          <w:sz w:val="28"/>
          <w:szCs w:val="28"/>
        </w:rPr>
        <w:t>вмісні</w:t>
      </w:r>
      <w:proofErr w:type="spellEnd"/>
      <w:r>
        <w:rPr>
          <w:sz w:val="28"/>
          <w:szCs w:val="28"/>
        </w:rPr>
        <w:t xml:space="preserve"> ЛФМ поділяються на:</w:t>
      </w:r>
    </w:p>
    <w:tbl>
      <w:tblPr>
        <w:tblStyle w:val="a6"/>
        <w:tblW w:w="1082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42"/>
        <w:gridCol w:w="7983"/>
      </w:tblGrid>
      <w:tr w:rsidR="0030115D" w:rsidRPr="00D5260B" w:rsidTr="00B84F28">
        <w:tc>
          <w:tcPr>
            <w:tcW w:w="2842" w:type="dxa"/>
          </w:tcPr>
          <w:p w:rsidR="0030115D" w:rsidRPr="00742052" w:rsidRDefault="003B7F76" w:rsidP="00B84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5"/>
              <w:rPr>
                <w:color w:val="000000"/>
                <w:sz w:val="28"/>
                <w:szCs w:val="28"/>
              </w:rPr>
            </w:pPr>
            <w:r w:rsidRPr="00F1423A">
              <w:rPr>
                <w:b/>
                <w:color w:val="000000"/>
                <w:sz w:val="28"/>
                <w:szCs w:val="28"/>
              </w:rPr>
              <w:t>CAS</w:t>
            </w:r>
            <w:r w:rsidR="00F1423A" w:rsidRPr="00F1423A">
              <w:rPr>
                <w:b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7983" w:type="dxa"/>
          </w:tcPr>
          <w:p w:rsidR="0030115D" w:rsidRPr="00F1423A" w:rsidRDefault="003B7F76" w:rsidP="00F1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F1423A">
              <w:rPr>
                <w:b/>
                <w:color w:val="000000"/>
                <w:sz w:val="28"/>
                <w:szCs w:val="28"/>
              </w:rPr>
              <w:t>Найменування</w:t>
            </w:r>
          </w:p>
        </w:tc>
      </w:tr>
      <w:tr w:rsidR="0030115D" w:rsidRPr="00D5260B" w:rsidTr="00B84F28">
        <w:tc>
          <w:tcPr>
            <w:tcW w:w="2842" w:type="dxa"/>
          </w:tcPr>
          <w:p w:rsidR="0030115D" w:rsidRPr="00D5260B" w:rsidRDefault="003B7F76" w:rsidP="00F1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5"/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7758-97-6</w:t>
            </w:r>
          </w:p>
        </w:tc>
        <w:tc>
          <w:tcPr>
            <w:tcW w:w="798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хромат свинцю; крон жовтий</w:t>
            </w:r>
          </w:p>
        </w:tc>
      </w:tr>
      <w:tr w:rsidR="0030115D" w:rsidRPr="00D5260B" w:rsidTr="00B84F28">
        <w:tc>
          <w:tcPr>
            <w:tcW w:w="2842" w:type="dxa"/>
          </w:tcPr>
          <w:p w:rsidR="0030115D" w:rsidRPr="00D5260B" w:rsidRDefault="003B7F76" w:rsidP="00F1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5"/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1344-37-2</w:t>
            </w:r>
          </w:p>
        </w:tc>
        <w:tc>
          <w:tcPr>
            <w:tcW w:w="798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хромат-сульфат свинцю; крон лимонний</w:t>
            </w:r>
          </w:p>
        </w:tc>
      </w:tr>
      <w:tr w:rsidR="0030115D" w:rsidRPr="00D5260B" w:rsidTr="00B84F28">
        <w:tc>
          <w:tcPr>
            <w:tcW w:w="2842" w:type="dxa"/>
          </w:tcPr>
          <w:p w:rsidR="0030115D" w:rsidRPr="00D5260B" w:rsidRDefault="003B7F76" w:rsidP="00F1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5"/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12656-85-8</w:t>
            </w:r>
          </w:p>
        </w:tc>
        <w:tc>
          <w:tcPr>
            <w:tcW w:w="798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хромат-</w:t>
            </w:r>
            <w:proofErr w:type="spellStart"/>
            <w:r w:rsidRPr="00D5260B">
              <w:rPr>
                <w:color w:val="000000"/>
                <w:sz w:val="28"/>
                <w:szCs w:val="28"/>
              </w:rPr>
              <w:t>молібдат</w:t>
            </w:r>
            <w:proofErr w:type="spellEnd"/>
            <w:r w:rsidRPr="00D5260B">
              <w:rPr>
                <w:color w:val="000000"/>
                <w:sz w:val="28"/>
                <w:szCs w:val="28"/>
              </w:rPr>
              <w:t xml:space="preserve"> свинцю; крон оранжевий</w:t>
            </w:r>
          </w:p>
        </w:tc>
      </w:tr>
      <w:tr w:rsidR="0030115D" w:rsidRPr="00D5260B" w:rsidTr="00B84F28">
        <w:tc>
          <w:tcPr>
            <w:tcW w:w="2842" w:type="dxa"/>
          </w:tcPr>
          <w:p w:rsidR="0030115D" w:rsidRPr="00D5260B" w:rsidRDefault="003B7F76" w:rsidP="00F1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5"/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18454-12-1</w:t>
            </w:r>
          </w:p>
        </w:tc>
        <w:tc>
          <w:tcPr>
            <w:tcW w:w="798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хромат-оксид свинцю; крон червоний</w:t>
            </w:r>
          </w:p>
        </w:tc>
      </w:tr>
      <w:tr w:rsidR="0030115D" w:rsidRPr="00D5260B" w:rsidTr="00B84F28">
        <w:tc>
          <w:tcPr>
            <w:tcW w:w="2842" w:type="dxa"/>
          </w:tcPr>
          <w:p w:rsidR="0030115D" w:rsidRPr="00D5260B" w:rsidRDefault="003B7F76" w:rsidP="00F1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5"/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1314-41-6</w:t>
            </w:r>
          </w:p>
        </w:tc>
        <w:tc>
          <w:tcPr>
            <w:tcW w:w="798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D5260B">
              <w:rPr>
                <w:color w:val="000000"/>
                <w:sz w:val="28"/>
                <w:szCs w:val="28"/>
              </w:rPr>
              <w:t>ортоплюмбат</w:t>
            </w:r>
            <w:proofErr w:type="spellEnd"/>
            <w:r w:rsidRPr="00D5260B">
              <w:rPr>
                <w:color w:val="000000"/>
                <w:sz w:val="28"/>
                <w:szCs w:val="28"/>
              </w:rPr>
              <w:t xml:space="preserve"> свинцю; свинцевий сурик (червоний та оранжевий)</w:t>
            </w:r>
          </w:p>
        </w:tc>
      </w:tr>
      <w:tr w:rsidR="0030115D" w:rsidRPr="00D5260B" w:rsidTr="00B84F28">
        <w:tc>
          <w:tcPr>
            <w:tcW w:w="2842" w:type="dxa"/>
          </w:tcPr>
          <w:p w:rsidR="0030115D" w:rsidRPr="00D5260B" w:rsidRDefault="003B7F76" w:rsidP="00F1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5"/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301-08-6</w:t>
            </w:r>
          </w:p>
        </w:tc>
        <w:tc>
          <w:tcPr>
            <w:tcW w:w="798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D5260B">
              <w:rPr>
                <w:color w:val="000000"/>
                <w:sz w:val="28"/>
                <w:szCs w:val="28"/>
              </w:rPr>
              <w:t>октоат</w:t>
            </w:r>
            <w:proofErr w:type="spellEnd"/>
            <w:r w:rsidRPr="00D5260B">
              <w:rPr>
                <w:color w:val="000000"/>
                <w:sz w:val="28"/>
                <w:szCs w:val="28"/>
              </w:rPr>
              <w:t xml:space="preserve"> (2-етилгексаноат) свинцю; сикатив свинцевий</w:t>
            </w:r>
          </w:p>
        </w:tc>
      </w:tr>
      <w:tr w:rsidR="0030115D" w:rsidRPr="00D5260B" w:rsidTr="00B84F28">
        <w:tc>
          <w:tcPr>
            <w:tcW w:w="2842" w:type="dxa"/>
          </w:tcPr>
          <w:p w:rsidR="0030115D" w:rsidRPr="00D5260B" w:rsidRDefault="003B7F76" w:rsidP="00F1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5"/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61790-14-5</w:t>
            </w:r>
          </w:p>
        </w:tc>
        <w:tc>
          <w:tcPr>
            <w:tcW w:w="798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D5260B">
              <w:rPr>
                <w:color w:val="000000"/>
                <w:sz w:val="28"/>
                <w:szCs w:val="28"/>
              </w:rPr>
              <w:t>нафтенат</w:t>
            </w:r>
            <w:proofErr w:type="spellEnd"/>
            <w:r w:rsidRPr="00D5260B">
              <w:rPr>
                <w:color w:val="000000"/>
                <w:sz w:val="28"/>
                <w:szCs w:val="28"/>
              </w:rPr>
              <w:t xml:space="preserve"> свинцю; сикатив свинцевий</w:t>
            </w:r>
          </w:p>
        </w:tc>
      </w:tr>
      <w:tr w:rsidR="0030115D" w:rsidRPr="00D5260B" w:rsidTr="00B84F28">
        <w:tc>
          <w:tcPr>
            <w:tcW w:w="2842" w:type="dxa"/>
          </w:tcPr>
          <w:p w:rsidR="0030115D" w:rsidRPr="00D5260B" w:rsidRDefault="003B7F76" w:rsidP="00F14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5"/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1120-46-3</w:t>
            </w:r>
          </w:p>
        </w:tc>
        <w:tc>
          <w:tcPr>
            <w:tcW w:w="798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олеат свинцю; сикатив свинцевий</w:t>
            </w:r>
          </w:p>
        </w:tc>
      </w:tr>
    </w:tbl>
    <w:p w:rsidR="0030115D" w:rsidRPr="006360C5" w:rsidRDefault="003B7F76" w:rsidP="00F1423A">
      <w:pPr>
        <w:spacing w:before="120"/>
        <w:ind w:firstLine="567"/>
        <w:jc w:val="both"/>
        <w:rPr>
          <w:sz w:val="28"/>
          <w:szCs w:val="28"/>
        </w:rPr>
      </w:pPr>
      <w:r w:rsidRPr="006360C5">
        <w:rPr>
          <w:sz w:val="28"/>
          <w:szCs w:val="28"/>
        </w:rPr>
        <w:t xml:space="preserve">Ці </w:t>
      </w:r>
      <w:r w:rsidR="00277E28">
        <w:rPr>
          <w:sz w:val="28"/>
          <w:szCs w:val="28"/>
        </w:rPr>
        <w:t>сировини</w:t>
      </w:r>
      <w:r w:rsidRPr="006360C5">
        <w:rPr>
          <w:sz w:val="28"/>
          <w:szCs w:val="28"/>
        </w:rPr>
        <w:t xml:space="preserve"> </w:t>
      </w:r>
      <w:r w:rsidR="00277E28">
        <w:rPr>
          <w:sz w:val="28"/>
          <w:szCs w:val="28"/>
        </w:rPr>
        <w:t>включаються</w:t>
      </w:r>
      <w:r w:rsidRPr="006360C5">
        <w:rPr>
          <w:sz w:val="28"/>
          <w:szCs w:val="28"/>
        </w:rPr>
        <w:t xml:space="preserve"> до наступних </w:t>
      </w:r>
      <w:proofErr w:type="spellStart"/>
      <w:r w:rsidRPr="006360C5">
        <w:rPr>
          <w:sz w:val="28"/>
          <w:szCs w:val="28"/>
        </w:rPr>
        <w:t>підкатегорій</w:t>
      </w:r>
      <w:proofErr w:type="spellEnd"/>
      <w:r w:rsidRPr="006360C5">
        <w:rPr>
          <w:sz w:val="28"/>
          <w:szCs w:val="28"/>
        </w:rPr>
        <w:t xml:space="preserve"> Української класифікації товарів зовнішньоекономічної діяльності (УКТ</w:t>
      </w:r>
      <w:r w:rsidR="006360C5">
        <w:rPr>
          <w:sz w:val="28"/>
          <w:szCs w:val="28"/>
        </w:rPr>
        <w:t xml:space="preserve"> </w:t>
      </w:r>
      <w:r w:rsidRPr="006360C5">
        <w:rPr>
          <w:sz w:val="28"/>
          <w:szCs w:val="28"/>
        </w:rPr>
        <w:t>ЗЕД):</w:t>
      </w:r>
    </w:p>
    <w:p w:rsidR="0030115D" w:rsidRPr="006360C5" w:rsidRDefault="003B7F76" w:rsidP="00F1423A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6360C5">
        <w:rPr>
          <w:sz w:val="28"/>
          <w:szCs w:val="28"/>
        </w:rPr>
        <w:t>2824 90 00 10</w:t>
      </w:r>
      <w:r w:rsidRPr="006360C5">
        <w:rPr>
          <w:sz w:val="28"/>
          <w:szCs w:val="28"/>
        </w:rPr>
        <w:tab/>
        <w:t>(</w:t>
      </w:r>
      <w:proofErr w:type="spellStart"/>
      <w:r w:rsidRPr="006360C5">
        <w:rPr>
          <w:sz w:val="28"/>
          <w:szCs w:val="28"/>
        </w:rPr>
        <w:t>ортоплюмбат</w:t>
      </w:r>
      <w:proofErr w:type="spellEnd"/>
      <w:r w:rsidRPr="006360C5">
        <w:rPr>
          <w:sz w:val="28"/>
          <w:szCs w:val="28"/>
        </w:rPr>
        <w:t xml:space="preserve"> свинцю, свинцевий сурик);</w:t>
      </w:r>
    </w:p>
    <w:p w:rsidR="0030115D" w:rsidRPr="006360C5" w:rsidRDefault="003B7F76" w:rsidP="00F1423A">
      <w:pPr>
        <w:ind w:firstLine="567"/>
        <w:jc w:val="both"/>
        <w:rPr>
          <w:sz w:val="28"/>
          <w:szCs w:val="28"/>
        </w:rPr>
      </w:pPr>
      <w:bookmarkStart w:id="0" w:name="gjdgxs" w:colFirst="0" w:colLast="0"/>
      <w:bookmarkEnd w:id="0"/>
      <w:r w:rsidRPr="006360C5">
        <w:rPr>
          <w:sz w:val="28"/>
          <w:szCs w:val="28"/>
        </w:rPr>
        <w:t xml:space="preserve">3206 20 00 00 </w:t>
      </w:r>
      <w:r w:rsidRPr="006360C5">
        <w:rPr>
          <w:sz w:val="28"/>
          <w:szCs w:val="28"/>
        </w:rPr>
        <w:tab/>
        <w:t>(хромат свинцю, крон жовтий, хромат-сульфат свинцю, крон лимонний, хромат-</w:t>
      </w:r>
      <w:proofErr w:type="spellStart"/>
      <w:r w:rsidRPr="006360C5">
        <w:rPr>
          <w:sz w:val="28"/>
          <w:szCs w:val="28"/>
        </w:rPr>
        <w:t>молібдат</w:t>
      </w:r>
      <w:proofErr w:type="spellEnd"/>
      <w:r w:rsidRPr="006360C5">
        <w:rPr>
          <w:sz w:val="28"/>
          <w:szCs w:val="28"/>
        </w:rPr>
        <w:t xml:space="preserve"> свинцю, крон оранжевий, хромат-оксид свинцю, крон червоний, інші свинцеві крони);</w:t>
      </w:r>
    </w:p>
    <w:p w:rsidR="0030115D" w:rsidRPr="006360C5" w:rsidRDefault="003B7F76" w:rsidP="00F1423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360C5">
        <w:rPr>
          <w:sz w:val="28"/>
          <w:szCs w:val="28"/>
        </w:rPr>
        <w:t>3211 00 00 90</w:t>
      </w:r>
      <w:r w:rsidRPr="006360C5">
        <w:rPr>
          <w:sz w:val="28"/>
          <w:szCs w:val="28"/>
        </w:rPr>
        <w:tab/>
        <w:t>(</w:t>
      </w:r>
      <w:proofErr w:type="spellStart"/>
      <w:r w:rsidRPr="006360C5">
        <w:rPr>
          <w:sz w:val="28"/>
          <w:szCs w:val="28"/>
        </w:rPr>
        <w:t>октоат</w:t>
      </w:r>
      <w:proofErr w:type="spellEnd"/>
      <w:r w:rsidRPr="006360C5">
        <w:rPr>
          <w:sz w:val="28"/>
          <w:szCs w:val="28"/>
        </w:rPr>
        <w:t xml:space="preserve"> (2-етилгексаноат) свинцю, </w:t>
      </w:r>
      <w:proofErr w:type="spellStart"/>
      <w:r w:rsidRPr="006360C5">
        <w:rPr>
          <w:sz w:val="28"/>
          <w:szCs w:val="28"/>
        </w:rPr>
        <w:t>нафтенат</w:t>
      </w:r>
      <w:proofErr w:type="spellEnd"/>
      <w:r w:rsidRPr="006360C5">
        <w:rPr>
          <w:sz w:val="28"/>
          <w:szCs w:val="28"/>
        </w:rPr>
        <w:t xml:space="preserve"> свинцю, олеат свинцю, інші свинцеві сикативи);</w:t>
      </w:r>
    </w:p>
    <w:p w:rsidR="0030115D" w:rsidRDefault="00F1423A" w:rsidP="00F1423A">
      <w:pPr>
        <w:pStyle w:val="af"/>
        <w:ind w:left="960" w:hanging="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3212 90 00 19 </w:t>
      </w:r>
      <w:r w:rsidR="003B7F76" w:rsidRPr="00F1423A">
        <w:rPr>
          <w:sz w:val="28"/>
          <w:szCs w:val="28"/>
        </w:rPr>
        <w:t>(пігментні пасти й концентрати на основі свинцевих пігментів).</w:t>
      </w:r>
    </w:p>
    <w:p w:rsidR="00B84F28" w:rsidRPr="00F1423A" w:rsidRDefault="00B84F28" w:rsidP="00F1423A">
      <w:pPr>
        <w:pStyle w:val="af"/>
        <w:ind w:left="960" w:hanging="393"/>
        <w:jc w:val="both"/>
        <w:rPr>
          <w:sz w:val="28"/>
          <w:szCs w:val="28"/>
        </w:rPr>
      </w:pPr>
    </w:p>
    <w:p w:rsidR="0030115D" w:rsidRPr="00742052" w:rsidRDefault="003B7F76" w:rsidP="00B84F28">
      <w:pPr>
        <w:pStyle w:val="af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742052">
        <w:rPr>
          <w:sz w:val="28"/>
          <w:szCs w:val="28"/>
        </w:rPr>
        <w:t xml:space="preserve">Цей Технічний регламент </w:t>
      </w:r>
      <w:r w:rsidR="00277E28">
        <w:rPr>
          <w:sz w:val="28"/>
          <w:szCs w:val="28"/>
        </w:rPr>
        <w:t>не застосовується д</w:t>
      </w:r>
      <w:r w:rsidR="00B84F28">
        <w:rPr>
          <w:sz w:val="28"/>
          <w:szCs w:val="28"/>
        </w:rPr>
        <w:t>о</w:t>
      </w:r>
      <w:r w:rsidR="00277E28">
        <w:rPr>
          <w:sz w:val="28"/>
          <w:szCs w:val="28"/>
        </w:rPr>
        <w:t xml:space="preserve"> інших вимог</w:t>
      </w:r>
      <w:r w:rsidRPr="00742052">
        <w:rPr>
          <w:sz w:val="28"/>
          <w:szCs w:val="28"/>
        </w:rPr>
        <w:t xml:space="preserve">, включаючи вимоги щодо маркування, які визначені законодавством для захисту здоров’я споживачів, робітників </w:t>
      </w:r>
      <w:r w:rsidR="00B84F28">
        <w:rPr>
          <w:sz w:val="28"/>
          <w:szCs w:val="28"/>
        </w:rPr>
        <w:t>та їх</w:t>
      </w:r>
      <w:r w:rsidRPr="00742052">
        <w:rPr>
          <w:sz w:val="28"/>
          <w:szCs w:val="28"/>
        </w:rPr>
        <w:t xml:space="preserve"> робочого середовища.</w:t>
      </w:r>
    </w:p>
    <w:p w:rsidR="0030115D" w:rsidRPr="00D5260B" w:rsidRDefault="0030115D" w:rsidP="00D10165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30115D" w:rsidRDefault="003B7F76" w:rsidP="00F1423A">
      <w:pPr>
        <w:pStyle w:val="af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42052">
        <w:rPr>
          <w:sz w:val="28"/>
          <w:szCs w:val="28"/>
        </w:rPr>
        <w:t>У цьому Технічному регламенті наведені нижче терміни вживаються в такому значенні:</w:t>
      </w:r>
    </w:p>
    <w:p w:rsidR="00AA09C8" w:rsidRPr="00AA09C8" w:rsidRDefault="00AA09C8" w:rsidP="00AA09C8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0115D" w:rsidRPr="00D5260B" w:rsidRDefault="003B7F76" w:rsidP="0071162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базисний ЛФМ – ЛФМ, що спеціально призначений для отримання певного набору кольорів шляхом тонування з додаванням й усередненням пігментних концентратів;</w:t>
      </w:r>
    </w:p>
    <w:p w:rsidR="0030115D" w:rsidRPr="00D5260B" w:rsidRDefault="003B7F76" w:rsidP="0071162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вилучення з обігу – будь-який захід, спрямований на запобігання наданню на ринку ЛФМ, що перебуває в ланцюгу постачання продукції;</w:t>
      </w:r>
    </w:p>
    <w:p w:rsidR="0030115D" w:rsidRPr="00D5260B" w:rsidRDefault="003B7F76" w:rsidP="0071162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відкликання – будь-який захід, спрямований на забезпечення повернення ЛФМ, який вже було надано споживачу (користувачу);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вміст свинцю – загальна масова частка свинцю та його сполук у перерахунку на свинець, виражена у мільйонних частках (</w:t>
      </w:r>
      <w:proofErr w:type="spellStart"/>
      <w:r w:rsidRPr="00D5260B">
        <w:rPr>
          <w:sz w:val="28"/>
          <w:szCs w:val="28"/>
        </w:rPr>
        <w:t>ppm</w:t>
      </w:r>
      <w:proofErr w:type="spellEnd"/>
      <w:r w:rsidRPr="00D5260B">
        <w:rPr>
          <w:sz w:val="28"/>
          <w:szCs w:val="28"/>
        </w:rPr>
        <w:t>), у нелеткій частині ЛФМ;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водно-дисперсійний ЛФМ – ЛФМ, у якому основним летким складником є вода;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лазур (</w:t>
      </w:r>
      <w:proofErr w:type="spellStart"/>
      <w:r w:rsidRPr="00D5260B">
        <w:rPr>
          <w:sz w:val="28"/>
          <w:szCs w:val="28"/>
        </w:rPr>
        <w:t>лесувальний</w:t>
      </w:r>
      <w:proofErr w:type="spellEnd"/>
      <w:r w:rsidRPr="00D5260B">
        <w:rPr>
          <w:sz w:val="28"/>
          <w:szCs w:val="28"/>
        </w:rPr>
        <w:t xml:space="preserve"> ЛФМ) – ЛФМ, який містить невеликі кількості певного пігменту та / або наповнювача, що використовується для отримання прозорої чи напівпрозорої плівки з метою декоративного оброблення та/або захисту поверхні;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лак – прозорий ЛФМ;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ЛФМ – продукт (матеріал) у рідкій, пасто- чи порошкоподібній формі, який після нанесення на поверхню утворює шар із захисними, декоративними та/або іншими спеціальними властивостями;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ЛФМ білого кольору – пігментований ЛФМ, який у разі нанесення на поверхню утворює непрозору суху плівку, колір якого заявлений виробником як білий, для виробництва якого використовують пігменти виключно білого кольору (зокрема, двоокис титану).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мільйонна частка (</w:t>
      </w:r>
      <w:proofErr w:type="spellStart"/>
      <w:r w:rsidRPr="00D5260B">
        <w:rPr>
          <w:sz w:val="28"/>
          <w:szCs w:val="28"/>
        </w:rPr>
        <w:t>ppm</w:t>
      </w:r>
      <w:proofErr w:type="spellEnd"/>
      <w:r w:rsidRPr="00D5260B">
        <w:rPr>
          <w:sz w:val="28"/>
          <w:szCs w:val="28"/>
        </w:rPr>
        <w:t>) – одиниця вимірювання концентрації, аналогічна за змістом відсотку, яка являє собою одну мільйонну частку (1</w:t>
      </w:r>
      <w:r w:rsidRPr="00D5260B">
        <w:rPr>
          <w:sz w:val="22"/>
          <w:szCs w:val="22"/>
        </w:rPr>
        <w:t> </w:t>
      </w:r>
      <w:r w:rsidRPr="00D5260B">
        <w:rPr>
          <w:sz w:val="28"/>
          <w:szCs w:val="28"/>
        </w:rPr>
        <w:t xml:space="preserve">% = 10000 </w:t>
      </w:r>
      <w:proofErr w:type="spellStart"/>
      <w:r w:rsidRPr="00D5260B">
        <w:rPr>
          <w:sz w:val="28"/>
          <w:szCs w:val="28"/>
        </w:rPr>
        <w:t>ppm</w:t>
      </w:r>
      <w:proofErr w:type="spellEnd"/>
      <w:r w:rsidRPr="00D5260B">
        <w:rPr>
          <w:sz w:val="28"/>
          <w:szCs w:val="28"/>
        </w:rPr>
        <w:t>);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нелетка частина ЛФМ (вміст нелетких речовин, позначення “NV”) – залишок маси, отриманий після випаровування за визначених умов. Нелетку частину ЛФМ визначають згідно з ДСТУ ISO 3251</w:t>
      </w:r>
      <w:r w:rsidR="00CD296C">
        <w:rPr>
          <w:sz w:val="28"/>
          <w:szCs w:val="28"/>
        </w:rPr>
        <w:t>:2015</w:t>
      </w:r>
      <w:r w:rsidR="00CD296C" w:rsidRPr="00CD296C">
        <w:rPr>
          <w:color w:val="000000"/>
          <w:sz w:val="28"/>
          <w:szCs w:val="28"/>
        </w:rPr>
        <w:t xml:space="preserve"> </w:t>
      </w:r>
      <w:r w:rsidR="00CD296C" w:rsidRPr="00D5260B">
        <w:rPr>
          <w:color w:val="000000"/>
          <w:sz w:val="28"/>
          <w:szCs w:val="28"/>
        </w:rPr>
        <w:t>Фарби, лаки та пластмаси. Визначення вмісту нелетких речовин (ISO 3251:2008, IDT)</w:t>
      </w:r>
      <w:r w:rsidRPr="00D5260B">
        <w:rPr>
          <w:sz w:val="28"/>
          <w:szCs w:val="28"/>
        </w:rPr>
        <w:t>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D5260B">
        <w:rPr>
          <w:sz w:val="28"/>
          <w:szCs w:val="28"/>
        </w:rPr>
        <w:t>органорозчинний</w:t>
      </w:r>
      <w:proofErr w:type="spellEnd"/>
      <w:r w:rsidRPr="00D5260B">
        <w:rPr>
          <w:sz w:val="28"/>
          <w:szCs w:val="28"/>
        </w:rPr>
        <w:t xml:space="preserve"> ЛФМ – ЛФМ, у якому основним летким складником є органічний розчинник;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партія – певна кількість ЛФМ, виготовлена за один технологічний цикл на одному обладнанні, що ідентифікується конкретним номером партії та супроводжується одним документом про якість;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пігмент – барвна речовина, яка складається з частинок, нерозчинних у застосованому середовищі (зокрема, у ЛФМ);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пігментний концентрат (</w:t>
      </w:r>
      <w:proofErr w:type="spellStart"/>
      <w:r w:rsidRPr="00D5260B">
        <w:rPr>
          <w:sz w:val="28"/>
          <w:szCs w:val="28"/>
        </w:rPr>
        <w:t>колорант</w:t>
      </w:r>
      <w:proofErr w:type="spellEnd"/>
      <w:r w:rsidRPr="00D5260B">
        <w:rPr>
          <w:sz w:val="28"/>
          <w:szCs w:val="28"/>
        </w:rPr>
        <w:t>) – дисперсія пігментів, яка містить або не містить інші компоненти і є сумісною з ЛФМ, яку використовують для зміни кольору;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плівка (покриття) – суцільний шар нанесеного ЛФМ після його висихання</w:t>
      </w:r>
      <w:r w:rsidR="0071162A">
        <w:rPr>
          <w:sz w:val="28"/>
          <w:szCs w:val="28"/>
        </w:rPr>
        <w:br/>
      </w:r>
      <w:r w:rsidRPr="00D5260B">
        <w:rPr>
          <w:sz w:val="28"/>
          <w:szCs w:val="28"/>
        </w:rPr>
        <w:t>та/або затвердіння, хімічний склад якого відповідає нелеткій частині ЛФМ;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D5260B">
        <w:rPr>
          <w:sz w:val="28"/>
          <w:szCs w:val="28"/>
        </w:rPr>
        <w:t>розбавлювач</w:t>
      </w:r>
      <w:proofErr w:type="spellEnd"/>
      <w:r w:rsidRPr="00D5260B">
        <w:rPr>
          <w:sz w:val="28"/>
          <w:szCs w:val="28"/>
        </w:rPr>
        <w:t xml:space="preserve"> – одно- чи </w:t>
      </w:r>
      <w:proofErr w:type="spellStart"/>
      <w:r w:rsidRPr="00D5260B">
        <w:rPr>
          <w:sz w:val="28"/>
          <w:szCs w:val="28"/>
        </w:rPr>
        <w:t>багатоскладникова</w:t>
      </w:r>
      <w:proofErr w:type="spellEnd"/>
      <w:r w:rsidRPr="00D5260B">
        <w:rPr>
          <w:sz w:val="28"/>
          <w:szCs w:val="28"/>
        </w:rPr>
        <w:t xml:space="preserve"> летка рідина, яка не є розчинником, але яку можна використати в суміші з розчинником без будь-яких негативних ефектів;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 xml:space="preserve">розчинник – рідина чи суміш рідин, летка за певних умов сушіння, в якій </w:t>
      </w:r>
      <w:proofErr w:type="spellStart"/>
      <w:r w:rsidRPr="00D5260B">
        <w:rPr>
          <w:sz w:val="28"/>
          <w:szCs w:val="28"/>
        </w:rPr>
        <w:t>плівкоутворювач</w:t>
      </w:r>
      <w:proofErr w:type="spellEnd"/>
      <w:r w:rsidRPr="00D5260B">
        <w:rPr>
          <w:sz w:val="28"/>
          <w:szCs w:val="28"/>
        </w:rPr>
        <w:t xml:space="preserve"> розчиняється;</w:t>
      </w:r>
    </w:p>
    <w:p w:rsidR="00AA09C8" w:rsidRDefault="00AA09C8" w:rsidP="00AA09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3</w:t>
      </w:r>
    </w:p>
    <w:p w:rsidR="0030115D" w:rsidRPr="00D5260B" w:rsidRDefault="003B7F76" w:rsidP="00D1016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D5260B">
        <w:rPr>
          <w:color w:val="000000"/>
          <w:sz w:val="28"/>
          <w:szCs w:val="28"/>
        </w:rPr>
        <w:t>свинець-</w:t>
      </w:r>
      <w:proofErr w:type="spellStart"/>
      <w:r w:rsidRPr="00D5260B">
        <w:rPr>
          <w:color w:val="000000"/>
          <w:sz w:val="28"/>
          <w:szCs w:val="28"/>
        </w:rPr>
        <w:t>вмісний</w:t>
      </w:r>
      <w:proofErr w:type="spellEnd"/>
      <w:r w:rsidRPr="00D5260B">
        <w:rPr>
          <w:color w:val="000000"/>
          <w:sz w:val="28"/>
          <w:szCs w:val="28"/>
        </w:rPr>
        <w:t xml:space="preserve"> ЛФМ – ЛФМ, вміст свинцю у нелеткій частині якого перевищує 90 </w:t>
      </w:r>
      <w:proofErr w:type="spellStart"/>
      <w:r w:rsidRPr="00D5260B">
        <w:rPr>
          <w:color w:val="000000"/>
          <w:sz w:val="28"/>
          <w:szCs w:val="28"/>
        </w:rPr>
        <w:t>ppm</w:t>
      </w:r>
      <w:proofErr w:type="spellEnd"/>
      <w:r w:rsidRPr="00D5260B">
        <w:rPr>
          <w:color w:val="000000"/>
          <w:sz w:val="28"/>
          <w:szCs w:val="28"/>
        </w:rPr>
        <w:t xml:space="preserve"> за масою;</w:t>
      </w:r>
    </w:p>
    <w:p w:rsidR="0030115D" w:rsidRPr="00D5260B" w:rsidRDefault="003B7F76" w:rsidP="00D1016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сикативи – хімічні сполуки, зазвичай солі жирних кислот, які додають до матеріалів з метою прискорення висихання внаслідок реакції окиснення;</w:t>
      </w:r>
    </w:p>
    <w:p w:rsidR="0030115D" w:rsidRPr="00D5260B" w:rsidRDefault="003B7F76" w:rsidP="00D1016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D5260B">
        <w:rPr>
          <w:color w:val="000000"/>
          <w:sz w:val="28"/>
          <w:szCs w:val="28"/>
        </w:rPr>
        <w:t>сполуки свинцю – будь-які хімічні сполуки, у твердій, рідкій чи газоподібній формі, що трапляються в природному стані або виробляються промисловістю, які містять у своєму складі свинець;</w:t>
      </w:r>
    </w:p>
    <w:p w:rsidR="0030115D" w:rsidRPr="00D5260B" w:rsidRDefault="003B7F76" w:rsidP="00D1016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D5260B">
        <w:rPr>
          <w:color w:val="000000"/>
          <w:sz w:val="28"/>
          <w:szCs w:val="28"/>
        </w:rPr>
        <w:t>тонування – зміна кольору ЛФМ внаслідок додавання певної кількості пігментних концентратів на виробництві чи в місцях продажу;</w:t>
      </w:r>
    </w:p>
    <w:p w:rsidR="00D10165" w:rsidRDefault="003B7F76" w:rsidP="00D1016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D5260B">
        <w:rPr>
          <w:color w:val="000000"/>
          <w:sz w:val="28"/>
          <w:szCs w:val="28"/>
        </w:rPr>
        <w:t>фарба – пігментований ЛФМ, який у разі нанесення на поверхню утворює непрозору суху плівку із захисними, декоративними чи спеціальними технічними властивостями.</w:t>
      </w:r>
    </w:p>
    <w:p w:rsidR="00087C47" w:rsidRDefault="00087C47" w:rsidP="00D1016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30115D" w:rsidRPr="006360C5" w:rsidRDefault="00D10165" w:rsidP="0071162A">
      <w:pPr>
        <w:pStyle w:val="af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360C5">
        <w:rPr>
          <w:color w:val="000000"/>
          <w:sz w:val="28"/>
          <w:szCs w:val="28"/>
        </w:rPr>
        <w:t>Для цілей цього Технічного регламенту</w:t>
      </w:r>
      <w:r w:rsidR="006360C5" w:rsidRPr="006360C5">
        <w:rPr>
          <w:color w:val="000000"/>
          <w:sz w:val="28"/>
          <w:szCs w:val="28"/>
        </w:rPr>
        <w:t xml:space="preserve"> </w:t>
      </w:r>
      <w:r w:rsidR="00CD296C">
        <w:rPr>
          <w:color w:val="000000"/>
          <w:sz w:val="28"/>
          <w:szCs w:val="28"/>
        </w:rPr>
        <w:t>інші</w:t>
      </w:r>
      <w:r w:rsidR="00DA486C">
        <w:rPr>
          <w:color w:val="000000"/>
          <w:sz w:val="28"/>
          <w:szCs w:val="28"/>
        </w:rPr>
        <w:t xml:space="preserve"> </w:t>
      </w:r>
      <w:r w:rsidRPr="006360C5">
        <w:rPr>
          <w:color w:val="000000"/>
          <w:sz w:val="28"/>
          <w:szCs w:val="28"/>
        </w:rPr>
        <w:t>т</w:t>
      </w:r>
      <w:r w:rsidR="003B7F76" w:rsidRPr="006360C5">
        <w:rPr>
          <w:color w:val="000000"/>
          <w:sz w:val="28"/>
          <w:szCs w:val="28"/>
        </w:rPr>
        <w:t>ерміни вживаються у значенн</w:t>
      </w:r>
      <w:r w:rsidR="006360C5" w:rsidRPr="006360C5">
        <w:rPr>
          <w:color w:val="000000"/>
          <w:sz w:val="28"/>
          <w:szCs w:val="28"/>
        </w:rPr>
        <w:t>ях</w:t>
      </w:r>
      <w:r w:rsidR="003B7F76" w:rsidRPr="006360C5">
        <w:rPr>
          <w:color w:val="000000"/>
          <w:sz w:val="28"/>
          <w:szCs w:val="28"/>
        </w:rPr>
        <w:t xml:space="preserve"> наведен</w:t>
      </w:r>
      <w:r w:rsidR="006360C5">
        <w:rPr>
          <w:color w:val="000000"/>
          <w:sz w:val="28"/>
          <w:szCs w:val="28"/>
        </w:rPr>
        <w:t>их</w:t>
      </w:r>
      <w:r w:rsidR="003B7F76" w:rsidRPr="006360C5">
        <w:rPr>
          <w:color w:val="000000"/>
          <w:sz w:val="28"/>
          <w:szCs w:val="28"/>
        </w:rPr>
        <w:t xml:space="preserve"> у </w:t>
      </w:r>
      <w:r w:rsidR="00CD296C">
        <w:rPr>
          <w:color w:val="000000"/>
          <w:sz w:val="28"/>
          <w:szCs w:val="28"/>
        </w:rPr>
        <w:t>з</w:t>
      </w:r>
      <w:r w:rsidR="003B7F76" w:rsidRPr="006360C5">
        <w:rPr>
          <w:color w:val="000000"/>
          <w:sz w:val="28"/>
          <w:szCs w:val="28"/>
        </w:rPr>
        <w:t>ако</w:t>
      </w:r>
      <w:r w:rsidR="00D5260B" w:rsidRPr="006360C5">
        <w:rPr>
          <w:color w:val="000000"/>
          <w:sz w:val="28"/>
          <w:szCs w:val="28"/>
        </w:rPr>
        <w:t>н</w:t>
      </w:r>
      <w:r w:rsidR="00CD296C">
        <w:rPr>
          <w:color w:val="000000"/>
          <w:sz w:val="28"/>
          <w:szCs w:val="28"/>
        </w:rPr>
        <w:t>ах</w:t>
      </w:r>
      <w:r w:rsidR="00D5260B" w:rsidRPr="006360C5">
        <w:rPr>
          <w:color w:val="000000"/>
          <w:sz w:val="28"/>
          <w:szCs w:val="28"/>
        </w:rPr>
        <w:t xml:space="preserve"> України</w:t>
      </w:r>
      <w:r w:rsidR="00CD296C">
        <w:rPr>
          <w:color w:val="000000"/>
          <w:sz w:val="28"/>
          <w:szCs w:val="28"/>
        </w:rPr>
        <w:t>:</w:t>
      </w:r>
      <w:r w:rsidR="00D5260B" w:rsidRPr="006360C5">
        <w:rPr>
          <w:color w:val="000000"/>
          <w:sz w:val="28"/>
          <w:szCs w:val="28"/>
        </w:rPr>
        <w:t xml:space="preserve"> «</w:t>
      </w:r>
      <w:r w:rsidR="003B7F76" w:rsidRPr="006360C5">
        <w:rPr>
          <w:color w:val="000000"/>
          <w:sz w:val="28"/>
          <w:szCs w:val="28"/>
        </w:rPr>
        <w:t>Про технічні рег</w:t>
      </w:r>
      <w:r w:rsidR="00D5260B" w:rsidRPr="006360C5">
        <w:rPr>
          <w:color w:val="000000"/>
          <w:sz w:val="28"/>
          <w:szCs w:val="28"/>
        </w:rPr>
        <w:t>ламенти та оцінку відповідності»</w:t>
      </w:r>
      <w:r w:rsidR="00DA486C">
        <w:rPr>
          <w:color w:val="000000"/>
          <w:sz w:val="28"/>
          <w:szCs w:val="28"/>
        </w:rPr>
        <w:t>,</w:t>
      </w:r>
      <w:r w:rsidR="00087C47" w:rsidRPr="006360C5">
        <w:rPr>
          <w:color w:val="000000"/>
          <w:sz w:val="28"/>
          <w:szCs w:val="28"/>
        </w:rPr>
        <w:t xml:space="preserve"> </w:t>
      </w:r>
      <w:r w:rsidR="00D5260B" w:rsidRPr="006360C5">
        <w:rPr>
          <w:color w:val="000000"/>
          <w:sz w:val="28"/>
          <w:szCs w:val="28"/>
        </w:rPr>
        <w:t>«</w:t>
      </w:r>
      <w:r w:rsidR="003B7F76" w:rsidRPr="006360C5">
        <w:rPr>
          <w:color w:val="000000"/>
          <w:sz w:val="28"/>
          <w:szCs w:val="28"/>
        </w:rPr>
        <w:t>Про державний ринковий нагляд і контроль нехарчової продукції</w:t>
      </w:r>
      <w:r w:rsidR="00D5260B" w:rsidRPr="006360C5">
        <w:rPr>
          <w:color w:val="000000"/>
          <w:sz w:val="28"/>
          <w:szCs w:val="28"/>
        </w:rPr>
        <w:t>»</w:t>
      </w:r>
      <w:r w:rsidR="00DA486C">
        <w:rPr>
          <w:color w:val="000000"/>
          <w:sz w:val="28"/>
          <w:szCs w:val="28"/>
        </w:rPr>
        <w:t>,</w:t>
      </w:r>
      <w:r w:rsidR="00087C47" w:rsidRPr="006360C5">
        <w:rPr>
          <w:color w:val="000000"/>
          <w:sz w:val="28"/>
          <w:szCs w:val="28"/>
        </w:rPr>
        <w:t xml:space="preserve"> </w:t>
      </w:r>
      <w:r w:rsidR="00D5260B" w:rsidRPr="006360C5">
        <w:rPr>
          <w:color w:val="000000"/>
          <w:sz w:val="28"/>
          <w:szCs w:val="28"/>
        </w:rPr>
        <w:t>«П</w:t>
      </w:r>
      <w:r w:rsidR="003B7F76" w:rsidRPr="006360C5">
        <w:rPr>
          <w:color w:val="000000"/>
          <w:sz w:val="28"/>
          <w:szCs w:val="28"/>
        </w:rPr>
        <w:t>ро охорону культурної спадщини</w:t>
      </w:r>
      <w:r w:rsidR="00D5260B" w:rsidRPr="006360C5">
        <w:rPr>
          <w:color w:val="000000"/>
          <w:sz w:val="28"/>
          <w:szCs w:val="28"/>
        </w:rPr>
        <w:t>»</w:t>
      </w:r>
      <w:r w:rsidR="00DA486C">
        <w:rPr>
          <w:color w:val="000000"/>
          <w:sz w:val="28"/>
          <w:szCs w:val="28"/>
        </w:rPr>
        <w:t>,</w:t>
      </w:r>
      <w:r w:rsidR="00087C47" w:rsidRPr="006360C5">
        <w:rPr>
          <w:color w:val="000000"/>
          <w:sz w:val="28"/>
          <w:szCs w:val="28"/>
        </w:rPr>
        <w:t xml:space="preserve"> </w:t>
      </w:r>
      <w:r w:rsidR="00D5260B" w:rsidRPr="006360C5">
        <w:rPr>
          <w:color w:val="000000"/>
          <w:sz w:val="28"/>
          <w:szCs w:val="28"/>
        </w:rPr>
        <w:t>«</w:t>
      </w:r>
      <w:r w:rsidR="003B7F76" w:rsidRPr="006360C5">
        <w:rPr>
          <w:color w:val="000000"/>
          <w:sz w:val="28"/>
          <w:szCs w:val="28"/>
        </w:rPr>
        <w:t>Про акредитацію органів з оцінки відповідності</w:t>
      </w:r>
      <w:r w:rsidR="00D5260B" w:rsidRPr="006360C5">
        <w:rPr>
          <w:color w:val="000000"/>
          <w:sz w:val="28"/>
          <w:szCs w:val="28"/>
        </w:rPr>
        <w:t>»</w:t>
      </w:r>
      <w:r w:rsidR="00DA486C">
        <w:rPr>
          <w:color w:val="000000"/>
          <w:sz w:val="28"/>
          <w:szCs w:val="28"/>
        </w:rPr>
        <w:t>,</w:t>
      </w:r>
      <w:r w:rsidR="00087C47" w:rsidRPr="006360C5">
        <w:rPr>
          <w:color w:val="000000"/>
          <w:sz w:val="28"/>
          <w:szCs w:val="28"/>
        </w:rPr>
        <w:t xml:space="preserve"> </w:t>
      </w:r>
      <w:r w:rsidR="00D5260B" w:rsidRPr="006360C5">
        <w:rPr>
          <w:color w:val="000000"/>
          <w:sz w:val="28"/>
          <w:szCs w:val="28"/>
        </w:rPr>
        <w:t>«</w:t>
      </w:r>
      <w:r w:rsidR="003B7F76" w:rsidRPr="006360C5">
        <w:rPr>
          <w:color w:val="000000"/>
          <w:sz w:val="28"/>
          <w:szCs w:val="28"/>
        </w:rPr>
        <w:t>Про загальну безпечність нехарчової продукції</w:t>
      </w:r>
      <w:r w:rsidR="00087C47" w:rsidRPr="006360C5">
        <w:rPr>
          <w:color w:val="000000"/>
          <w:sz w:val="28"/>
          <w:szCs w:val="28"/>
        </w:rPr>
        <w:t>»</w:t>
      </w:r>
      <w:r w:rsidR="00CD296C">
        <w:rPr>
          <w:color w:val="000000"/>
          <w:sz w:val="28"/>
          <w:szCs w:val="28"/>
        </w:rPr>
        <w:t>,</w:t>
      </w:r>
      <w:r w:rsidR="00D5260B" w:rsidRPr="006360C5">
        <w:rPr>
          <w:color w:val="000000"/>
          <w:sz w:val="28"/>
          <w:szCs w:val="28"/>
        </w:rPr>
        <w:t xml:space="preserve"> «Про захист прав споживачів»</w:t>
      </w:r>
      <w:r w:rsidR="003B7F76" w:rsidRPr="006360C5">
        <w:rPr>
          <w:color w:val="000000"/>
          <w:sz w:val="28"/>
          <w:szCs w:val="28"/>
        </w:rPr>
        <w:t>.</w:t>
      </w:r>
    </w:p>
    <w:p w:rsidR="0030115D" w:rsidRPr="00D5260B" w:rsidRDefault="0030115D">
      <w:pPr>
        <w:pBdr>
          <w:top w:val="nil"/>
          <w:left w:val="nil"/>
          <w:bottom w:val="nil"/>
          <w:right w:val="nil"/>
          <w:between w:val="nil"/>
        </w:pBdr>
        <w:ind w:left="284" w:firstLine="709"/>
        <w:jc w:val="both"/>
        <w:rPr>
          <w:color w:val="000000"/>
          <w:sz w:val="28"/>
          <w:szCs w:val="28"/>
        </w:rPr>
      </w:pPr>
    </w:p>
    <w:p w:rsidR="0030115D" w:rsidRPr="00CD296C" w:rsidRDefault="003B7F76" w:rsidP="00CD296C">
      <w:pPr>
        <w:pStyle w:val="af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bookmarkStart w:id="1" w:name="_30j0zll" w:colFirst="0" w:colLast="0"/>
      <w:bookmarkEnd w:id="1"/>
      <w:r w:rsidRPr="00CD296C">
        <w:rPr>
          <w:color w:val="000000"/>
          <w:sz w:val="28"/>
          <w:szCs w:val="28"/>
        </w:rPr>
        <w:t>Вміст свинцю у нелеткій частині ЛФМ не повинен перевищувати</w:t>
      </w:r>
      <w:r w:rsidR="00CD296C" w:rsidRPr="00CD296C">
        <w:rPr>
          <w:color w:val="000000"/>
          <w:sz w:val="28"/>
          <w:szCs w:val="28"/>
        </w:rPr>
        <w:t xml:space="preserve"> </w:t>
      </w:r>
      <w:r w:rsidRPr="00CD296C">
        <w:rPr>
          <w:color w:val="000000"/>
          <w:sz w:val="28"/>
          <w:szCs w:val="28"/>
        </w:rPr>
        <w:t xml:space="preserve">90 </w:t>
      </w:r>
      <w:proofErr w:type="spellStart"/>
      <w:r w:rsidRPr="00CD296C">
        <w:rPr>
          <w:color w:val="000000"/>
          <w:sz w:val="28"/>
          <w:szCs w:val="28"/>
        </w:rPr>
        <w:t>ppm</w:t>
      </w:r>
      <w:proofErr w:type="spellEnd"/>
      <w:r w:rsidRPr="00CD296C">
        <w:rPr>
          <w:color w:val="000000"/>
          <w:sz w:val="28"/>
          <w:szCs w:val="28"/>
        </w:rPr>
        <w:t>.</w:t>
      </w:r>
    </w:p>
    <w:p w:rsidR="0030115D" w:rsidRPr="00D5260B" w:rsidRDefault="003B7F76" w:rsidP="007116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D5260B">
        <w:rPr>
          <w:color w:val="000000"/>
          <w:sz w:val="28"/>
          <w:szCs w:val="28"/>
        </w:rPr>
        <w:t>Для контролю дотримання граничного значення вмісту свинцю використову</w:t>
      </w:r>
      <w:r w:rsidR="00DA486C">
        <w:rPr>
          <w:color w:val="000000"/>
          <w:sz w:val="28"/>
          <w:szCs w:val="28"/>
        </w:rPr>
        <w:t>ються</w:t>
      </w:r>
      <w:r w:rsidRPr="00D5260B">
        <w:rPr>
          <w:color w:val="000000"/>
          <w:sz w:val="28"/>
          <w:szCs w:val="28"/>
        </w:rPr>
        <w:t xml:space="preserve"> стандартні процедури та аналітичні методи, </w:t>
      </w:r>
      <w:r w:rsidR="00DA486C">
        <w:rPr>
          <w:color w:val="000000"/>
          <w:sz w:val="28"/>
          <w:szCs w:val="28"/>
        </w:rPr>
        <w:t>відповідно до</w:t>
      </w:r>
      <w:r w:rsidRPr="00D5260B">
        <w:rPr>
          <w:color w:val="000000"/>
          <w:sz w:val="28"/>
          <w:szCs w:val="28"/>
        </w:rPr>
        <w:t xml:space="preserve"> Додатку</w:t>
      </w:r>
      <w:r w:rsidR="00087C47">
        <w:rPr>
          <w:color w:val="000000"/>
          <w:sz w:val="28"/>
          <w:szCs w:val="28"/>
        </w:rPr>
        <w:t> </w:t>
      </w:r>
      <w:r w:rsidRPr="00D5260B">
        <w:rPr>
          <w:color w:val="000000"/>
          <w:sz w:val="28"/>
          <w:szCs w:val="28"/>
        </w:rPr>
        <w:t>1 цього Технічного регламенту.</w:t>
      </w:r>
    </w:p>
    <w:p w:rsidR="0030115D" w:rsidRPr="00D5260B" w:rsidRDefault="0030115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0115D" w:rsidRPr="00D5260B" w:rsidRDefault="003B7F76" w:rsidP="00415E6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bookmarkStart w:id="2" w:name="_1fob9te" w:colFirst="0" w:colLast="0"/>
      <w:bookmarkEnd w:id="2"/>
      <w:r w:rsidRPr="00D5260B">
        <w:rPr>
          <w:color w:val="000000"/>
          <w:sz w:val="28"/>
          <w:szCs w:val="28"/>
        </w:rPr>
        <w:t xml:space="preserve">Уведення в обіг продукції, на яку поширюється дія цього Технічного регламенту, здійснюється відповідними суб’єктами господарювання після 12 </w:t>
      </w:r>
      <w:r w:rsidRPr="00932FCA">
        <w:rPr>
          <w:color w:val="000000"/>
          <w:sz w:val="28"/>
          <w:szCs w:val="28"/>
        </w:rPr>
        <w:t xml:space="preserve">місяців з </w:t>
      </w:r>
      <w:r w:rsidR="00CD296C">
        <w:rPr>
          <w:color w:val="000000"/>
          <w:sz w:val="28"/>
          <w:szCs w:val="28"/>
        </w:rPr>
        <w:t>дня</w:t>
      </w:r>
      <w:r w:rsidRPr="00932FCA">
        <w:rPr>
          <w:color w:val="000000"/>
          <w:sz w:val="28"/>
          <w:szCs w:val="28"/>
        </w:rPr>
        <w:t xml:space="preserve"> набрання чинності цим Технічним регламентом, тільки якщо ця продукція має вміст свинцю, що не перевищує граничне значення, встановлене в пункті </w:t>
      </w:r>
      <w:r w:rsidR="00932FCA" w:rsidRPr="00932FCA">
        <w:rPr>
          <w:color w:val="000000"/>
          <w:sz w:val="28"/>
          <w:szCs w:val="28"/>
        </w:rPr>
        <w:t>6</w:t>
      </w:r>
      <w:r w:rsidRPr="00932FCA">
        <w:rPr>
          <w:color w:val="000000"/>
          <w:sz w:val="28"/>
          <w:szCs w:val="28"/>
        </w:rPr>
        <w:t xml:space="preserve"> цього</w:t>
      </w:r>
      <w:r w:rsidRPr="00D5260B">
        <w:rPr>
          <w:color w:val="000000"/>
          <w:sz w:val="28"/>
          <w:szCs w:val="28"/>
        </w:rPr>
        <w:t xml:space="preserve"> Технічного регламенту, не містить </w:t>
      </w:r>
      <w:r w:rsidR="00CD296C">
        <w:rPr>
          <w:color w:val="000000"/>
          <w:sz w:val="28"/>
          <w:szCs w:val="28"/>
        </w:rPr>
        <w:t>свинець-</w:t>
      </w:r>
      <w:proofErr w:type="spellStart"/>
      <w:r w:rsidR="00CD296C">
        <w:rPr>
          <w:color w:val="000000"/>
          <w:sz w:val="28"/>
          <w:szCs w:val="28"/>
        </w:rPr>
        <w:t>вмісних</w:t>
      </w:r>
      <w:proofErr w:type="spellEnd"/>
      <w:r w:rsidR="00CD296C">
        <w:rPr>
          <w:color w:val="000000"/>
          <w:sz w:val="28"/>
          <w:szCs w:val="28"/>
        </w:rPr>
        <w:t xml:space="preserve"> ЛФМ</w:t>
      </w:r>
      <w:r w:rsidRPr="00D5260B">
        <w:rPr>
          <w:color w:val="000000"/>
          <w:sz w:val="28"/>
          <w:szCs w:val="28"/>
        </w:rPr>
        <w:t xml:space="preserve">, зазначених у пункті 2 і відповідає вимогам пункту </w:t>
      </w:r>
      <w:r w:rsidR="00DA486C">
        <w:rPr>
          <w:color w:val="000000"/>
          <w:sz w:val="28"/>
          <w:szCs w:val="28"/>
        </w:rPr>
        <w:t>9</w:t>
      </w:r>
      <w:r w:rsidR="00087C47">
        <w:rPr>
          <w:color w:val="000000"/>
          <w:sz w:val="28"/>
          <w:szCs w:val="28"/>
        </w:rPr>
        <w:t xml:space="preserve"> Технічного регламенту</w:t>
      </w:r>
      <w:r w:rsidRPr="00D5260B">
        <w:rPr>
          <w:color w:val="000000"/>
          <w:sz w:val="28"/>
          <w:szCs w:val="28"/>
        </w:rPr>
        <w:t>.</w:t>
      </w:r>
    </w:p>
    <w:p w:rsidR="0030115D" w:rsidRPr="00D5260B" w:rsidRDefault="003011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0115D" w:rsidRPr="00D5260B" w:rsidRDefault="003B7F76" w:rsidP="007116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5260B">
        <w:rPr>
          <w:color w:val="000000"/>
          <w:sz w:val="28"/>
          <w:szCs w:val="28"/>
        </w:rPr>
        <w:t>Для реставраційних робіт, з метою реабілітації</w:t>
      </w:r>
      <w:r w:rsidR="00CD296C">
        <w:rPr>
          <w:color w:val="000000"/>
          <w:sz w:val="28"/>
          <w:szCs w:val="28"/>
        </w:rPr>
        <w:t xml:space="preserve"> об</w:t>
      </w:r>
      <w:r w:rsidR="00CD296C" w:rsidRPr="00CD296C">
        <w:rPr>
          <w:color w:val="000000"/>
          <w:sz w:val="28"/>
          <w:szCs w:val="28"/>
        </w:rPr>
        <w:t>’</w:t>
      </w:r>
      <w:r w:rsidR="00CD296C">
        <w:rPr>
          <w:color w:val="000000"/>
          <w:sz w:val="28"/>
          <w:szCs w:val="28"/>
        </w:rPr>
        <w:t>єктів культурної спадщини</w:t>
      </w:r>
      <w:r w:rsidRPr="00D5260B">
        <w:rPr>
          <w:color w:val="000000"/>
          <w:sz w:val="28"/>
          <w:szCs w:val="28"/>
        </w:rPr>
        <w:t>, ремонту та утримання будинків, творів мистецтва, чи інших предметів та об’єктів, які належать до об'єктів культурної спадщин</w:t>
      </w:r>
      <w:r w:rsidR="00D5260B">
        <w:rPr>
          <w:color w:val="000000"/>
          <w:sz w:val="28"/>
          <w:szCs w:val="28"/>
        </w:rPr>
        <w:t>и відповідно до Закону України «</w:t>
      </w:r>
      <w:r w:rsidRPr="00D5260B">
        <w:rPr>
          <w:color w:val="000000"/>
          <w:sz w:val="28"/>
          <w:szCs w:val="28"/>
        </w:rPr>
        <w:t xml:space="preserve">Про охорону культурної </w:t>
      </w:r>
      <w:r w:rsidR="00D5260B">
        <w:rPr>
          <w:color w:val="000000"/>
          <w:sz w:val="28"/>
          <w:szCs w:val="28"/>
        </w:rPr>
        <w:t>спадщини»</w:t>
      </w:r>
      <w:r w:rsidRPr="00D5260B">
        <w:rPr>
          <w:color w:val="000000"/>
          <w:sz w:val="28"/>
          <w:szCs w:val="28"/>
        </w:rPr>
        <w:t>, якщо відсутня відповідна заміна для свинець-</w:t>
      </w:r>
      <w:proofErr w:type="spellStart"/>
      <w:r w:rsidRPr="00D5260B">
        <w:rPr>
          <w:color w:val="000000"/>
          <w:sz w:val="28"/>
          <w:szCs w:val="28"/>
        </w:rPr>
        <w:t>вмісних</w:t>
      </w:r>
      <w:proofErr w:type="spellEnd"/>
      <w:r w:rsidRPr="00D5260B">
        <w:rPr>
          <w:color w:val="000000"/>
          <w:sz w:val="28"/>
          <w:szCs w:val="28"/>
        </w:rPr>
        <w:t xml:space="preserve"> ЛФМ, можливі виключення відповідно до чинного законодавства стосовно виробництва, продажу й купівлі в суворо обмежених кількостях ЛФМ й сировини для їх виробництва, які не відповідають вимогам пункту </w:t>
      </w:r>
      <w:r w:rsidR="00DA486C">
        <w:rPr>
          <w:color w:val="000000"/>
          <w:sz w:val="28"/>
          <w:szCs w:val="28"/>
        </w:rPr>
        <w:t>7</w:t>
      </w:r>
      <w:r w:rsidRPr="00D5260B">
        <w:rPr>
          <w:color w:val="000000"/>
          <w:sz w:val="28"/>
          <w:szCs w:val="28"/>
        </w:rPr>
        <w:t xml:space="preserve"> цього Технічного регламенту.</w:t>
      </w:r>
    </w:p>
    <w:p w:rsidR="0030115D" w:rsidRPr="00D5260B" w:rsidRDefault="003B7F7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5260B">
        <w:rPr>
          <w:color w:val="000000"/>
          <w:sz w:val="28"/>
          <w:szCs w:val="28"/>
        </w:rPr>
        <w:t>У маркуванні такої продукції пови</w:t>
      </w:r>
      <w:r w:rsidR="00D5260B" w:rsidRPr="00D5260B">
        <w:rPr>
          <w:color w:val="000000"/>
          <w:sz w:val="28"/>
          <w:szCs w:val="28"/>
        </w:rPr>
        <w:t>нно бути наведене застереження «</w:t>
      </w:r>
      <w:r w:rsidRPr="00D5260B">
        <w:rPr>
          <w:color w:val="000000"/>
          <w:sz w:val="28"/>
          <w:szCs w:val="28"/>
        </w:rPr>
        <w:t>НЕБЕЗПЕЧНО: містить свинець. Не застосовувати на поверхнях, дост</w:t>
      </w:r>
      <w:r w:rsidR="00D5260B" w:rsidRPr="00D5260B">
        <w:rPr>
          <w:color w:val="000000"/>
          <w:sz w:val="28"/>
          <w:szCs w:val="28"/>
        </w:rPr>
        <w:t xml:space="preserve">упних дітям </w:t>
      </w:r>
      <w:r w:rsidR="00087C47">
        <w:rPr>
          <w:color w:val="000000"/>
          <w:sz w:val="28"/>
          <w:szCs w:val="28"/>
        </w:rPr>
        <w:t>та/або</w:t>
      </w:r>
      <w:r w:rsidR="00D5260B" w:rsidRPr="00D5260B">
        <w:rPr>
          <w:color w:val="000000"/>
          <w:sz w:val="28"/>
          <w:szCs w:val="28"/>
        </w:rPr>
        <w:t xml:space="preserve"> вагітним жінкам!»</w:t>
      </w:r>
      <w:r w:rsidRPr="00D5260B">
        <w:rPr>
          <w:color w:val="000000"/>
          <w:sz w:val="28"/>
          <w:szCs w:val="28"/>
        </w:rPr>
        <w:t>.</w:t>
      </w:r>
    </w:p>
    <w:p w:rsidR="0030115D" w:rsidRDefault="0030115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3" w:name="_3znysh7" w:colFirst="0" w:colLast="0"/>
      <w:bookmarkEnd w:id="3"/>
    </w:p>
    <w:p w:rsidR="00AA09C8" w:rsidRDefault="00AA09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A09C8" w:rsidRPr="00D5260B" w:rsidRDefault="00AA09C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4</w:t>
      </w:r>
    </w:p>
    <w:p w:rsidR="0030115D" w:rsidRPr="00D5260B" w:rsidRDefault="003B7F76" w:rsidP="0071162A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 xml:space="preserve">Уведення в обіг </w:t>
      </w:r>
      <w:r w:rsidR="008A088F">
        <w:rPr>
          <w:sz w:val="28"/>
          <w:szCs w:val="28"/>
        </w:rPr>
        <w:t>свинець-</w:t>
      </w:r>
      <w:proofErr w:type="spellStart"/>
      <w:r w:rsidR="008A088F">
        <w:rPr>
          <w:sz w:val="28"/>
          <w:szCs w:val="28"/>
        </w:rPr>
        <w:t>вмісних</w:t>
      </w:r>
      <w:proofErr w:type="spellEnd"/>
      <w:r w:rsidR="008A088F">
        <w:rPr>
          <w:sz w:val="28"/>
          <w:szCs w:val="28"/>
        </w:rPr>
        <w:t xml:space="preserve"> ЛФМ</w:t>
      </w:r>
      <w:r w:rsidRPr="00D5260B">
        <w:rPr>
          <w:sz w:val="28"/>
          <w:szCs w:val="28"/>
        </w:rPr>
        <w:t>, перелік як</w:t>
      </w:r>
      <w:r w:rsidR="008A088F">
        <w:rPr>
          <w:sz w:val="28"/>
          <w:szCs w:val="28"/>
        </w:rPr>
        <w:t>их</w:t>
      </w:r>
      <w:r w:rsidRPr="00D5260B">
        <w:rPr>
          <w:sz w:val="28"/>
          <w:szCs w:val="28"/>
        </w:rPr>
        <w:t xml:space="preserve"> наведено у пункті 2</w:t>
      </w:r>
      <w:r w:rsidRPr="00D5260B">
        <w:t xml:space="preserve"> </w:t>
      </w:r>
      <w:r w:rsidRPr="00D5260B">
        <w:rPr>
          <w:sz w:val="28"/>
          <w:szCs w:val="28"/>
        </w:rPr>
        <w:t xml:space="preserve">цього </w:t>
      </w:r>
      <w:r w:rsidR="00087C47">
        <w:rPr>
          <w:sz w:val="28"/>
          <w:szCs w:val="28"/>
        </w:rPr>
        <w:t>Т</w:t>
      </w:r>
      <w:r w:rsidRPr="00D5260B">
        <w:rPr>
          <w:sz w:val="28"/>
          <w:szCs w:val="28"/>
        </w:rPr>
        <w:t xml:space="preserve">ехнічного регламенту, здійснюється за умови нанесення знаку відповідності технічним регламентам та </w:t>
      </w:r>
      <w:r w:rsidR="00D5260B">
        <w:rPr>
          <w:sz w:val="28"/>
          <w:szCs w:val="28"/>
        </w:rPr>
        <w:t>текстового маркування: «</w:t>
      </w:r>
      <w:r w:rsidRPr="00D5260B">
        <w:rPr>
          <w:sz w:val="28"/>
          <w:szCs w:val="28"/>
        </w:rPr>
        <w:t>Відповідає вимогам Технічного регламенту щодо обмеження вмісту свинцю у лакофарбових матеріалах</w:t>
      </w:r>
      <w:r w:rsidR="00D5260B">
        <w:rPr>
          <w:sz w:val="28"/>
          <w:szCs w:val="28"/>
        </w:rPr>
        <w:t>»,</w:t>
      </w:r>
      <w:r w:rsidRPr="00D5260B">
        <w:rPr>
          <w:sz w:val="28"/>
          <w:szCs w:val="28"/>
        </w:rPr>
        <w:t xml:space="preserve"> а також Декларації </w:t>
      </w:r>
      <w:r w:rsidR="002B162B">
        <w:rPr>
          <w:sz w:val="28"/>
          <w:szCs w:val="28"/>
        </w:rPr>
        <w:t xml:space="preserve">про </w:t>
      </w:r>
      <w:r w:rsidRPr="00D5260B">
        <w:rPr>
          <w:sz w:val="28"/>
          <w:szCs w:val="28"/>
        </w:rPr>
        <w:t>відповідн</w:t>
      </w:r>
      <w:r w:rsidR="002B162B">
        <w:rPr>
          <w:sz w:val="28"/>
          <w:szCs w:val="28"/>
        </w:rPr>
        <w:t>і</w:t>
      </w:r>
      <w:r w:rsidRPr="00D5260B">
        <w:rPr>
          <w:sz w:val="28"/>
          <w:szCs w:val="28"/>
        </w:rPr>
        <w:t>ст</w:t>
      </w:r>
      <w:r w:rsidR="002B162B">
        <w:rPr>
          <w:sz w:val="28"/>
          <w:szCs w:val="28"/>
        </w:rPr>
        <w:t>ь</w:t>
      </w:r>
      <w:r w:rsidRPr="00D5260B">
        <w:rPr>
          <w:sz w:val="28"/>
          <w:szCs w:val="28"/>
        </w:rPr>
        <w:t>, наведено</w:t>
      </w:r>
      <w:r w:rsidR="002B162B">
        <w:rPr>
          <w:sz w:val="28"/>
          <w:szCs w:val="28"/>
        </w:rPr>
        <w:t>ї</w:t>
      </w:r>
      <w:r w:rsidRPr="00D5260B">
        <w:rPr>
          <w:sz w:val="28"/>
          <w:szCs w:val="28"/>
        </w:rPr>
        <w:t xml:space="preserve"> у Додатку 2.</w:t>
      </w:r>
    </w:p>
    <w:p w:rsidR="0030115D" w:rsidRPr="00D5260B" w:rsidRDefault="003B7F76" w:rsidP="007116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Суб</w:t>
      </w:r>
      <w:r w:rsidR="008A088F" w:rsidRPr="008A088F">
        <w:rPr>
          <w:sz w:val="28"/>
          <w:szCs w:val="28"/>
        </w:rPr>
        <w:t>’</w:t>
      </w:r>
      <w:r w:rsidRPr="00D5260B">
        <w:rPr>
          <w:sz w:val="28"/>
          <w:szCs w:val="28"/>
        </w:rPr>
        <w:t>єкти господарювання зобов</w:t>
      </w:r>
      <w:r w:rsidR="008A088F" w:rsidRPr="008A088F">
        <w:rPr>
          <w:sz w:val="28"/>
          <w:szCs w:val="28"/>
        </w:rPr>
        <w:t>’</w:t>
      </w:r>
      <w:r w:rsidRPr="00D5260B">
        <w:rPr>
          <w:sz w:val="28"/>
          <w:szCs w:val="28"/>
        </w:rPr>
        <w:t xml:space="preserve">язані забезпечити зберігання та облік </w:t>
      </w:r>
      <w:r w:rsidR="002B162B">
        <w:rPr>
          <w:sz w:val="28"/>
          <w:szCs w:val="28"/>
        </w:rPr>
        <w:t>Д</w:t>
      </w:r>
      <w:r w:rsidRPr="00D5260B">
        <w:rPr>
          <w:sz w:val="28"/>
          <w:szCs w:val="28"/>
        </w:rPr>
        <w:t xml:space="preserve">екларацій </w:t>
      </w:r>
      <w:r w:rsidR="002B162B">
        <w:rPr>
          <w:sz w:val="28"/>
          <w:szCs w:val="28"/>
        </w:rPr>
        <w:t xml:space="preserve">про </w:t>
      </w:r>
      <w:r w:rsidRPr="00D5260B">
        <w:rPr>
          <w:sz w:val="28"/>
          <w:szCs w:val="28"/>
        </w:rPr>
        <w:t>відповідн</w:t>
      </w:r>
      <w:r w:rsidR="002B162B">
        <w:rPr>
          <w:sz w:val="28"/>
          <w:szCs w:val="28"/>
        </w:rPr>
        <w:t>і</w:t>
      </w:r>
      <w:r w:rsidRPr="00D5260B">
        <w:rPr>
          <w:sz w:val="28"/>
          <w:szCs w:val="28"/>
        </w:rPr>
        <w:t>ст</w:t>
      </w:r>
      <w:r w:rsidR="002B162B">
        <w:rPr>
          <w:sz w:val="28"/>
          <w:szCs w:val="28"/>
        </w:rPr>
        <w:t>ь</w:t>
      </w:r>
      <w:r w:rsidRPr="00D5260B">
        <w:rPr>
          <w:sz w:val="28"/>
          <w:szCs w:val="28"/>
        </w:rPr>
        <w:t xml:space="preserve"> й протоколів випробування </w:t>
      </w:r>
      <w:r w:rsidR="008A088F">
        <w:rPr>
          <w:sz w:val="28"/>
          <w:szCs w:val="28"/>
        </w:rPr>
        <w:t>та/</w:t>
      </w:r>
      <w:r w:rsidRPr="00D5260B">
        <w:rPr>
          <w:sz w:val="28"/>
          <w:szCs w:val="28"/>
        </w:rPr>
        <w:t xml:space="preserve">або паспортів безпеки </w:t>
      </w:r>
      <w:proofErr w:type="spellStart"/>
      <w:r w:rsidRPr="00D5260B">
        <w:rPr>
          <w:sz w:val="28"/>
          <w:szCs w:val="28"/>
        </w:rPr>
        <w:t>сировин</w:t>
      </w:r>
      <w:proofErr w:type="spellEnd"/>
      <w:r w:rsidRPr="00D5260B">
        <w:rPr>
          <w:sz w:val="28"/>
          <w:szCs w:val="28"/>
        </w:rPr>
        <w:t xml:space="preserve"> протягом 5 років. На запит органу державного ринкового нагляду </w:t>
      </w:r>
      <w:proofErr w:type="spellStart"/>
      <w:r w:rsidRPr="00D5260B">
        <w:rPr>
          <w:sz w:val="28"/>
          <w:szCs w:val="28"/>
        </w:rPr>
        <w:t>суб</w:t>
      </w:r>
      <w:proofErr w:type="spellEnd"/>
      <w:r w:rsidR="00781CC5" w:rsidRPr="00781CC5">
        <w:rPr>
          <w:sz w:val="28"/>
          <w:szCs w:val="28"/>
          <w:lang w:val="ru-RU"/>
        </w:rPr>
        <w:t>’</w:t>
      </w:r>
      <w:proofErr w:type="spellStart"/>
      <w:r w:rsidRPr="00D5260B">
        <w:rPr>
          <w:sz w:val="28"/>
          <w:szCs w:val="28"/>
        </w:rPr>
        <w:t>єкти</w:t>
      </w:r>
      <w:proofErr w:type="spellEnd"/>
      <w:r w:rsidRPr="00D5260B">
        <w:rPr>
          <w:sz w:val="28"/>
          <w:szCs w:val="28"/>
        </w:rPr>
        <w:t xml:space="preserve"> господарювання надають йому інформацію та документацію (у паперовій або електронній формі), необхідну для демонстрування відповідності ЛФМ вимогам цього Технічного регламенту. На вимогу зазначеного органу державного ринкового нагляду виробники співпрацюють з ним стосовно будь-яких заходів, які вживаються для усунення ризиків, що становить введена ними в обіг продукція.</w:t>
      </w:r>
    </w:p>
    <w:p w:rsidR="0030115D" w:rsidRPr="00D5260B" w:rsidRDefault="003B7F76" w:rsidP="007116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 xml:space="preserve">Заповнення Декларації </w:t>
      </w:r>
      <w:r w:rsidR="002B162B">
        <w:rPr>
          <w:sz w:val="28"/>
          <w:szCs w:val="28"/>
        </w:rPr>
        <w:t xml:space="preserve">про </w:t>
      </w:r>
      <w:r w:rsidRPr="00D5260B">
        <w:rPr>
          <w:sz w:val="28"/>
          <w:szCs w:val="28"/>
        </w:rPr>
        <w:t>відповідн</w:t>
      </w:r>
      <w:r w:rsidR="002B162B">
        <w:rPr>
          <w:sz w:val="28"/>
          <w:szCs w:val="28"/>
        </w:rPr>
        <w:t>і</w:t>
      </w:r>
      <w:r w:rsidRPr="00D5260B">
        <w:rPr>
          <w:sz w:val="28"/>
          <w:szCs w:val="28"/>
        </w:rPr>
        <w:t>ст</w:t>
      </w:r>
      <w:r w:rsidR="002B162B">
        <w:rPr>
          <w:sz w:val="28"/>
          <w:szCs w:val="28"/>
        </w:rPr>
        <w:t>ь</w:t>
      </w:r>
      <w:r w:rsidRPr="00D5260B">
        <w:rPr>
          <w:sz w:val="28"/>
          <w:szCs w:val="28"/>
        </w:rPr>
        <w:t xml:space="preserve"> не є </w:t>
      </w:r>
      <w:proofErr w:type="spellStart"/>
      <w:r w:rsidRPr="00D5260B">
        <w:rPr>
          <w:sz w:val="28"/>
          <w:szCs w:val="28"/>
        </w:rPr>
        <w:t>обов</w:t>
      </w:r>
      <w:proofErr w:type="spellEnd"/>
      <w:r w:rsidR="002B162B" w:rsidRPr="002B162B">
        <w:rPr>
          <w:sz w:val="28"/>
          <w:szCs w:val="28"/>
          <w:lang w:val="ru-RU"/>
        </w:rPr>
        <w:t>’</w:t>
      </w:r>
      <w:proofErr w:type="spellStart"/>
      <w:r w:rsidRPr="00D5260B">
        <w:rPr>
          <w:sz w:val="28"/>
          <w:szCs w:val="28"/>
        </w:rPr>
        <w:t>язковим</w:t>
      </w:r>
      <w:proofErr w:type="spellEnd"/>
      <w:r w:rsidRPr="00D5260B">
        <w:rPr>
          <w:sz w:val="28"/>
          <w:szCs w:val="28"/>
        </w:rPr>
        <w:t xml:space="preserve"> для наступних водно-дисперсійних ЛФМ: білого кольору, прозорих і напівпрозорих лаків та </w:t>
      </w:r>
      <w:proofErr w:type="spellStart"/>
      <w:r w:rsidRPr="00D5260B">
        <w:rPr>
          <w:sz w:val="28"/>
          <w:szCs w:val="28"/>
        </w:rPr>
        <w:t>лазурей</w:t>
      </w:r>
      <w:proofErr w:type="spellEnd"/>
      <w:r w:rsidRPr="00D5260B">
        <w:rPr>
          <w:sz w:val="28"/>
          <w:szCs w:val="28"/>
        </w:rPr>
        <w:t xml:space="preserve"> й базисних ЛФМ, призначених для тонування на виробництві чи в місцях продажу</w:t>
      </w:r>
      <w:r w:rsidR="008A088F">
        <w:rPr>
          <w:sz w:val="28"/>
          <w:szCs w:val="28"/>
        </w:rPr>
        <w:t>,</w:t>
      </w:r>
      <w:r w:rsidRPr="00D5260B">
        <w:rPr>
          <w:sz w:val="28"/>
          <w:szCs w:val="28"/>
        </w:rPr>
        <w:t xml:space="preserve"> за умови, що вміст свинцю у цій продукції не перевищує граничне значення, встановлене в пункті </w:t>
      </w:r>
      <w:r w:rsidR="008A088F">
        <w:rPr>
          <w:sz w:val="28"/>
          <w:szCs w:val="28"/>
        </w:rPr>
        <w:t>6</w:t>
      </w:r>
      <w:r w:rsidRPr="00D5260B">
        <w:rPr>
          <w:sz w:val="28"/>
          <w:szCs w:val="28"/>
        </w:rPr>
        <w:t xml:space="preserve"> цього Технічного регламенту.</w:t>
      </w:r>
    </w:p>
    <w:p w:rsidR="0030115D" w:rsidRPr="002B162B" w:rsidRDefault="003B7F76" w:rsidP="0071162A">
      <w:pPr>
        <w:ind w:firstLine="567"/>
        <w:jc w:val="both"/>
        <w:rPr>
          <w:sz w:val="28"/>
          <w:szCs w:val="28"/>
        </w:rPr>
      </w:pPr>
      <w:r w:rsidRPr="002B162B">
        <w:rPr>
          <w:sz w:val="28"/>
          <w:szCs w:val="28"/>
        </w:rPr>
        <w:t xml:space="preserve">Основними джерелами свинцю у ЛФМ є неорганічні пігменти на основі хроматів свинцю від жовтого до червоного кольору та свинцеві сикативи – розчини сполук свинцю, що прискорюють висихання фарб, лаків й емалей окиснювального сушіння. Отже, саме </w:t>
      </w:r>
      <w:proofErr w:type="spellStart"/>
      <w:r w:rsidRPr="002B162B">
        <w:rPr>
          <w:sz w:val="28"/>
          <w:szCs w:val="28"/>
        </w:rPr>
        <w:t>органорозчинні</w:t>
      </w:r>
      <w:proofErr w:type="spellEnd"/>
      <w:r w:rsidRPr="002B162B">
        <w:rPr>
          <w:sz w:val="28"/>
          <w:szCs w:val="28"/>
        </w:rPr>
        <w:t xml:space="preserve"> ЛФМ окиснювального сушіння, особливо жовто-оранжевих та червоних кольорів, становлять найбільший ризик щодо вмісту свинцю. Водночас, якщо сполуки свинцю не використовують навмисно як сировин</w:t>
      </w:r>
      <w:bookmarkStart w:id="4" w:name="_GoBack"/>
      <w:bookmarkEnd w:id="4"/>
      <w:r w:rsidRPr="002B162B">
        <w:rPr>
          <w:sz w:val="28"/>
          <w:szCs w:val="28"/>
        </w:rPr>
        <w:t>и, вміст свинцю є низьким і більшість ЛФМ (такі, як водно-дисперсійні фарби білого кольору) не містять свинцю тому, що використання його сполук є недоцільним.</w:t>
      </w:r>
    </w:p>
    <w:p w:rsidR="0030115D" w:rsidRPr="00781CC5" w:rsidRDefault="003B7F76" w:rsidP="0071162A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1CC5">
        <w:rPr>
          <w:sz w:val="28"/>
          <w:szCs w:val="28"/>
        </w:rPr>
        <w:t xml:space="preserve">Забороняється навмисне використання, а також виробництво та імпорт </w:t>
      </w:r>
      <w:proofErr w:type="spellStart"/>
      <w:r w:rsidRPr="00781CC5">
        <w:rPr>
          <w:sz w:val="28"/>
          <w:szCs w:val="28"/>
        </w:rPr>
        <w:t>сировин</w:t>
      </w:r>
      <w:proofErr w:type="spellEnd"/>
      <w:r w:rsidRPr="00781CC5">
        <w:rPr>
          <w:sz w:val="28"/>
          <w:szCs w:val="28"/>
        </w:rPr>
        <w:t xml:space="preserve"> для виробництва ЛФМ з наведеного у пункті 2 цього Технічного регламенту переліку після 12 місяців з </w:t>
      </w:r>
      <w:r w:rsidR="002B162B" w:rsidRPr="00781CC5">
        <w:rPr>
          <w:sz w:val="28"/>
          <w:szCs w:val="28"/>
        </w:rPr>
        <w:t>дня</w:t>
      </w:r>
      <w:r w:rsidRPr="00781CC5">
        <w:rPr>
          <w:sz w:val="28"/>
          <w:szCs w:val="28"/>
        </w:rPr>
        <w:t xml:space="preserve"> набрання чинності цим Технічним регламентом, за виключенням випадків, зазначених у пункті </w:t>
      </w:r>
      <w:r w:rsidR="002B162B" w:rsidRPr="00781CC5">
        <w:rPr>
          <w:sz w:val="28"/>
          <w:szCs w:val="28"/>
        </w:rPr>
        <w:t>8</w:t>
      </w:r>
      <w:r w:rsidRPr="00781CC5">
        <w:rPr>
          <w:sz w:val="28"/>
          <w:szCs w:val="28"/>
        </w:rPr>
        <w:t xml:space="preserve"> цього Технічного регламенту. Постачальники сировини для виробництва ЛФМ зобов’язані надавати виробникам паспорти безпеки з вичерпною інформацією щодо вмісту небезпечних речовин (зокрема, сполук свинцю) і несуть відповідальність згідно </w:t>
      </w:r>
      <w:r w:rsidR="00087C47" w:rsidRPr="00781CC5">
        <w:rPr>
          <w:sz w:val="28"/>
          <w:szCs w:val="28"/>
        </w:rPr>
        <w:t xml:space="preserve">з вимогами </w:t>
      </w:r>
      <w:r w:rsidRPr="00781CC5">
        <w:rPr>
          <w:sz w:val="28"/>
          <w:szCs w:val="28"/>
        </w:rPr>
        <w:t>законодавства у випадку надання недостовірної інформації.</w:t>
      </w:r>
    </w:p>
    <w:p w:rsidR="0030115D" w:rsidRPr="00D5260B" w:rsidRDefault="0030115D">
      <w:pPr>
        <w:ind w:firstLine="709"/>
        <w:jc w:val="both"/>
        <w:rPr>
          <w:sz w:val="28"/>
          <w:szCs w:val="28"/>
        </w:rPr>
      </w:pPr>
    </w:p>
    <w:p w:rsidR="0030115D" w:rsidRPr="008A088F" w:rsidRDefault="003B7F76" w:rsidP="007116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8A088F">
        <w:rPr>
          <w:color w:val="000000"/>
          <w:sz w:val="28"/>
          <w:szCs w:val="28"/>
        </w:rPr>
        <w:t xml:space="preserve">ЛФМ, які у готовому для використання стані </w:t>
      </w:r>
      <w:r w:rsidR="00087C47" w:rsidRPr="008A088F">
        <w:rPr>
          <w:color w:val="000000"/>
          <w:sz w:val="28"/>
          <w:szCs w:val="28"/>
        </w:rPr>
        <w:t>відповідають</w:t>
      </w:r>
      <w:r w:rsidRPr="008A088F">
        <w:rPr>
          <w:color w:val="000000"/>
          <w:sz w:val="28"/>
          <w:szCs w:val="28"/>
        </w:rPr>
        <w:t xml:space="preserve"> вимогам цього Технічного регламенту, вважають</w:t>
      </w:r>
      <w:r w:rsidR="008A088F">
        <w:rPr>
          <w:color w:val="000000"/>
          <w:sz w:val="28"/>
          <w:szCs w:val="28"/>
        </w:rPr>
        <w:t>ся</w:t>
      </w:r>
      <w:r w:rsidRPr="008A088F">
        <w:rPr>
          <w:color w:val="000000"/>
          <w:sz w:val="28"/>
          <w:szCs w:val="28"/>
        </w:rPr>
        <w:t xml:space="preserve"> відповідними, їх обмеження щодо введення в обіг та надання на ринку забороняються.</w:t>
      </w:r>
    </w:p>
    <w:p w:rsidR="0030115D" w:rsidRPr="00D5260B" w:rsidRDefault="0030115D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AA09C8" w:rsidRPr="00AA09C8" w:rsidRDefault="00087C47" w:rsidP="007116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</w:t>
      </w:r>
      <w:r w:rsidRPr="00D5260B">
        <w:rPr>
          <w:color w:val="000000"/>
          <w:sz w:val="28"/>
          <w:szCs w:val="28"/>
        </w:rPr>
        <w:t>’єкти</w:t>
      </w:r>
      <w:r w:rsidR="003B7F76" w:rsidRPr="00D5260B">
        <w:rPr>
          <w:color w:val="000000"/>
          <w:sz w:val="28"/>
          <w:szCs w:val="28"/>
        </w:rPr>
        <w:t xml:space="preserve"> господарювання, продукція</w:t>
      </w:r>
      <w:r w:rsidR="008A088F">
        <w:rPr>
          <w:color w:val="000000"/>
          <w:sz w:val="28"/>
          <w:szCs w:val="28"/>
        </w:rPr>
        <w:t xml:space="preserve"> яких вводиться в обіг</w:t>
      </w:r>
      <w:r w:rsidR="00CF4310">
        <w:rPr>
          <w:color w:val="000000"/>
          <w:sz w:val="28"/>
          <w:szCs w:val="28"/>
        </w:rPr>
        <w:t xml:space="preserve"> і</w:t>
      </w:r>
      <w:r w:rsidR="003B7F76" w:rsidRPr="00D5260B">
        <w:rPr>
          <w:color w:val="000000"/>
          <w:sz w:val="28"/>
          <w:szCs w:val="28"/>
        </w:rPr>
        <w:t xml:space="preserve"> не відповідає вимогам цього Технічного регламенту, вживають обмежувальних (коригувальних) заходів, необхідних для приведення такої продукції у відповідність з вимогами</w:t>
      </w:r>
      <w:r w:rsidR="00CF4310">
        <w:rPr>
          <w:color w:val="000000"/>
          <w:sz w:val="28"/>
          <w:szCs w:val="28"/>
        </w:rPr>
        <w:t xml:space="preserve"> Технічного регламенту</w:t>
      </w:r>
      <w:r w:rsidR="003B7F76" w:rsidRPr="00D5260B">
        <w:rPr>
          <w:color w:val="000000"/>
          <w:sz w:val="28"/>
          <w:szCs w:val="28"/>
        </w:rPr>
        <w:t>, вилучення її з обігу та/або її</w:t>
      </w:r>
    </w:p>
    <w:p w:rsidR="00AA09C8" w:rsidRDefault="00AA09C8" w:rsidP="00AA09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5</w:t>
      </w:r>
    </w:p>
    <w:p w:rsidR="0030115D" w:rsidRPr="00D5260B" w:rsidRDefault="003B7F76" w:rsidP="00AA09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D5260B">
        <w:rPr>
          <w:color w:val="000000"/>
          <w:sz w:val="28"/>
          <w:szCs w:val="28"/>
        </w:rPr>
        <w:t>відкликання. Якщо зазначена продукція становить ризик щодо вмісту свинцю, суб</w:t>
      </w:r>
      <w:r w:rsidR="00781CC5" w:rsidRPr="00781CC5">
        <w:rPr>
          <w:color w:val="000000"/>
          <w:sz w:val="28"/>
          <w:szCs w:val="28"/>
        </w:rPr>
        <w:t>’</w:t>
      </w:r>
      <w:r w:rsidRPr="00D5260B">
        <w:rPr>
          <w:color w:val="000000"/>
          <w:sz w:val="28"/>
          <w:szCs w:val="28"/>
        </w:rPr>
        <w:t xml:space="preserve">єкти господарювання </w:t>
      </w:r>
      <w:r w:rsidR="00CF4310">
        <w:rPr>
          <w:color w:val="000000"/>
          <w:sz w:val="28"/>
          <w:szCs w:val="28"/>
        </w:rPr>
        <w:t>в трьохденний строк</w:t>
      </w:r>
      <w:r w:rsidRPr="00D5260B">
        <w:rPr>
          <w:color w:val="000000"/>
          <w:sz w:val="28"/>
          <w:szCs w:val="28"/>
        </w:rPr>
        <w:t xml:space="preserve"> повідомляють про це відповідному органу державного ринкового нагляду та подають йому детальні відомості, зокрема про невідповідність такої продукції вимогам цього Технічного регламенту та будь-які вжиті обмежувальні (коригувальні) заходи.</w:t>
      </w:r>
    </w:p>
    <w:p w:rsidR="0030115D" w:rsidRDefault="003B7F7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5260B">
        <w:rPr>
          <w:color w:val="000000"/>
          <w:sz w:val="28"/>
          <w:szCs w:val="28"/>
        </w:rPr>
        <w:t>Обмежувальні (коригувальні) заходи в разі неналежного застосування знак</w:t>
      </w:r>
      <w:r w:rsidR="00087C47">
        <w:rPr>
          <w:color w:val="000000"/>
          <w:sz w:val="28"/>
          <w:szCs w:val="28"/>
        </w:rPr>
        <w:t>у</w:t>
      </w:r>
      <w:r w:rsidRPr="00D5260B">
        <w:rPr>
          <w:color w:val="000000"/>
          <w:sz w:val="28"/>
          <w:szCs w:val="28"/>
        </w:rPr>
        <w:t xml:space="preserve"> відповідності технічним регламентам вживаються в установленому законом порядку.</w:t>
      </w:r>
    </w:p>
    <w:p w:rsidR="00087C47" w:rsidRDefault="00087C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087C47" w:rsidRPr="00087C47" w:rsidRDefault="00087C47" w:rsidP="00CD296C">
      <w:pPr>
        <w:pStyle w:val="af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87C47">
        <w:rPr>
          <w:sz w:val="28"/>
          <w:szCs w:val="28"/>
        </w:rPr>
        <w:t xml:space="preserve">Декларації </w:t>
      </w:r>
      <w:r w:rsidR="004117FC">
        <w:rPr>
          <w:sz w:val="28"/>
          <w:szCs w:val="28"/>
        </w:rPr>
        <w:t xml:space="preserve">про </w:t>
      </w:r>
      <w:r w:rsidRPr="00087C47">
        <w:rPr>
          <w:sz w:val="28"/>
          <w:szCs w:val="28"/>
        </w:rPr>
        <w:t>відповідні</w:t>
      </w:r>
      <w:r w:rsidR="004117FC">
        <w:rPr>
          <w:sz w:val="28"/>
          <w:szCs w:val="28"/>
        </w:rPr>
        <w:t>сть</w:t>
      </w:r>
      <w:r w:rsidRPr="00087C47">
        <w:rPr>
          <w:sz w:val="28"/>
          <w:szCs w:val="28"/>
        </w:rPr>
        <w:t xml:space="preserve"> ЛФМ вимогам цього Технічного регламенту</w:t>
      </w:r>
      <w:r>
        <w:rPr>
          <w:sz w:val="28"/>
          <w:szCs w:val="28"/>
        </w:rPr>
        <w:t xml:space="preserve"> (</w:t>
      </w:r>
      <w:r w:rsidR="004117FC">
        <w:rPr>
          <w:sz w:val="28"/>
          <w:szCs w:val="28"/>
        </w:rPr>
        <w:t>Додаток 2</w:t>
      </w:r>
      <w:r>
        <w:rPr>
          <w:sz w:val="28"/>
          <w:szCs w:val="28"/>
        </w:rPr>
        <w:t>)</w:t>
      </w:r>
      <w:r w:rsidRPr="00087C47">
        <w:rPr>
          <w:sz w:val="28"/>
          <w:szCs w:val="28"/>
        </w:rPr>
        <w:t xml:space="preserve"> складаються та надаються суб‘єктами господарювання, відповідальними за надання цієї продукції на ринку, і передаються по ланцюгу постачання продукції.</w:t>
      </w:r>
    </w:p>
    <w:p w:rsidR="00087C47" w:rsidRPr="00D5260B" w:rsidRDefault="00087C47" w:rsidP="00087C4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260B">
        <w:rPr>
          <w:sz w:val="28"/>
          <w:szCs w:val="28"/>
        </w:rPr>
        <w:t>Декларації відповідності складаються на підставі:</w:t>
      </w:r>
    </w:p>
    <w:p w:rsidR="00087C47" w:rsidRPr="00D5260B" w:rsidRDefault="00087C47" w:rsidP="00087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260B">
        <w:rPr>
          <w:color w:val="000000"/>
          <w:sz w:val="28"/>
          <w:szCs w:val="28"/>
        </w:rPr>
        <w:t xml:space="preserve">результатів випробування достатніх зразків першої партії чи серії ЛФМ аналітичним методом у незалежній лабораторії, акредитованій на відповідність вимогам </w:t>
      </w:r>
      <w:r w:rsidRPr="00691F21">
        <w:rPr>
          <w:color w:val="000000"/>
          <w:sz w:val="28"/>
          <w:szCs w:val="28"/>
          <w:shd w:val="clear" w:color="auto" w:fill="FFFFFF" w:themeFill="background1"/>
        </w:rPr>
        <w:t>ISO/IEC 17025</w:t>
      </w:r>
      <w:r w:rsidR="00691F21">
        <w:rPr>
          <w:color w:val="000000"/>
          <w:sz w:val="28"/>
          <w:szCs w:val="28"/>
        </w:rPr>
        <w:t xml:space="preserve"> «Загальні вимоги до компетентності випробувальних та калібрувальних лабораторій»</w:t>
      </w:r>
      <w:r w:rsidRPr="00D5260B">
        <w:rPr>
          <w:color w:val="000000"/>
          <w:sz w:val="28"/>
          <w:szCs w:val="28"/>
        </w:rPr>
        <w:t xml:space="preserve"> однією з сторін Угоди про взаємне визнання Міжнародного Співробітництва з Акредитації Лабораторій (ILAC) чи його визнаних регіональних органів: Міжамериканської асоціації з акредитації (IAAC), Європейської асоціації з акредитації (EA), Азіатсько-Тихоокеанської асоціації з акредитації (APLAC);</w:t>
      </w:r>
    </w:p>
    <w:p w:rsidR="00087C47" w:rsidRPr="00DA14B5" w:rsidRDefault="00087C47" w:rsidP="00DA14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5260B">
        <w:rPr>
          <w:color w:val="000000"/>
          <w:sz w:val="28"/>
          <w:szCs w:val="28"/>
        </w:rPr>
        <w:t xml:space="preserve">або паспортів безпеки на всі складники ЛФМ (за виключенням </w:t>
      </w:r>
      <w:proofErr w:type="spellStart"/>
      <w:r w:rsidRPr="00D5260B">
        <w:rPr>
          <w:color w:val="000000"/>
          <w:sz w:val="28"/>
          <w:szCs w:val="28"/>
        </w:rPr>
        <w:t>розбавлювачів</w:t>
      </w:r>
      <w:proofErr w:type="spellEnd"/>
      <w:r w:rsidRPr="00D5260B">
        <w:rPr>
          <w:color w:val="000000"/>
          <w:sz w:val="28"/>
          <w:szCs w:val="28"/>
        </w:rPr>
        <w:t xml:space="preserve"> і розчинників), які не повинні містити у складі сполуки свинцю у концентрації більше 90 </w:t>
      </w:r>
      <w:proofErr w:type="spellStart"/>
      <w:r w:rsidRPr="00D5260B">
        <w:rPr>
          <w:color w:val="000000"/>
          <w:sz w:val="28"/>
          <w:szCs w:val="28"/>
        </w:rPr>
        <w:t>ppm</w:t>
      </w:r>
      <w:proofErr w:type="spellEnd"/>
      <w:r w:rsidRPr="00D5260B">
        <w:rPr>
          <w:color w:val="000000"/>
          <w:sz w:val="28"/>
          <w:szCs w:val="28"/>
        </w:rPr>
        <w:t xml:space="preserve"> і повинні відповідати вимогам пункту 9 цього Технічного регламенту.</w:t>
      </w:r>
    </w:p>
    <w:p w:rsidR="00087C47" w:rsidRPr="00087C47" w:rsidRDefault="00087C47" w:rsidP="00087C47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428"/>
        <w:jc w:val="both"/>
        <w:rPr>
          <w:color w:val="000000"/>
          <w:sz w:val="28"/>
          <w:szCs w:val="28"/>
        </w:rPr>
      </w:pPr>
    </w:p>
    <w:p w:rsidR="0030115D" w:rsidRPr="00D5260B" w:rsidRDefault="0030115D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5260B" w:rsidRPr="00D5260B" w:rsidRDefault="00D5260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5260B" w:rsidRPr="00D5260B" w:rsidRDefault="00D5260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5260B" w:rsidRPr="00D5260B" w:rsidRDefault="00D5260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5260B" w:rsidRPr="00D5260B" w:rsidRDefault="00D5260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5260B" w:rsidRPr="00D5260B" w:rsidRDefault="00D5260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5260B" w:rsidRPr="00D5260B" w:rsidRDefault="00D5260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5260B" w:rsidRPr="00D5260B" w:rsidRDefault="00D5260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5260B" w:rsidRPr="00D5260B" w:rsidRDefault="00D5260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5260B" w:rsidRPr="00D5260B" w:rsidRDefault="00D5260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5260B" w:rsidRPr="00D5260B" w:rsidRDefault="00D5260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5260B" w:rsidRDefault="00D5260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087C47" w:rsidRDefault="00087C47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4117FC" w:rsidRDefault="004117FC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4117FC" w:rsidRDefault="004117FC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4117FC" w:rsidRDefault="004117FC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4117FC" w:rsidRDefault="004117FC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</w:p>
    <w:p w:rsidR="00DA14B5" w:rsidRDefault="00DA14B5" w:rsidP="00AA0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7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36"/>
        <w:gridCol w:w="4253"/>
      </w:tblGrid>
      <w:tr w:rsidR="0030115D" w:rsidRPr="00D5260B">
        <w:tc>
          <w:tcPr>
            <w:tcW w:w="5636" w:type="dxa"/>
          </w:tcPr>
          <w:p w:rsidR="00DA14B5" w:rsidRDefault="00DA14B5">
            <w:pPr>
              <w:rPr>
                <w:sz w:val="28"/>
                <w:szCs w:val="28"/>
              </w:rPr>
            </w:pPr>
          </w:p>
          <w:p w:rsidR="00DA14B5" w:rsidRPr="00D5260B" w:rsidRDefault="00DA14B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Додаток 1</w:t>
            </w:r>
          </w:p>
          <w:p w:rsidR="0030115D" w:rsidRPr="00D5260B" w:rsidRDefault="003B7F76">
            <w:pPr>
              <w:rPr>
                <w:sz w:val="28"/>
                <w:szCs w:val="28"/>
              </w:rPr>
            </w:pPr>
            <w:r w:rsidRPr="00D5260B">
              <w:rPr>
                <w:sz w:val="28"/>
                <w:szCs w:val="28"/>
              </w:rPr>
              <w:t>до Технічного регламенту щодо обмеження вмісту свинцю у лакофарбових матеріалах</w:t>
            </w:r>
          </w:p>
        </w:tc>
      </w:tr>
    </w:tbl>
    <w:p w:rsidR="0030115D" w:rsidRPr="00D5260B" w:rsidRDefault="0030115D">
      <w:pPr>
        <w:ind w:firstLine="709"/>
        <w:rPr>
          <w:sz w:val="28"/>
          <w:szCs w:val="28"/>
        </w:rPr>
      </w:pPr>
    </w:p>
    <w:p w:rsidR="0030115D" w:rsidRPr="00D5260B" w:rsidRDefault="003B7F76">
      <w:pPr>
        <w:jc w:val="center"/>
        <w:rPr>
          <w:sz w:val="28"/>
          <w:szCs w:val="28"/>
        </w:rPr>
      </w:pPr>
      <w:r w:rsidRPr="00D5260B">
        <w:rPr>
          <w:sz w:val="28"/>
          <w:szCs w:val="28"/>
        </w:rPr>
        <w:t>СТАНДАРТНІ ПРОЦЕДУРИ ВІДБИРАННЯ ТА ГОТУВАННЯ ПРОБ ЛФМ</w:t>
      </w:r>
    </w:p>
    <w:p w:rsidR="0030115D" w:rsidRPr="00D5260B" w:rsidRDefault="0030115D">
      <w:pPr>
        <w:rPr>
          <w:sz w:val="28"/>
          <w:szCs w:val="28"/>
        </w:rPr>
      </w:pPr>
    </w:p>
    <w:tbl>
      <w:tblPr>
        <w:tblStyle w:val="a8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3"/>
        <w:gridCol w:w="6946"/>
      </w:tblGrid>
      <w:tr w:rsidR="0030115D" w:rsidRPr="00D5260B">
        <w:tc>
          <w:tcPr>
            <w:tcW w:w="294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ДСТУ ISO 15528:2015</w:t>
            </w:r>
          </w:p>
        </w:tc>
        <w:tc>
          <w:tcPr>
            <w:tcW w:w="6946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Фарби, лаки та сировина для фарб і лаків. Відбирання проб (ISO 15528:2013, IDT)</w:t>
            </w:r>
          </w:p>
        </w:tc>
      </w:tr>
      <w:tr w:rsidR="0030115D" w:rsidRPr="00D5260B">
        <w:tc>
          <w:tcPr>
            <w:tcW w:w="294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ДСТУ ISO 1513:2014</w:t>
            </w:r>
          </w:p>
        </w:tc>
        <w:tc>
          <w:tcPr>
            <w:tcW w:w="6946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Фарби та лаки. Перевіряння та готування проб для випробування (ISO 1513:2010, IDT)</w:t>
            </w:r>
          </w:p>
        </w:tc>
      </w:tr>
      <w:tr w:rsidR="0030115D" w:rsidRPr="00D5260B">
        <w:tc>
          <w:tcPr>
            <w:tcW w:w="294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ДСТУ ISO 1514:2013</w:t>
            </w:r>
          </w:p>
        </w:tc>
        <w:tc>
          <w:tcPr>
            <w:tcW w:w="6946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Фарби та лаки. Стандартні пластини для випробування (ISO 1514:2004, IDT)</w:t>
            </w:r>
          </w:p>
        </w:tc>
      </w:tr>
      <w:tr w:rsidR="0030115D" w:rsidRPr="00D5260B">
        <w:tc>
          <w:tcPr>
            <w:tcW w:w="294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ДСТУ ISO 3251:2015</w:t>
            </w:r>
          </w:p>
        </w:tc>
        <w:tc>
          <w:tcPr>
            <w:tcW w:w="6946" w:type="dxa"/>
          </w:tcPr>
          <w:p w:rsidR="0030115D" w:rsidRPr="00D5260B" w:rsidRDefault="003B7F76" w:rsidP="00CD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Фарби, лаки та пластмаси. Визначення вмісту нелетких речовин (ISO 3251:2008, IDT)</w:t>
            </w:r>
          </w:p>
        </w:tc>
      </w:tr>
    </w:tbl>
    <w:p w:rsidR="0030115D" w:rsidRPr="00D5260B" w:rsidRDefault="0030115D">
      <w:pPr>
        <w:rPr>
          <w:sz w:val="28"/>
          <w:szCs w:val="28"/>
        </w:rPr>
      </w:pPr>
    </w:p>
    <w:p w:rsidR="0030115D" w:rsidRPr="00D5260B" w:rsidRDefault="003B7F76">
      <w:pPr>
        <w:ind w:firstLine="709"/>
        <w:rPr>
          <w:sz w:val="28"/>
          <w:szCs w:val="28"/>
        </w:rPr>
      </w:pPr>
      <w:r w:rsidRPr="00D5260B">
        <w:rPr>
          <w:sz w:val="28"/>
          <w:szCs w:val="28"/>
        </w:rPr>
        <w:t>АНАЛІТИЧНІ МЕТОДИ ВИЗНАЧЕННЯ ВМІСТУ СВИНЦЮ</w:t>
      </w:r>
    </w:p>
    <w:p w:rsidR="0030115D" w:rsidRPr="00D5260B" w:rsidRDefault="0030115D">
      <w:pPr>
        <w:rPr>
          <w:sz w:val="28"/>
          <w:szCs w:val="28"/>
        </w:rPr>
      </w:pPr>
    </w:p>
    <w:tbl>
      <w:tblPr>
        <w:tblStyle w:val="a9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35"/>
        <w:gridCol w:w="7654"/>
      </w:tblGrid>
      <w:tr w:rsidR="0030115D" w:rsidRPr="00D5260B">
        <w:tc>
          <w:tcPr>
            <w:tcW w:w="2235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ISO 6503:1984</w:t>
            </w:r>
          </w:p>
        </w:tc>
        <w:tc>
          <w:tcPr>
            <w:tcW w:w="7654" w:type="dxa"/>
          </w:tcPr>
          <w:p w:rsidR="0030115D" w:rsidRPr="00D5260B" w:rsidRDefault="003B7F76" w:rsidP="00DA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 xml:space="preserve">Фарби та лаки. Визначення загального вмісту свинцю. Метод атомно-абсорбційної спектрометрії </w:t>
            </w:r>
            <w:proofErr w:type="spellStart"/>
            <w:r w:rsidRPr="00D5260B">
              <w:rPr>
                <w:color w:val="000000"/>
                <w:sz w:val="28"/>
                <w:szCs w:val="28"/>
              </w:rPr>
              <w:t>полум</w:t>
            </w:r>
            <w:proofErr w:type="spellEnd"/>
            <w:r w:rsidR="00DA14B5" w:rsidRPr="00DA14B5">
              <w:rPr>
                <w:color w:val="000000"/>
                <w:sz w:val="28"/>
                <w:szCs w:val="28"/>
                <w:lang w:val="ru-RU"/>
              </w:rPr>
              <w:t>’</w:t>
            </w:r>
            <w:r w:rsidRPr="00D5260B">
              <w:rPr>
                <w:color w:val="000000"/>
                <w:sz w:val="28"/>
                <w:szCs w:val="28"/>
              </w:rPr>
              <w:t>я</w:t>
            </w:r>
          </w:p>
        </w:tc>
      </w:tr>
      <w:tr w:rsidR="0030115D" w:rsidRPr="00D5260B">
        <w:tc>
          <w:tcPr>
            <w:tcW w:w="2235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ASTM E1613-12</w:t>
            </w:r>
          </w:p>
        </w:tc>
        <w:tc>
          <w:tcPr>
            <w:tcW w:w="7654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Стандартний метод визначення свинцю методами атомно-емісійної спектрометрії з індукційною плазмою (ICP-AES), атомно-абсорбційної спектрометрії полум‘я (FAAS), чи атомно-абсорбційної спектрометрії з графітовим атомізатором</w:t>
            </w:r>
          </w:p>
        </w:tc>
      </w:tr>
    </w:tbl>
    <w:p w:rsidR="0030115D" w:rsidRPr="00D5260B" w:rsidRDefault="003B7F76">
      <w:pPr>
        <w:spacing w:before="120"/>
        <w:ind w:firstLine="709"/>
        <w:jc w:val="both"/>
        <w:rPr>
          <w:sz w:val="24"/>
          <w:szCs w:val="24"/>
        </w:rPr>
      </w:pPr>
      <w:r w:rsidRPr="00D5260B">
        <w:rPr>
          <w:sz w:val="24"/>
          <w:szCs w:val="24"/>
        </w:rPr>
        <w:t>ПРИМІТКА 1. Можливе визначення вмісту свинцю як безпосередньо у плівці покриття, так і перерахунок шляхом ділення його вмісту у рідкому ЛФМ на вміст нелетких речовин, виражений у долях одиниці.</w:t>
      </w:r>
    </w:p>
    <w:p w:rsidR="0030115D" w:rsidRPr="00D5260B" w:rsidRDefault="003B7F76">
      <w:pPr>
        <w:ind w:firstLine="708"/>
        <w:jc w:val="both"/>
        <w:rPr>
          <w:sz w:val="24"/>
          <w:szCs w:val="24"/>
        </w:rPr>
      </w:pPr>
      <w:r w:rsidRPr="00D5260B">
        <w:rPr>
          <w:sz w:val="24"/>
          <w:szCs w:val="24"/>
        </w:rPr>
        <w:t xml:space="preserve">ПРИМІТКА 2. </w:t>
      </w:r>
      <w:r w:rsidRPr="00AA09C8">
        <w:rPr>
          <w:sz w:val="24"/>
          <w:szCs w:val="24"/>
        </w:rPr>
        <w:t>ISO 6503</w:t>
      </w:r>
      <w:r w:rsidRPr="00D5260B">
        <w:rPr>
          <w:sz w:val="24"/>
          <w:szCs w:val="24"/>
        </w:rPr>
        <w:t xml:space="preserve"> придатний для визначення вмісту свинцю вище 100 </w:t>
      </w:r>
      <w:proofErr w:type="spellStart"/>
      <w:r w:rsidRPr="00D5260B">
        <w:rPr>
          <w:sz w:val="24"/>
          <w:szCs w:val="24"/>
        </w:rPr>
        <w:t>ppm</w:t>
      </w:r>
      <w:proofErr w:type="spellEnd"/>
      <w:r w:rsidRPr="00D5260B">
        <w:rPr>
          <w:sz w:val="24"/>
          <w:szCs w:val="24"/>
        </w:rPr>
        <w:t>.</w:t>
      </w:r>
    </w:p>
    <w:p w:rsidR="0030115D" w:rsidRPr="00D5260B" w:rsidRDefault="003B7F76">
      <w:pPr>
        <w:ind w:firstLine="708"/>
        <w:jc w:val="both"/>
        <w:rPr>
          <w:sz w:val="24"/>
          <w:szCs w:val="24"/>
        </w:rPr>
      </w:pPr>
      <w:r w:rsidRPr="00D5260B">
        <w:rPr>
          <w:sz w:val="24"/>
          <w:szCs w:val="24"/>
        </w:rPr>
        <w:t xml:space="preserve">ПРИМІТКА 3. Аналітичні методи є руйнівними для покриття, потребують застосування коштовного обладнання й високої кваліфікації персоналу, а також використання сполук свинцю для калібрування. Тому з метою попереднього неруйнівного інспектування рекомендується застосовувати чутливий, хоча й недостатньо точний для арбітражних цілей експрес-метод </w:t>
      </w:r>
      <w:proofErr w:type="spellStart"/>
      <w:r w:rsidRPr="00D5260B">
        <w:rPr>
          <w:sz w:val="24"/>
          <w:szCs w:val="24"/>
        </w:rPr>
        <w:t>рентгенофлуоресцентного</w:t>
      </w:r>
      <w:proofErr w:type="spellEnd"/>
      <w:r w:rsidRPr="00D5260B">
        <w:rPr>
          <w:sz w:val="24"/>
          <w:szCs w:val="24"/>
        </w:rPr>
        <w:t xml:space="preserve"> аналізу (РФА, XRF) за допомогою доступних портативних приладів. У випадку виявлення свинцю цим методом, доцільним є подальше випробування цього ЛФМ у акредитованій випробувальній лабораторії аналітичними методами з метою визначення його відповідності вимогам цього Технічного регламенту.</w:t>
      </w:r>
    </w:p>
    <w:p w:rsidR="0030115D" w:rsidRPr="00D5260B" w:rsidRDefault="0030115D">
      <w:pPr>
        <w:rPr>
          <w:sz w:val="28"/>
          <w:szCs w:val="28"/>
        </w:rPr>
      </w:pPr>
    </w:p>
    <w:p w:rsidR="0030115D" w:rsidRDefault="0030115D" w:rsidP="00D5260B">
      <w:pPr>
        <w:ind w:firstLine="567"/>
        <w:jc w:val="both"/>
        <w:rPr>
          <w:sz w:val="28"/>
          <w:szCs w:val="28"/>
        </w:rPr>
      </w:pPr>
    </w:p>
    <w:p w:rsidR="00087C47" w:rsidRDefault="00087C47" w:rsidP="00D5260B">
      <w:pPr>
        <w:ind w:firstLine="567"/>
        <w:jc w:val="both"/>
        <w:rPr>
          <w:sz w:val="28"/>
          <w:szCs w:val="28"/>
        </w:rPr>
      </w:pPr>
    </w:p>
    <w:p w:rsidR="00087C47" w:rsidRDefault="00087C47" w:rsidP="00D5260B">
      <w:pPr>
        <w:ind w:firstLine="567"/>
        <w:jc w:val="both"/>
        <w:rPr>
          <w:sz w:val="28"/>
          <w:szCs w:val="28"/>
        </w:rPr>
      </w:pPr>
    </w:p>
    <w:p w:rsidR="00087C47" w:rsidRDefault="00087C47" w:rsidP="00D5260B">
      <w:pPr>
        <w:ind w:firstLine="567"/>
        <w:jc w:val="both"/>
        <w:rPr>
          <w:sz w:val="28"/>
          <w:szCs w:val="28"/>
        </w:rPr>
      </w:pPr>
    </w:p>
    <w:p w:rsidR="00087C47" w:rsidRPr="00D5260B" w:rsidRDefault="00087C47" w:rsidP="00D5260B">
      <w:pPr>
        <w:ind w:firstLine="567"/>
        <w:jc w:val="both"/>
        <w:rPr>
          <w:sz w:val="28"/>
          <w:szCs w:val="28"/>
        </w:rPr>
      </w:pPr>
    </w:p>
    <w:p w:rsidR="00DA14B5" w:rsidRDefault="00DA14B5">
      <w:r>
        <w:br w:type="page"/>
      </w:r>
    </w:p>
    <w:tbl>
      <w:tblPr>
        <w:tblStyle w:val="aa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36"/>
        <w:gridCol w:w="4253"/>
      </w:tblGrid>
      <w:tr w:rsidR="0030115D" w:rsidRPr="00D5260B">
        <w:tc>
          <w:tcPr>
            <w:tcW w:w="5636" w:type="dxa"/>
          </w:tcPr>
          <w:p w:rsidR="0030115D" w:rsidRPr="00D5260B" w:rsidRDefault="0030115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0115D" w:rsidRPr="00D5260B" w:rsidRDefault="003B7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5260B">
              <w:rPr>
                <w:color w:val="000000"/>
                <w:sz w:val="28"/>
                <w:szCs w:val="28"/>
              </w:rPr>
              <w:t>Додаток 2</w:t>
            </w:r>
          </w:p>
          <w:p w:rsidR="0030115D" w:rsidRPr="00D5260B" w:rsidRDefault="003B7F76">
            <w:pPr>
              <w:rPr>
                <w:sz w:val="28"/>
                <w:szCs w:val="28"/>
              </w:rPr>
            </w:pPr>
            <w:r w:rsidRPr="00D5260B">
              <w:rPr>
                <w:sz w:val="28"/>
                <w:szCs w:val="28"/>
              </w:rPr>
              <w:t>до Технічного регламенту щодо обмеження вмісту свинцю у лакофарбових матеріалах</w:t>
            </w:r>
          </w:p>
        </w:tc>
      </w:tr>
    </w:tbl>
    <w:p w:rsidR="0030115D" w:rsidRPr="00D5260B" w:rsidRDefault="0030115D">
      <w:pPr>
        <w:rPr>
          <w:sz w:val="28"/>
          <w:szCs w:val="28"/>
        </w:rPr>
      </w:pPr>
    </w:p>
    <w:p w:rsidR="004117FC" w:rsidRPr="008D7F71" w:rsidRDefault="004117FC" w:rsidP="004117FC">
      <w:pPr>
        <w:keepNext/>
        <w:keepLines/>
        <w:spacing w:before="240"/>
        <w:jc w:val="center"/>
        <w:rPr>
          <w:b/>
          <w:sz w:val="28"/>
          <w:szCs w:val="28"/>
          <w:lang w:eastAsia="zh-CN"/>
        </w:rPr>
      </w:pPr>
      <w:r w:rsidRPr="008D7F71">
        <w:rPr>
          <w:b/>
          <w:sz w:val="28"/>
          <w:szCs w:val="28"/>
          <w:lang w:eastAsia="zh-CN"/>
        </w:rPr>
        <w:t xml:space="preserve">ДЕКЛАРАЦІЯ </w:t>
      </w:r>
    </w:p>
    <w:p w:rsidR="004117FC" w:rsidRPr="008D7F71" w:rsidRDefault="004117FC" w:rsidP="004117FC">
      <w:pPr>
        <w:keepNext/>
        <w:keepLines/>
        <w:spacing w:after="240"/>
        <w:jc w:val="center"/>
        <w:rPr>
          <w:b/>
          <w:sz w:val="28"/>
          <w:szCs w:val="28"/>
          <w:lang w:eastAsia="zh-CN"/>
        </w:rPr>
      </w:pPr>
      <w:r w:rsidRPr="008D7F71">
        <w:rPr>
          <w:b/>
          <w:sz w:val="28"/>
          <w:szCs w:val="28"/>
          <w:lang w:eastAsia="zh-CN"/>
        </w:rPr>
        <w:t>про відповідність</w:t>
      </w:r>
    </w:p>
    <w:p w:rsidR="004117FC" w:rsidRPr="008D7F71" w:rsidRDefault="004117FC" w:rsidP="004117FC">
      <w:pPr>
        <w:spacing w:before="120"/>
        <w:jc w:val="both"/>
        <w:rPr>
          <w:lang w:eastAsia="zh-CN"/>
        </w:rPr>
      </w:pPr>
      <w:r w:rsidRPr="008D7F71">
        <w:rPr>
          <w:sz w:val="28"/>
          <w:szCs w:val="28"/>
          <w:lang w:eastAsia="zh-CN"/>
        </w:rPr>
        <w:t>____________________________________________________________________</w:t>
      </w:r>
    </w:p>
    <w:p w:rsidR="004117FC" w:rsidRPr="008D7F71" w:rsidRDefault="004117FC" w:rsidP="004117FC">
      <w:pPr>
        <w:jc w:val="center"/>
        <w:rPr>
          <w:sz w:val="28"/>
          <w:szCs w:val="28"/>
          <w:lang w:eastAsia="zh-CN"/>
        </w:rPr>
      </w:pPr>
      <w:r w:rsidRPr="008D7F71">
        <w:rPr>
          <w:lang w:eastAsia="zh-CN"/>
        </w:rPr>
        <w:t>(назва Технічного регламенту)</w:t>
      </w:r>
    </w:p>
    <w:p w:rsidR="004117FC" w:rsidRPr="008D7F71" w:rsidRDefault="004117FC" w:rsidP="004117FC">
      <w:pPr>
        <w:spacing w:before="120"/>
        <w:jc w:val="both"/>
        <w:rPr>
          <w:lang w:eastAsia="zh-CN"/>
        </w:rPr>
      </w:pPr>
      <w:r w:rsidRPr="008D7F71">
        <w:rPr>
          <w:sz w:val="28"/>
          <w:szCs w:val="28"/>
          <w:lang w:eastAsia="zh-CN"/>
        </w:rPr>
        <w:t>____________________________________________________________________</w:t>
      </w:r>
    </w:p>
    <w:p w:rsidR="004117FC" w:rsidRPr="008D7F71" w:rsidRDefault="004117FC" w:rsidP="004117FC">
      <w:pPr>
        <w:jc w:val="center"/>
        <w:rPr>
          <w:lang w:eastAsia="zh-CN"/>
        </w:rPr>
      </w:pPr>
      <w:r w:rsidRPr="008D7F71">
        <w:rPr>
          <w:lang w:eastAsia="zh-CN"/>
        </w:rPr>
        <w:t>повне найменування суб’єкта господарювання (виробника або</w:t>
      </w:r>
    </w:p>
    <w:p w:rsidR="004117FC" w:rsidRPr="008D7F71" w:rsidRDefault="004117FC" w:rsidP="004117FC">
      <w:pPr>
        <w:jc w:val="both"/>
        <w:rPr>
          <w:strike/>
          <w:sz w:val="28"/>
          <w:szCs w:val="28"/>
          <w:lang w:eastAsia="zh-CN"/>
        </w:rPr>
      </w:pPr>
      <w:r w:rsidRPr="008D7F71">
        <w:rPr>
          <w:lang w:eastAsia="zh-CN"/>
        </w:rPr>
        <w:t>_______________________________________________________________________________________</w:t>
      </w:r>
    </w:p>
    <w:p w:rsidR="004117FC" w:rsidRPr="008D7F71" w:rsidRDefault="004117FC" w:rsidP="004117FC">
      <w:pPr>
        <w:jc w:val="center"/>
        <w:rPr>
          <w:strike/>
          <w:lang w:eastAsia="zh-CN"/>
        </w:rPr>
      </w:pPr>
      <w:r w:rsidRPr="008D7F71">
        <w:rPr>
          <w:lang w:eastAsia="zh-CN"/>
        </w:rPr>
        <w:t xml:space="preserve">уповноваженого представника, який декларує відповідність </w:t>
      </w:r>
      <w:r>
        <w:rPr>
          <w:lang w:eastAsia="zh-CN"/>
        </w:rPr>
        <w:t>ЛФМ</w:t>
      </w:r>
      <w:r w:rsidRPr="008D7F71">
        <w:rPr>
          <w:lang w:eastAsia="zh-CN"/>
        </w:rPr>
        <w:t>)</w:t>
      </w:r>
    </w:p>
    <w:p w:rsidR="004117FC" w:rsidRPr="008D7F71" w:rsidRDefault="004117FC" w:rsidP="004117FC">
      <w:pPr>
        <w:spacing w:before="120"/>
        <w:jc w:val="both"/>
        <w:rPr>
          <w:lang w:eastAsia="zh-CN"/>
        </w:rPr>
      </w:pPr>
      <w:r w:rsidRPr="008D7F71">
        <w:rPr>
          <w:sz w:val="28"/>
          <w:szCs w:val="28"/>
          <w:lang w:eastAsia="zh-CN"/>
        </w:rPr>
        <w:t>підтверджує, що _____________________________________________________,</w:t>
      </w:r>
    </w:p>
    <w:p w:rsidR="004117FC" w:rsidRPr="008D7F71" w:rsidRDefault="004117FC" w:rsidP="004117FC">
      <w:pPr>
        <w:ind w:left="708" w:firstLine="708"/>
        <w:jc w:val="center"/>
        <w:rPr>
          <w:sz w:val="28"/>
          <w:szCs w:val="28"/>
          <w:lang w:eastAsia="zh-CN"/>
        </w:rPr>
      </w:pPr>
      <w:r w:rsidRPr="008D7F71">
        <w:rPr>
          <w:lang w:eastAsia="zh-CN"/>
        </w:rPr>
        <w:t xml:space="preserve">(позначення </w:t>
      </w:r>
      <w:r>
        <w:rPr>
          <w:lang w:eastAsia="zh-CN"/>
        </w:rPr>
        <w:t>ЛФМ</w:t>
      </w:r>
      <w:r w:rsidRPr="008D7F71">
        <w:rPr>
          <w:lang w:eastAsia="zh-CN"/>
        </w:rPr>
        <w:t>)</w:t>
      </w:r>
    </w:p>
    <w:p w:rsidR="004117FC" w:rsidRPr="008D7F71" w:rsidRDefault="004117FC" w:rsidP="004117FC">
      <w:pPr>
        <w:spacing w:before="120"/>
        <w:jc w:val="both"/>
        <w:rPr>
          <w:sz w:val="28"/>
          <w:szCs w:val="28"/>
          <w:lang w:val="ru-RU" w:eastAsia="zh-CN"/>
        </w:rPr>
      </w:pPr>
      <w:r w:rsidRPr="008D7F71">
        <w:rPr>
          <w:sz w:val="28"/>
          <w:szCs w:val="28"/>
          <w:lang w:eastAsia="zh-CN"/>
        </w:rPr>
        <w:t>що виготовляється(</w:t>
      </w:r>
      <w:proofErr w:type="spellStart"/>
      <w:r w:rsidRPr="008D7F71">
        <w:rPr>
          <w:sz w:val="28"/>
          <w:szCs w:val="28"/>
          <w:lang w:eastAsia="zh-CN"/>
        </w:rPr>
        <w:t>ено</w:t>
      </w:r>
      <w:proofErr w:type="spellEnd"/>
      <w:r w:rsidRPr="008D7F71">
        <w:rPr>
          <w:sz w:val="28"/>
          <w:szCs w:val="28"/>
          <w:lang w:eastAsia="zh-CN"/>
        </w:rPr>
        <w:t>) за _____________________________________________,</w:t>
      </w:r>
    </w:p>
    <w:p w:rsidR="004117FC" w:rsidRPr="008D7F71" w:rsidRDefault="004117FC" w:rsidP="004117FC">
      <w:pPr>
        <w:ind w:left="2124" w:firstLine="708"/>
        <w:jc w:val="center"/>
        <w:rPr>
          <w:sz w:val="28"/>
          <w:szCs w:val="28"/>
          <w:lang w:eastAsia="zh-CN"/>
        </w:rPr>
      </w:pPr>
      <w:r w:rsidRPr="008D7F71">
        <w:rPr>
          <w:sz w:val="28"/>
          <w:szCs w:val="28"/>
          <w:lang w:val="ru-RU" w:eastAsia="zh-CN"/>
        </w:rPr>
        <w:t xml:space="preserve"> </w:t>
      </w:r>
      <w:r w:rsidRPr="008D7F71">
        <w:rPr>
          <w:lang w:eastAsia="zh-CN"/>
        </w:rPr>
        <w:t>(позначення та назва нормативного документа)</w:t>
      </w:r>
    </w:p>
    <w:p w:rsidR="004117FC" w:rsidRPr="008D7F71" w:rsidRDefault="004117FC" w:rsidP="004117FC">
      <w:pPr>
        <w:spacing w:before="120"/>
        <w:jc w:val="both"/>
        <w:rPr>
          <w:sz w:val="28"/>
          <w:szCs w:val="28"/>
          <w:lang w:eastAsia="zh-CN"/>
        </w:rPr>
      </w:pPr>
      <w:r w:rsidRPr="008D7F71">
        <w:rPr>
          <w:rFonts w:cs="Antiqua"/>
          <w:sz w:val="28"/>
          <w:szCs w:val="28"/>
          <w:shd w:val="clear" w:color="auto" w:fill="FFFFFF"/>
          <w:lang w:eastAsia="zh-CN"/>
        </w:rPr>
        <w:t>Документ про відповідність</w:t>
      </w:r>
      <w:r w:rsidRPr="008D7F71">
        <w:rPr>
          <w:rFonts w:cs="Antiqua"/>
          <w:sz w:val="28"/>
          <w:szCs w:val="28"/>
          <w:lang w:eastAsia="zh-CN"/>
        </w:rPr>
        <w:t xml:space="preserve"> </w:t>
      </w:r>
      <w:r w:rsidRPr="008D7F71">
        <w:rPr>
          <w:sz w:val="28"/>
          <w:szCs w:val="28"/>
          <w:lang w:eastAsia="zh-CN"/>
        </w:rPr>
        <w:t>___________________________________________</w:t>
      </w:r>
    </w:p>
    <w:p w:rsidR="004117FC" w:rsidRPr="008D7F71" w:rsidRDefault="004117FC" w:rsidP="004117FC">
      <w:pPr>
        <w:ind w:left="2124" w:firstLine="708"/>
        <w:jc w:val="center"/>
        <w:rPr>
          <w:sz w:val="28"/>
          <w:szCs w:val="28"/>
          <w:lang w:eastAsia="zh-CN"/>
        </w:rPr>
      </w:pPr>
      <w:r w:rsidRPr="008D7F71">
        <w:rPr>
          <w:sz w:val="28"/>
          <w:szCs w:val="28"/>
          <w:lang w:eastAsia="zh-CN"/>
        </w:rPr>
        <w:t xml:space="preserve"> </w:t>
      </w:r>
      <w:r w:rsidRPr="008D7F71">
        <w:rPr>
          <w:lang w:eastAsia="zh-CN"/>
        </w:rPr>
        <w:t xml:space="preserve">(назва та номер документа про відповідність, дата його </w:t>
      </w:r>
    </w:p>
    <w:p w:rsidR="004117FC" w:rsidRPr="008D7F71" w:rsidRDefault="004117FC" w:rsidP="004117FC">
      <w:pPr>
        <w:spacing w:before="120"/>
        <w:jc w:val="both"/>
        <w:rPr>
          <w:lang w:eastAsia="zh-CN"/>
        </w:rPr>
      </w:pPr>
      <w:r w:rsidRPr="008D7F71">
        <w:rPr>
          <w:sz w:val="28"/>
          <w:szCs w:val="28"/>
          <w:lang w:eastAsia="zh-CN"/>
        </w:rPr>
        <w:t>____________________________________________________________________</w:t>
      </w:r>
    </w:p>
    <w:p w:rsidR="004117FC" w:rsidRPr="008D7F71" w:rsidRDefault="004117FC" w:rsidP="004117FC">
      <w:pPr>
        <w:jc w:val="center"/>
        <w:rPr>
          <w:sz w:val="28"/>
          <w:szCs w:val="28"/>
          <w:lang w:eastAsia="zh-CN"/>
        </w:rPr>
      </w:pPr>
      <w:r w:rsidRPr="008D7F71">
        <w:rPr>
          <w:lang w:eastAsia="zh-CN"/>
        </w:rPr>
        <w:t>реєстрації, строк дії, назва та місцезнаходження призначеного органу з оцінки відповідності)</w:t>
      </w:r>
    </w:p>
    <w:p w:rsidR="004117FC" w:rsidRPr="008D7F71" w:rsidRDefault="004117FC" w:rsidP="004117FC">
      <w:pPr>
        <w:spacing w:before="120"/>
        <w:jc w:val="both"/>
        <w:rPr>
          <w:sz w:val="28"/>
          <w:szCs w:val="28"/>
          <w:lang w:eastAsia="zh-CN"/>
        </w:rPr>
      </w:pPr>
      <w:r w:rsidRPr="008D7F71">
        <w:rPr>
          <w:sz w:val="28"/>
          <w:szCs w:val="28"/>
          <w:lang w:eastAsia="zh-CN"/>
        </w:rPr>
        <w:t xml:space="preserve">Декларацію складено під повну відповідальність </w:t>
      </w:r>
    </w:p>
    <w:p w:rsidR="004117FC" w:rsidRPr="008D7F71" w:rsidRDefault="004117FC" w:rsidP="004117FC">
      <w:pPr>
        <w:spacing w:before="120"/>
        <w:jc w:val="both"/>
        <w:rPr>
          <w:sz w:val="28"/>
          <w:szCs w:val="28"/>
          <w:lang w:eastAsia="zh-CN"/>
        </w:rPr>
      </w:pPr>
      <w:r w:rsidRPr="008D7F71">
        <w:rPr>
          <w:sz w:val="28"/>
          <w:szCs w:val="28"/>
          <w:lang w:eastAsia="zh-CN"/>
        </w:rPr>
        <w:t>_____________________________________________________________________</w:t>
      </w:r>
    </w:p>
    <w:p w:rsidR="004117FC" w:rsidRPr="008D7F71" w:rsidRDefault="004117FC" w:rsidP="004117FC">
      <w:pPr>
        <w:spacing w:before="120"/>
        <w:jc w:val="center"/>
        <w:rPr>
          <w:lang w:eastAsia="zh-CN"/>
        </w:rPr>
      </w:pPr>
      <w:r w:rsidRPr="008D7F71">
        <w:rPr>
          <w:lang w:eastAsia="zh-CN"/>
        </w:rPr>
        <w:t>(найменування виробника)</w:t>
      </w:r>
    </w:p>
    <w:p w:rsidR="004117FC" w:rsidRPr="008D7F71" w:rsidRDefault="004117FC" w:rsidP="004117FC">
      <w:pPr>
        <w:spacing w:before="120"/>
        <w:jc w:val="center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4117FC" w:rsidRPr="008D7F71" w:rsidTr="00621DB0">
        <w:tc>
          <w:tcPr>
            <w:tcW w:w="3095" w:type="dxa"/>
            <w:vAlign w:val="center"/>
          </w:tcPr>
          <w:p w:rsidR="004117FC" w:rsidRPr="008D7F71" w:rsidRDefault="004117FC" w:rsidP="00621DB0">
            <w:pPr>
              <w:spacing w:before="120"/>
              <w:jc w:val="center"/>
              <w:rPr>
                <w:lang w:eastAsia="zh-CN"/>
              </w:rPr>
            </w:pPr>
            <w:r w:rsidRPr="008D7F71">
              <w:rPr>
                <w:lang w:eastAsia="zh-CN"/>
              </w:rPr>
              <w:t>________________________</w:t>
            </w:r>
          </w:p>
          <w:p w:rsidR="004117FC" w:rsidRPr="008D7F71" w:rsidRDefault="004117FC" w:rsidP="00621DB0">
            <w:pPr>
              <w:jc w:val="center"/>
              <w:rPr>
                <w:lang w:eastAsia="zh-CN"/>
              </w:rPr>
            </w:pPr>
            <w:r w:rsidRPr="008D7F71">
              <w:rPr>
                <w:lang w:eastAsia="zh-CN"/>
              </w:rPr>
              <w:t>(посада)</w:t>
            </w:r>
          </w:p>
        </w:tc>
        <w:tc>
          <w:tcPr>
            <w:tcW w:w="3096" w:type="dxa"/>
            <w:vAlign w:val="center"/>
          </w:tcPr>
          <w:p w:rsidR="004117FC" w:rsidRPr="008D7F71" w:rsidRDefault="004117FC" w:rsidP="00621DB0">
            <w:pPr>
              <w:spacing w:before="120"/>
              <w:jc w:val="center"/>
              <w:rPr>
                <w:lang w:eastAsia="zh-CN"/>
              </w:rPr>
            </w:pPr>
            <w:r w:rsidRPr="008D7F71">
              <w:rPr>
                <w:lang w:eastAsia="zh-CN"/>
              </w:rPr>
              <w:t>_______________</w:t>
            </w:r>
          </w:p>
          <w:p w:rsidR="004117FC" w:rsidRPr="008D7F71" w:rsidRDefault="004117FC" w:rsidP="00621DB0">
            <w:pPr>
              <w:jc w:val="center"/>
              <w:rPr>
                <w:lang w:eastAsia="zh-CN"/>
              </w:rPr>
            </w:pPr>
            <w:r w:rsidRPr="008D7F71">
              <w:rPr>
                <w:lang w:eastAsia="zh-CN"/>
              </w:rPr>
              <w:t>(підпис)</w:t>
            </w:r>
          </w:p>
        </w:tc>
        <w:tc>
          <w:tcPr>
            <w:tcW w:w="3096" w:type="dxa"/>
            <w:vAlign w:val="center"/>
          </w:tcPr>
          <w:p w:rsidR="004117FC" w:rsidRPr="008D7F71" w:rsidRDefault="004117FC" w:rsidP="00621DB0">
            <w:pPr>
              <w:spacing w:before="120"/>
              <w:jc w:val="center"/>
              <w:rPr>
                <w:lang w:eastAsia="zh-CN"/>
              </w:rPr>
            </w:pPr>
            <w:r w:rsidRPr="008D7F71">
              <w:rPr>
                <w:lang w:eastAsia="zh-CN"/>
              </w:rPr>
              <w:t>______________________</w:t>
            </w:r>
          </w:p>
          <w:p w:rsidR="004117FC" w:rsidRPr="008D7F71" w:rsidRDefault="004117FC" w:rsidP="00621DB0">
            <w:pPr>
              <w:jc w:val="center"/>
              <w:rPr>
                <w:rFonts w:ascii="Antiqua" w:hAnsi="Antiqua" w:cs="Antiqua"/>
                <w:sz w:val="26"/>
                <w:lang w:eastAsia="zh-CN"/>
              </w:rPr>
            </w:pPr>
            <w:r w:rsidRPr="008D7F71">
              <w:rPr>
                <w:lang w:eastAsia="zh-CN"/>
              </w:rPr>
              <w:t>(ініціал та прізвище)</w:t>
            </w:r>
          </w:p>
        </w:tc>
      </w:tr>
    </w:tbl>
    <w:p w:rsidR="004117FC" w:rsidRPr="008D7F71" w:rsidRDefault="004117FC" w:rsidP="004117FC">
      <w:pPr>
        <w:spacing w:before="120"/>
        <w:jc w:val="both"/>
        <w:rPr>
          <w:lang w:eastAsia="zh-CN"/>
        </w:rPr>
      </w:pPr>
      <w:r w:rsidRPr="008D7F71">
        <w:rPr>
          <w:lang w:eastAsia="zh-CN"/>
        </w:rPr>
        <w:t xml:space="preserve"> </w:t>
      </w:r>
    </w:p>
    <w:p w:rsidR="004117FC" w:rsidRPr="008D7F71" w:rsidRDefault="004117FC" w:rsidP="004117FC">
      <w:pPr>
        <w:spacing w:before="120"/>
        <w:jc w:val="both"/>
        <w:rPr>
          <w:sz w:val="28"/>
          <w:szCs w:val="28"/>
          <w:lang w:eastAsia="zh-CN"/>
        </w:rPr>
      </w:pPr>
      <w:r w:rsidRPr="008D7F71">
        <w:rPr>
          <w:lang w:eastAsia="zh-CN"/>
        </w:rPr>
        <w:t>МП (за наявності)</w:t>
      </w:r>
    </w:p>
    <w:p w:rsidR="004117FC" w:rsidRPr="008D7F71" w:rsidRDefault="004117FC" w:rsidP="004117FC">
      <w:pPr>
        <w:jc w:val="both"/>
        <w:rPr>
          <w:sz w:val="28"/>
          <w:szCs w:val="28"/>
          <w:lang w:eastAsia="zh-CN"/>
        </w:rPr>
      </w:pPr>
    </w:p>
    <w:p w:rsidR="004117FC" w:rsidRPr="008D7F71" w:rsidRDefault="004117FC" w:rsidP="004117FC">
      <w:pPr>
        <w:jc w:val="both"/>
        <w:rPr>
          <w:sz w:val="24"/>
          <w:szCs w:val="28"/>
          <w:lang w:eastAsia="zh-CN"/>
        </w:rPr>
      </w:pPr>
      <w:r w:rsidRPr="008D7F71">
        <w:rPr>
          <w:sz w:val="24"/>
          <w:szCs w:val="28"/>
          <w:lang w:eastAsia="zh-CN"/>
        </w:rPr>
        <w:t>«___»____________ ____р.</w:t>
      </w:r>
    </w:p>
    <w:p w:rsidR="004117FC" w:rsidRPr="008D7F71" w:rsidRDefault="004117FC" w:rsidP="004117FC">
      <w:pPr>
        <w:jc w:val="both"/>
        <w:rPr>
          <w:sz w:val="24"/>
          <w:szCs w:val="28"/>
          <w:lang w:eastAsia="zh-CN"/>
        </w:rPr>
      </w:pPr>
    </w:p>
    <w:p w:rsidR="0030115D" w:rsidRDefault="003011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117FC" w:rsidRDefault="004117F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117FC" w:rsidRDefault="004117F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117FC" w:rsidRPr="00D5260B" w:rsidRDefault="004117F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sectPr w:rsidR="004117FC" w:rsidRPr="00D5260B" w:rsidSect="00F80CCB">
      <w:headerReference w:type="even" r:id="rId8"/>
      <w:headerReference w:type="default" r:id="rId9"/>
      <w:pgSz w:w="11906" w:h="16838"/>
      <w:pgMar w:top="851" w:right="567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60" w:rsidRDefault="00E23060">
      <w:r>
        <w:separator/>
      </w:r>
    </w:p>
  </w:endnote>
  <w:endnote w:type="continuationSeparator" w:id="0">
    <w:p w:rsidR="00E23060" w:rsidRDefault="00E2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60" w:rsidRDefault="00E23060">
      <w:r>
        <w:separator/>
      </w:r>
    </w:p>
  </w:footnote>
  <w:footnote w:type="continuationSeparator" w:id="0">
    <w:p w:rsidR="00E23060" w:rsidRDefault="00E2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5D" w:rsidRDefault="003011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21" w:rsidRDefault="00691F2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225"/>
    <w:multiLevelType w:val="multilevel"/>
    <w:tmpl w:val="F33E3528"/>
    <w:lvl w:ilvl="0">
      <w:start w:val="1"/>
      <w:numFmt w:val="decimal"/>
      <w:lvlText w:val="%1)"/>
      <w:lvlJc w:val="left"/>
      <w:pPr>
        <w:ind w:left="1340" w:hanging="1056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74CEF"/>
    <w:multiLevelType w:val="multilevel"/>
    <w:tmpl w:val="765AD83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FB6E96"/>
    <w:multiLevelType w:val="hybridMultilevel"/>
    <w:tmpl w:val="CF1C15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7CFF"/>
    <w:multiLevelType w:val="hybridMultilevel"/>
    <w:tmpl w:val="1B4EEF5A"/>
    <w:lvl w:ilvl="0" w:tplc="A2DE902A">
      <w:start w:val="32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D75E7"/>
    <w:multiLevelType w:val="multilevel"/>
    <w:tmpl w:val="BEFA0F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3485"/>
    <w:multiLevelType w:val="hybridMultilevel"/>
    <w:tmpl w:val="515A4A84"/>
    <w:lvl w:ilvl="0" w:tplc="B61CC93A">
      <w:start w:val="3212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719C2FB0"/>
    <w:multiLevelType w:val="hybridMultilevel"/>
    <w:tmpl w:val="3AB8F696"/>
    <w:lvl w:ilvl="0" w:tplc="0228139A">
      <w:start w:val="32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5CD9"/>
    <w:multiLevelType w:val="hybridMultilevel"/>
    <w:tmpl w:val="D1E4BB04"/>
    <w:lvl w:ilvl="0" w:tplc="8E8E64EA">
      <w:start w:val="32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3419E"/>
    <w:multiLevelType w:val="hybridMultilevel"/>
    <w:tmpl w:val="32CC44F6"/>
    <w:lvl w:ilvl="0" w:tplc="A6B29712">
      <w:start w:val="32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D457A"/>
    <w:multiLevelType w:val="hybridMultilevel"/>
    <w:tmpl w:val="7A801BCE"/>
    <w:lvl w:ilvl="0" w:tplc="4B0C681C">
      <w:start w:val="32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44799"/>
    <w:multiLevelType w:val="hybridMultilevel"/>
    <w:tmpl w:val="39B8DBD6"/>
    <w:lvl w:ilvl="0" w:tplc="CBA4D72C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15D"/>
    <w:rsid w:val="00014D21"/>
    <w:rsid w:val="00026EC6"/>
    <w:rsid w:val="00087C47"/>
    <w:rsid w:val="001D6A5D"/>
    <w:rsid w:val="001F46DB"/>
    <w:rsid w:val="00240BFE"/>
    <w:rsid w:val="00277E28"/>
    <w:rsid w:val="002B162B"/>
    <w:rsid w:val="0030115D"/>
    <w:rsid w:val="00327913"/>
    <w:rsid w:val="003B2FC0"/>
    <w:rsid w:val="003B7F76"/>
    <w:rsid w:val="00405CFE"/>
    <w:rsid w:val="004117FC"/>
    <w:rsid w:val="00415E6E"/>
    <w:rsid w:val="00527E10"/>
    <w:rsid w:val="006360C5"/>
    <w:rsid w:val="00652DFD"/>
    <w:rsid w:val="00691F21"/>
    <w:rsid w:val="0071162A"/>
    <w:rsid w:val="00742052"/>
    <w:rsid w:val="007625EA"/>
    <w:rsid w:val="00763013"/>
    <w:rsid w:val="00781CC5"/>
    <w:rsid w:val="007B342A"/>
    <w:rsid w:val="008A088F"/>
    <w:rsid w:val="00932FCA"/>
    <w:rsid w:val="0094332E"/>
    <w:rsid w:val="009624AF"/>
    <w:rsid w:val="00A6324A"/>
    <w:rsid w:val="00AA09C8"/>
    <w:rsid w:val="00B84F28"/>
    <w:rsid w:val="00B9776E"/>
    <w:rsid w:val="00BF346B"/>
    <w:rsid w:val="00C71B9A"/>
    <w:rsid w:val="00CC738A"/>
    <w:rsid w:val="00CD296C"/>
    <w:rsid w:val="00CF4310"/>
    <w:rsid w:val="00D10165"/>
    <w:rsid w:val="00D5260B"/>
    <w:rsid w:val="00DA14B5"/>
    <w:rsid w:val="00DA486C"/>
    <w:rsid w:val="00DB25E9"/>
    <w:rsid w:val="00DC694A"/>
    <w:rsid w:val="00DD6E1D"/>
    <w:rsid w:val="00E23060"/>
    <w:rsid w:val="00E30BE0"/>
    <w:rsid w:val="00EB14B3"/>
    <w:rsid w:val="00F1423A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6D22C-D77C-4D53-9240-607CF86B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4D21"/>
  </w:style>
  <w:style w:type="paragraph" w:styleId="1">
    <w:name w:val="heading 1"/>
    <w:basedOn w:val="a"/>
    <w:next w:val="a"/>
    <w:rsid w:val="00014D21"/>
    <w:pPr>
      <w:keepNext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a"/>
    <w:next w:val="a"/>
    <w:rsid w:val="00014D21"/>
    <w:pPr>
      <w:keepNext/>
      <w:jc w:val="both"/>
      <w:outlineLvl w:val="1"/>
    </w:pPr>
    <w:rPr>
      <w:rFonts w:ascii="Arial" w:eastAsia="Arial" w:hAnsi="Arial" w:cs="Arial"/>
      <w:sz w:val="28"/>
      <w:szCs w:val="28"/>
    </w:rPr>
  </w:style>
  <w:style w:type="paragraph" w:styleId="3">
    <w:name w:val="heading 3"/>
    <w:basedOn w:val="a"/>
    <w:next w:val="a"/>
    <w:rsid w:val="00014D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4D21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014D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14D2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4D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4D2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4D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4D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14D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14D2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14D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14D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14D2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2DFD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52DFD"/>
  </w:style>
  <w:style w:type="paragraph" w:styleId="ad">
    <w:name w:val="footer"/>
    <w:basedOn w:val="a"/>
    <w:link w:val="ae"/>
    <w:uiPriority w:val="99"/>
    <w:unhideWhenUsed/>
    <w:rsid w:val="00652DFD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652DFD"/>
  </w:style>
  <w:style w:type="paragraph" w:styleId="af">
    <w:name w:val="List Paragraph"/>
    <w:basedOn w:val="a"/>
    <w:uiPriority w:val="34"/>
    <w:qFormat/>
    <w:rsid w:val="00D1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51A6-46AA-4C7C-A47A-679092F8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9652</Words>
  <Characters>5502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Філоненко Роман Степанович</cp:lastModifiedBy>
  <cp:revision>16</cp:revision>
  <cp:lastPrinted>2020-11-25T13:19:00Z</cp:lastPrinted>
  <dcterms:created xsi:type="dcterms:W3CDTF">2020-11-25T12:23:00Z</dcterms:created>
  <dcterms:modified xsi:type="dcterms:W3CDTF">2020-12-01T11:58:00Z</dcterms:modified>
</cp:coreProperties>
</file>