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7F25A" w14:textId="77777777" w:rsidR="00C3494A" w:rsidRPr="005E71DA" w:rsidRDefault="00C3494A" w:rsidP="00C3494A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ЗАТВЕРДЖЕНО</w:t>
      </w:r>
    </w:p>
    <w:p w14:paraId="19993838" w14:textId="77777777" w:rsidR="00C3494A" w:rsidRPr="005E71DA" w:rsidRDefault="00C3494A" w:rsidP="00C3494A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постановою Кабінету Міністрів України</w:t>
      </w:r>
    </w:p>
    <w:p w14:paraId="260E87CC" w14:textId="77777777" w:rsidR="00C3494A" w:rsidRPr="005E71DA" w:rsidRDefault="00C3494A" w:rsidP="00C3494A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від ____ ________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3</w:t>
      </w: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 xml:space="preserve"> р. № _____</w:t>
      </w:r>
    </w:p>
    <w:p w14:paraId="167C7394" w14:textId="77777777" w:rsidR="00C3494A" w:rsidRPr="005E71DA" w:rsidRDefault="00C3494A" w:rsidP="00C3494A">
      <w:pPr>
        <w:pStyle w:val="a6"/>
        <w:shd w:val="clear" w:color="auto" w:fill="FFFFFF"/>
        <w:spacing w:before="240" w:beforeAutospacing="0" w:after="24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14:paraId="3F6ABFC5" w14:textId="77777777" w:rsidR="00C3494A" w:rsidRPr="005E71DA" w:rsidRDefault="00C3494A" w:rsidP="00D7104D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olor w:val="333333"/>
          <w:sz w:val="32"/>
          <w:szCs w:val="32"/>
          <w:shd w:val="clear" w:color="auto" w:fill="FFFFFF"/>
          <w:lang w:val="uk-UA"/>
        </w:rPr>
      </w:pPr>
      <w:r w:rsidRPr="005E71DA">
        <w:rPr>
          <w:b/>
          <w:caps/>
          <w:color w:val="333333"/>
          <w:sz w:val="32"/>
          <w:szCs w:val="32"/>
          <w:shd w:val="clear" w:color="auto" w:fill="FFFFFF"/>
          <w:lang w:val="uk-UA"/>
        </w:rPr>
        <w:t>Критерії</w:t>
      </w:r>
      <w:r w:rsidRPr="005E71DA">
        <w:rPr>
          <w:b/>
          <w:color w:val="333333"/>
          <w:sz w:val="32"/>
          <w:szCs w:val="32"/>
          <w:shd w:val="clear" w:color="auto" w:fill="FFFFFF"/>
          <w:lang w:val="uk-UA"/>
        </w:rPr>
        <w:t xml:space="preserve"> </w:t>
      </w:r>
    </w:p>
    <w:p w14:paraId="7D4BBB95" w14:textId="77777777" w:rsidR="00C3494A" w:rsidRPr="005E71DA" w:rsidRDefault="00C3494A" w:rsidP="00D7104D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  <w:r w:rsidRPr="005E71DA">
        <w:rPr>
          <w:b/>
          <w:color w:val="333333"/>
          <w:sz w:val="28"/>
          <w:szCs w:val="28"/>
          <w:shd w:val="clear" w:color="auto" w:fill="FFFFFF"/>
          <w:lang w:val="uk-UA"/>
        </w:rPr>
        <w:t xml:space="preserve">оголошення припинення статусу відходів для брухту алюмінію 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5220"/>
        <w:gridCol w:w="4159"/>
      </w:tblGrid>
      <w:tr w:rsidR="00C3494A" w:rsidRPr="008B355C" w14:paraId="6823A50C" w14:textId="77777777" w:rsidTr="00987852">
        <w:tc>
          <w:tcPr>
            <w:tcW w:w="5220" w:type="dxa"/>
          </w:tcPr>
          <w:p w14:paraId="5D684D38" w14:textId="77777777" w:rsidR="00C3494A" w:rsidRPr="008B355C" w:rsidRDefault="00C3494A" w:rsidP="00987852">
            <w:pPr>
              <w:spacing w:after="120"/>
              <w:ind w:right="1149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4159" w:type="dxa"/>
          </w:tcPr>
          <w:p w14:paraId="0567548F" w14:textId="77777777" w:rsidR="00C3494A" w:rsidRPr="008B355C" w:rsidRDefault="00C3494A" w:rsidP="00987852">
            <w:pPr>
              <w:spacing w:after="120"/>
              <w:ind w:right="4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Вимоги для внутрішнього моніторингу</w:t>
            </w:r>
          </w:p>
        </w:tc>
      </w:tr>
      <w:tr w:rsidR="00C3494A" w:rsidRPr="008B355C" w14:paraId="50E5D700" w14:textId="77777777" w:rsidTr="00987852">
        <w:tc>
          <w:tcPr>
            <w:tcW w:w="9379" w:type="dxa"/>
            <w:gridSpan w:val="2"/>
          </w:tcPr>
          <w:p w14:paraId="3A7FB8EB" w14:textId="77777777" w:rsidR="00C3494A" w:rsidRPr="008B355C" w:rsidRDefault="00C3494A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1.  Відходи, які використовуються як вхідна фракція для операцій з відновлення відходів</w:t>
            </w:r>
          </w:p>
        </w:tc>
      </w:tr>
      <w:tr w:rsidR="00C3494A" w:rsidRPr="00AE64FF" w14:paraId="26EED862" w14:textId="77777777" w:rsidTr="00987852">
        <w:tc>
          <w:tcPr>
            <w:tcW w:w="5220" w:type="dxa"/>
          </w:tcPr>
          <w:p w14:paraId="1C760DB8" w14:textId="77777777" w:rsidR="00C3494A" w:rsidRPr="008B355C" w:rsidRDefault="00C3494A" w:rsidP="00987852">
            <w:pPr>
              <w:pStyle w:val="a3"/>
              <w:spacing w:after="120"/>
              <w:ind w:left="0" w:right="40" w:firstLine="360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1.1. Тільки відходи, які містять алюміній або алюмінієві сплави, що підлягають відновленню, можуть використовуватися як вхідна фракція.</w:t>
            </w:r>
          </w:p>
        </w:tc>
        <w:tc>
          <w:tcPr>
            <w:tcW w:w="4159" w:type="dxa"/>
            <w:vMerge w:val="restart"/>
          </w:tcPr>
          <w:p w14:paraId="77F902D7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Вхідний контроль під час приймання відходів здійснюється шляхом візуального огляду та вивчення супровідної документації кваліфікованим персоналом, який навчений визначати відходи, що не відповідають критеріям, викладеним у цьому Розділі.</w:t>
            </w:r>
          </w:p>
        </w:tc>
      </w:tr>
      <w:tr w:rsidR="00C3494A" w:rsidRPr="00AE64FF" w14:paraId="2A64B2E1" w14:textId="77777777" w:rsidTr="00987852">
        <w:tc>
          <w:tcPr>
            <w:tcW w:w="5220" w:type="dxa"/>
          </w:tcPr>
          <w:p w14:paraId="33EFFF32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1.2 Небезпечні відходи не повинні використовуватися як вхідна фракція, за винятком випадків, коли надається доказ того, що процеси та методи, зазначені у розділі 2 цих  Критеріїв, </w:t>
            </w: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були застосовані</w:t>
            </w: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для усунення всіх небезпечних властивостей.</w:t>
            </w:r>
          </w:p>
        </w:tc>
        <w:tc>
          <w:tcPr>
            <w:tcW w:w="4159" w:type="dxa"/>
            <w:vMerge/>
          </w:tcPr>
          <w:p w14:paraId="191DE19B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C3494A" w:rsidRPr="008B355C" w14:paraId="210250E0" w14:textId="77777777" w:rsidTr="00987852">
        <w:tc>
          <w:tcPr>
            <w:tcW w:w="5220" w:type="dxa"/>
          </w:tcPr>
          <w:p w14:paraId="742F24B9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1.3. Наступні види відходів не повинні використовуватись як вхідна фракція:</w:t>
            </w:r>
          </w:p>
          <w:p w14:paraId="4FA0B5E2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токарна та свердлильна стружка, які містять рідини, такі як масло або масляні емульсії</w:t>
            </w:r>
            <w:r w:rsidR="00D7104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636E6F7F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контейнери, за винятком обладнання з транспортних засобів, у яких закінчився термін експлуатації, які містять або містили масло або фарби.</w:t>
            </w:r>
          </w:p>
        </w:tc>
        <w:tc>
          <w:tcPr>
            <w:tcW w:w="4159" w:type="dxa"/>
            <w:vMerge/>
          </w:tcPr>
          <w:p w14:paraId="1EB85785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C3494A" w:rsidRPr="008B355C" w14:paraId="2BA401F6" w14:textId="77777777" w:rsidTr="00987852">
        <w:tc>
          <w:tcPr>
            <w:tcW w:w="9379" w:type="dxa"/>
            <w:gridSpan w:val="2"/>
          </w:tcPr>
          <w:p w14:paraId="70E566C2" w14:textId="77777777" w:rsidR="00C3494A" w:rsidRPr="008B355C" w:rsidRDefault="00C3494A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2. Процеси і технології оброблення відходів</w:t>
            </w:r>
          </w:p>
        </w:tc>
      </w:tr>
      <w:tr w:rsidR="00C3494A" w:rsidRPr="008B355C" w14:paraId="2761C5C2" w14:textId="77777777" w:rsidTr="00987852">
        <w:tc>
          <w:tcPr>
            <w:tcW w:w="5220" w:type="dxa"/>
          </w:tcPr>
          <w:p w14:paraId="4DEBF9FB" w14:textId="77777777" w:rsidR="00C3494A" w:rsidRPr="008B355C" w:rsidRDefault="00C3494A" w:rsidP="00987852">
            <w:pPr>
              <w:pStyle w:val="a3"/>
              <w:widowControl w:val="0"/>
              <w:autoSpaceDE w:val="0"/>
              <w:autoSpaceDN w:val="0"/>
              <w:spacing w:after="120"/>
              <w:ind w:left="72" w:right="40" w:firstLine="274"/>
              <w:contextualSpacing w:val="0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2.1. Вхідні фракції</w:t>
            </w: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відходів повинні бути оброблені для відокремлення </w:t>
            </w: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брухту алюмінію від не металевих і не алюмінієвих компонентів, якщо брухт алюмінію не був відокремлений в </w:t>
            </w: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 xml:space="preserve">джерелі утворення або під час збирання, і повинні зберігатися окремо. </w:t>
            </w:r>
          </w:p>
        </w:tc>
        <w:tc>
          <w:tcPr>
            <w:tcW w:w="4159" w:type="dxa"/>
          </w:tcPr>
          <w:p w14:paraId="70E1F430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C3494A" w:rsidRPr="008B355C" w14:paraId="033E86DD" w14:textId="77777777" w:rsidTr="00987852">
        <w:tc>
          <w:tcPr>
            <w:tcW w:w="5220" w:type="dxa"/>
          </w:tcPr>
          <w:p w14:paraId="6CEC61BD" w14:textId="77777777" w:rsidR="00C3494A" w:rsidRPr="008B355C" w:rsidRDefault="00C3494A" w:rsidP="006D0860">
            <w:pPr>
              <w:pStyle w:val="a3"/>
              <w:numPr>
                <w:ilvl w:val="1"/>
                <w:numId w:val="6"/>
              </w:numPr>
              <w:spacing w:after="120"/>
              <w:ind w:left="66" w:firstLine="24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lastRenderedPageBreak/>
              <w:t>Всі види механічного оброблення (такі як різання, оброблення механічними ножицями, подрібнення або гранулювання; сортування, розділення, очищення, знешкодження, випорожнення), необхідні для підготовки брухту</w:t>
            </w:r>
            <w:r w:rsidR="006D0860" w:rsidRPr="005E71DA">
              <w:rPr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D0860" w:rsidRPr="006D08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алюмінію</w:t>
            </w:r>
            <w:r w:rsidR="006D0860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</w:t>
            </w: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до безпосереднього використання як вхідної фракції, повинні бути завершені. </w:t>
            </w:r>
          </w:p>
        </w:tc>
        <w:tc>
          <w:tcPr>
            <w:tcW w:w="4159" w:type="dxa"/>
          </w:tcPr>
          <w:p w14:paraId="436E8DB1" w14:textId="77777777" w:rsidR="00C3494A" w:rsidRPr="008B355C" w:rsidRDefault="00C3494A" w:rsidP="009878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C3494A" w:rsidRPr="008B355C" w14:paraId="03DB810C" w14:textId="77777777" w:rsidTr="00987852">
        <w:tc>
          <w:tcPr>
            <w:tcW w:w="5220" w:type="dxa"/>
          </w:tcPr>
          <w:p w14:paraId="10C86B4F" w14:textId="77777777" w:rsidR="00C3494A" w:rsidRPr="008B355C" w:rsidRDefault="00C3494A" w:rsidP="00D7104D">
            <w:pPr>
              <w:pStyle w:val="a3"/>
              <w:numPr>
                <w:ilvl w:val="1"/>
                <w:numId w:val="6"/>
              </w:numPr>
              <w:ind w:left="66"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Для відходів, які містять небезпечні компоненти, повинні застосовуватися наступні специфічні вимоги:</w:t>
            </w:r>
          </w:p>
          <w:p w14:paraId="73C970D1" w14:textId="77777777" w:rsidR="00C3494A" w:rsidRPr="008B355C" w:rsidRDefault="00C3494A" w:rsidP="00D7104D">
            <w:pPr>
              <w:ind w:left="72" w:firstLine="27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вхідні фракції з відходів електричного та електронного обладнання  або транспортних засобів, у яких закінчився термін експлуатації, повинні проходити оброблення відповідно до законодавства у сфері управління відходами електричного та електронного обладнання та законодавства у сфері утилізації транспортних заходів</w:t>
            </w:r>
            <w:r w:rsidR="00D7104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11F9FED6" w14:textId="77777777" w:rsidR="00C3494A" w:rsidRPr="008B355C" w:rsidRDefault="00C3494A" w:rsidP="00D7104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proofErr w:type="spellStart"/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хлорфторвуглеці</w:t>
            </w:r>
            <w:proofErr w:type="spellEnd"/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відпрацьованого обладнання повинні бути відокремлені згідно із законодавством про хімічну безпеку та поводження з хімічними речовинами</w:t>
            </w:r>
            <w:r w:rsidR="00D7104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3EB2036D" w14:textId="77777777" w:rsidR="00C3494A" w:rsidRPr="008B355C" w:rsidRDefault="00C3494A" w:rsidP="00D7104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кабелі повинні бути зняті або від’єднанні. Якщо кабель містить органічні покриття (пластмаси), органічні покриття повинні бути видалені відповідно до найкращих доступних технологій</w:t>
            </w:r>
            <w:r w:rsidR="00D7104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4E3A4277" w14:textId="77777777" w:rsidR="00C3494A" w:rsidRPr="008B355C" w:rsidRDefault="00C3494A" w:rsidP="00D7104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 повинні бути спорожнені та очищені</w:t>
            </w:r>
            <w:r w:rsidR="00D7104D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2C14AF37" w14:textId="77777777" w:rsidR="00C3494A" w:rsidRPr="008B355C" w:rsidRDefault="00C3494A" w:rsidP="00D7104D">
            <w:pPr>
              <w:ind w:firstLine="567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небезпечні речовини у відходах, не зазначених в абзаці другому цього пункту, повинні бути ефективно видалені згідно із законодавством про хімічну безпеку та поводження з хімічними речовинами. </w:t>
            </w:r>
          </w:p>
        </w:tc>
        <w:tc>
          <w:tcPr>
            <w:tcW w:w="4159" w:type="dxa"/>
          </w:tcPr>
          <w:p w14:paraId="30929E9C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C3494A" w:rsidRPr="008B355C" w14:paraId="67FD90A6" w14:textId="77777777" w:rsidTr="00987852">
        <w:tc>
          <w:tcPr>
            <w:tcW w:w="9379" w:type="dxa"/>
            <w:gridSpan w:val="2"/>
          </w:tcPr>
          <w:p w14:paraId="16F24995" w14:textId="77777777" w:rsidR="00C3494A" w:rsidRPr="008B355C" w:rsidRDefault="00C3494A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lastRenderedPageBreak/>
              <w:t>Розділ 3. Якість брухту алюмінію, що утворився в результаті проведення операцій з відновлення</w:t>
            </w:r>
          </w:p>
        </w:tc>
      </w:tr>
      <w:tr w:rsidR="00C3494A" w:rsidRPr="008B355C" w14:paraId="4DD3FD94" w14:textId="77777777" w:rsidTr="00987852">
        <w:tc>
          <w:tcPr>
            <w:tcW w:w="5220" w:type="dxa"/>
          </w:tcPr>
          <w:p w14:paraId="05A32100" w14:textId="77777777" w:rsidR="00C3494A" w:rsidRPr="008B355C" w:rsidRDefault="00CA0E92" w:rsidP="00C3494A">
            <w:pPr>
              <w:pStyle w:val="a3"/>
              <w:numPr>
                <w:ilvl w:val="1"/>
                <w:numId w:val="3"/>
              </w:numPr>
              <w:spacing w:after="120"/>
              <w:ind w:left="66" w:firstLine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. </w:t>
            </w:r>
            <w:r w:rsidR="00C3494A" w:rsidRPr="008B35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Брухт повинен оцінюватися відповідно до ДСТУ 3211:2009/ГОСТ 1639:2009 "Брухт і відходи кольорових металів і сплавів. Загальні технічні умови" або </w:t>
            </w:r>
            <w:r w:rsidR="00C3494A" w:rsidRPr="008B35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 xml:space="preserve">аналогічного </w:t>
            </w:r>
            <w:r w:rsidR="00C3494A" w:rsidRPr="008B35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міжнародного стандарту, або технічних умов (технічних специфікацій) для безпосереднього використання у виробництві металевих речовин або предметів шляхом перероблення або переплавлення. </w:t>
            </w:r>
          </w:p>
        </w:tc>
        <w:tc>
          <w:tcPr>
            <w:tcW w:w="4159" w:type="dxa"/>
          </w:tcPr>
          <w:p w14:paraId="5E35B7AB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>Кваліфікований персонал повинен оцінювати кожну партію.</w:t>
            </w:r>
          </w:p>
        </w:tc>
      </w:tr>
      <w:tr w:rsidR="00C3494A" w:rsidRPr="008B355C" w14:paraId="74C7D782" w14:textId="77777777" w:rsidTr="00987852">
        <w:tc>
          <w:tcPr>
            <w:tcW w:w="5220" w:type="dxa"/>
          </w:tcPr>
          <w:p w14:paraId="58B3E42A" w14:textId="77777777" w:rsidR="00C3494A" w:rsidRPr="008B355C" w:rsidRDefault="00C3494A" w:rsidP="00C3494A">
            <w:pPr>
              <w:pStyle w:val="TableParagraph"/>
              <w:numPr>
                <w:ilvl w:val="1"/>
                <w:numId w:val="4"/>
              </w:numPr>
              <w:tabs>
                <w:tab w:val="left" w:pos="341"/>
              </w:tabs>
              <w:spacing w:after="120"/>
              <w:ind w:left="66" w:right="81" w:firstLine="270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Загальна кількість домішок повинна бути  ≤ 5 %  від ваги або металеві залишки повинні бути  ≥ 90 %;</w:t>
            </w:r>
          </w:p>
          <w:p w14:paraId="08451174" w14:textId="77777777" w:rsidR="00C3494A" w:rsidRPr="008B355C" w:rsidRDefault="00C3494A" w:rsidP="00D7104D">
            <w:pPr>
              <w:pStyle w:val="TableParagraph"/>
              <w:spacing w:after="120"/>
              <w:ind w:left="66" w:firstLine="501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Домішками є:</w:t>
            </w:r>
          </w:p>
          <w:p w14:paraId="5CBB3BB9" w14:textId="77777777" w:rsidR="00C3494A" w:rsidRPr="008B355C" w:rsidRDefault="00C3494A" w:rsidP="00D7104D">
            <w:pPr>
              <w:pStyle w:val="TableParagraph"/>
              <w:tabs>
                <w:tab w:val="left" w:pos="589"/>
              </w:tabs>
              <w:spacing w:after="120"/>
              <w:ind w:firstLine="501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метали, інші ніж алюміній та алюмінієві сплави</w:t>
            </w:r>
            <w:r w:rsidR="00D7104D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15EF04F9" w14:textId="77777777" w:rsidR="00C3494A" w:rsidRPr="008B355C" w:rsidRDefault="00C3494A" w:rsidP="00D7104D">
            <w:pPr>
              <w:pStyle w:val="TableParagraph"/>
              <w:tabs>
                <w:tab w:val="left" w:pos="589"/>
              </w:tabs>
              <w:spacing w:after="120"/>
              <w:ind w:right="77" w:firstLine="501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не металеві матеріали, такі як земля, пил, ізоляційні матеріали та скло</w:t>
            </w:r>
            <w:r w:rsidR="00D7104D">
              <w:rPr>
                <w:color w:val="1A171C"/>
                <w:sz w:val="28"/>
                <w:szCs w:val="28"/>
                <w:lang w:val="uk-UA"/>
              </w:rPr>
              <w:t>;</w:t>
            </w:r>
          </w:p>
          <w:p w14:paraId="0D9E72FE" w14:textId="77777777" w:rsidR="00C3494A" w:rsidRPr="006D0860" w:rsidRDefault="00C3494A" w:rsidP="00D7104D">
            <w:pPr>
              <w:spacing w:after="120"/>
              <w:ind w:right="40" w:firstLine="501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6D0860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горючі неметалеві матеріали, такі як гума, пластмаса, тканина, дерево та інші хімічні або органічні речовини</w:t>
            </w:r>
            <w:r w:rsidR="00D7104D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;</w:t>
            </w:r>
          </w:p>
          <w:p w14:paraId="12AE2609" w14:textId="538A2712" w:rsidR="00C3494A" w:rsidRPr="006D0860" w:rsidRDefault="00AE64FF" w:rsidP="00D7104D">
            <w:pPr>
              <w:spacing w:after="120"/>
              <w:ind w:right="40" w:firstLine="501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AE64FF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великі деталі</w:t>
            </w:r>
            <w:r w:rsidR="00C3494A" w:rsidRPr="00AE64FF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(</w:t>
            </w:r>
            <w:r w:rsidR="00C3494A" w:rsidRPr="00AE64FF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розміром</w:t>
            </w:r>
            <w:r w:rsidR="00D7104D" w:rsidRPr="00AE64FF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від</w:t>
            </w:r>
            <w:r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C3494A" w:rsidRPr="00AE64FF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240 × 115 × 71 мм</w:t>
            </w:r>
            <w:r w:rsidR="00C3494A" w:rsidRPr="00AE64FF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>),</w:t>
            </w:r>
            <w:r w:rsidR="00C3494A" w:rsidRPr="006D0860"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які не є провідниками електрики, такі як шини, труби, заповнені цементом, деревом або бетоном; залишки, що утворюються в результаті плавлення алюмінію та алюмінієвих сплавів, нагрівання, очистки поверхні від окалини (включаючи абразивну очистку), шліфування, розпилювання, зварювання та різання, такі як шлак, окалина, відходи та пил від шліфування, пил з рукавного фільтру та пиловловлювача, шлам.</w:t>
            </w:r>
          </w:p>
          <w:p w14:paraId="3DF5DDBE" w14:textId="77777777" w:rsidR="00C3494A" w:rsidRPr="008B355C" w:rsidRDefault="00C3494A" w:rsidP="00987852">
            <w:pPr>
              <w:spacing w:after="120"/>
              <w:ind w:left="66" w:right="40" w:firstLine="270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</w:tcPr>
          <w:p w14:paraId="1C489DE3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Суб’єкт господарювання, що оголошує припинення статусу відходів  алюмінієвого брухту  перевіряє відповідність шляхом моніторингу кількості домішок або визначенням виходу металу.  </w:t>
            </w:r>
          </w:p>
          <w:p w14:paraId="28DDDB78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</w:t>
            </w:r>
          </w:p>
          <w:p w14:paraId="62394171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Належна періодичність проведення перевірок (щонайменше кожні 6 місяців), відбір проб брухту алюмінію проводяться для визначення вмісту домішок або виходу металу.</w:t>
            </w:r>
          </w:p>
          <w:p w14:paraId="49906464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Відбір проб повинен проводитися відповідно до процедури відбору, визначеної в ДСТУ EN ISO 13920:2015 «Зварювання. Загальні допуски для зварних конструкцій. Розміри лінійні та кутові. Форма та положення».</w:t>
            </w:r>
          </w:p>
          <w:p w14:paraId="43683016" w14:textId="3CA762ED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Загальна кількість домішок повинна визначається шляхом зважування після відокремлення алюмінієвих 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lastRenderedPageBreak/>
              <w:t>частин або елементів від частин або елементів, які містять домішки, вручну або</w:t>
            </w:r>
            <w:r w:rsidR="001C2029">
              <w:rPr>
                <w:color w:val="1A171C"/>
                <w:sz w:val="28"/>
                <w:szCs w:val="28"/>
                <w:lang w:val="uk-UA"/>
              </w:rPr>
              <w:t xml:space="preserve"> іншими способами відокремлення.</w:t>
            </w:r>
          </w:p>
          <w:p w14:paraId="0F099B14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Вихід металу повинен визначатися відповідно до такої процедури:</w:t>
            </w:r>
          </w:p>
          <w:p w14:paraId="7E8F14FF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(1)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ab/>
              <w:t>визначення ваги (m1) після  видалення  вологи;</w:t>
            </w:r>
          </w:p>
          <w:p w14:paraId="52256675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(2)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ab/>
              <w:t>визначення та видалення вільного заліза;</w:t>
            </w:r>
          </w:p>
          <w:p w14:paraId="7FD87F06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(3)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ab/>
              <w:t>визначення ваги металу після плавлення і затвердіння (m2) дотримуючись процедури визначення виходу металу;</w:t>
            </w:r>
          </w:p>
          <w:p w14:paraId="2F8E184B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(4)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ab/>
              <w:t>розрахунок виходу металу m [%] = (m2/m1) × 100.</w:t>
            </w:r>
          </w:p>
          <w:p w14:paraId="7946CCAF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Належна періодичність проведення аналізу репрезентативних проб повинна визначатися з врахуванням наступних чинників:</w:t>
            </w:r>
          </w:p>
          <w:p w14:paraId="2C2754CE" w14:textId="7C8AE341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очікувана модель мінливості;</w:t>
            </w:r>
          </w:p>
          <w:p w14:paraId="7BED26CB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невід’ємний ризик мінливості якості відходів, що використовуються як вхідна фракція для операцій з відновлення і будь-якої подальшої обробки;</w:t>
            </w:r>
          </w:p>
          <w:p w14:paraId="53F63048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невід'ємна точність методу моніторингу; та; </w:t>
            </w:r>
          </w:p>
          <w:p w14:paraId="26A721C9" w14:textId="77777777" w:rsidR="00C3494A" w:rsidRPr="008B355C" w:rsidRDefault="00C3494A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наближеність результатів до граничних значень загальної кількості домішок.</w:t>
            </w:r>
          </w:p>
        </w:tc>
      </w:tr>
      <w:tr w:rsidR="00C3494A" w:rsidRPr="008B355C" w14:paraId="12C4E6A6" w14:textId="77777777" w:rsidTr="00987852">
        <w:tc>
          <w:tcPr>
            <w:tcW w:w="5220" w:type="dxa"/>
          </w:tcPr>
          <w:p w14:paraId="31A39EF9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>3.3. Брухт не повинен містити ПВХ у вигляді покриттів, фарб або залишкового пластику.</w:t>
            </w:r>
          </w:p>
        </w:tc>
        <w:tc>
          <w:tcPr>
            <w:tcW w:w="4159" w:type="dxa"/>
          </w:tcPr>
          <w:p w14:paraId="6D167CF6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  <w:tr w:rsidR="00C3494A" w:rsidRPr="008B355C" w14:paraId="55CFED80" w14:textId="77777777" w:rsidTr="00987852">
        <w:tc>
          <w:tcPr>
            <w:tcW w:w="5220" w:type="dxa"/>
          </w:tcPr>
          <w:p w14:paraId="26D13CC2" w14:textId="77777777" w:rsidR="00C3494A" w:rsidRPr="008B355C" w:rsidRDefault="00CA0E92" w:rsidP="00C3494A">
            <w:pPr>
              <w:pStyle w:val="TableParagraph"/>
              <w:numPr>
                <w:ilvl w:val="1"/>
                <w:numId w:val="5"/>
              </w:numPr>
              <w:tabs>
                <w:tab w:val="left" w:pos="0"/>
              </w:tabs>
              <w:ind w:left="0" w:right="81" w:firstLine="336"/>
              <w:jc w:val="both"/>
              <w:rPr>
                <w:bCs/>
                <w:color w:val="1A171C"/>
                <w:sz w:val="28"/>
                <w:szCs w:val="28"/>
                <w:lang w:val="uk-UA"/>
              </w:rPr>
            </w:pPr>
            <w:r>
              <w:rPr>
                <w:bCs/>
                <w:color w:val="1A171C"/>
                <w:sz w:val="28"/>
                <w:szCs w:val="28"/>
                <w:lang w:val="uk-UA"/>
              </w:rPr>
              <w:t xml:space="preserve">. </w:t>
            </w:r>
            <w:r w:rsidR="00C3494A" w:rsidRPr="008B355C">
              <w:rPr>
                <w:bCs/>
                <w:color w:val="1A171C"/>
                <w:sz w:val="28"/>
                <w:szCs w:val="28"/>
                <w:lang w:val="uk-UA"/>
              </w:rPr>
              <w:t xml:space="preserve">Брухт не повинен містити видимих ознак наявності олив, масляних емульсій, мастильних матеріалів або </w:t>
            </w:r>
            <w:r w:rsidR="00C3494A" w:rsidRPr="008B355C">
              <w:rPr>
                <w:bCs/>
                <w:color w:val="1A171C"/>
                <w:sz w:val="28"/>
                <w:szCs w:val="28"/>
                <w:lang w:val="uk-UA"/>
              </w:rPr>
              <w:lastRenderedPageBreak/>
              <w:t xml:space="preserve">мастил, за винятком незначних кількостей що не призведуть до витікання.  </w:t>
            </w:r>
          </w:p>
          <w:p w14:paraId="441498C5" w14:textId="77777777" w:rsidR="00C3494A" w:rsidRPr="008B355C" w:rsidRDefault="00C3494A" w:rsidP="00987852">
            <w:pPr>
              <w:pStyle w:val="a3"/>
              <w:spacing w:after="120"/>
              <w:ind w:left="11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</w:tcPr>
          <w:p w14:paraId="6535A38B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Кваліфікований персонал повинен проводити візуальну перевірку кожної партії, </w:t>
            </w: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приділяючи особливу увагу частинам, де можуть відбуватися витоки мастил.    </w:t>
            </w:r>
          </w:p>
        </w:tc>
      </w:tr>
      <w:tr w:rsidR="00C3494A" w:rsidRPr="006D0860" w14:paraId="0C8FD735" w14:textId="77777777" w:rsidTr="00987852">
        <w:tc>
          <w:tcPr>
            <w:tcW w:w="5220" w:type="dxa"/>
          </w:tcPr>
          <w:p w14:paraId="24D737D2" w14:textId="77777777" w:rsidR="00C3494A" w:rsidRPr="008B355C" w:rsidRDefault="00C3494A" w:rsidP="00D7104D">
            <w:pPr>
              <w:pStyle w:val="TableParagraph"/>
              <w:spacing w:after="120"/>
              <w:ind w:right="81" w:firstLine="336"/>
              <w:jc w:val="both"/>
              <w:rPr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lastRenderedPageBreak/>
              <w:t>3.5. Радіоактивність брухт</w:t>
            </w:r>
            <w:r w:rsidR="00D7104D">
              <w:rPr>
                <w:color w:val="1A171C"/>
                <w:sz w:val="28"/>
                <w:szCs w:val="28"/>
                <w:lang w:val="uk-UA"/>
              </w:rPr>
              <w:t>у</w:t>
            </w:r>
            <w:r w:rsidR="006D0860" w:rsidRPr="006D0860">
              <w:rPr>
                <w:rFonts w:asciiTheme="minorHAnsi" w:eastAsiaTheme="minorHAnsi" w:hAnsiTheme="minorHAnsi" w:cstheme="minorBidi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D0860" w:rsidRPr="006D0860">
              <w:rPr>
                <w:color w:val="1A171C"/>
                <w:sz w:val="28"/>
                <w:szCs w:val="28"/>
                <w:lang w:val="uk-UA"/>
              </w:rPr>
              <w:t xml:space="preserve">алюмінію 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 не повин</w:t>
            </w:r>
            <w:r w:rsidR="00D7104D">
              <w:rPr>
                <w:color w:val="1A171C"/>
                <w:sz w:val="28"/>
                <w:szCs w:val="28"/>
                <w:lang w:val="uk-UA"/>
              </w:rPr>
              <w:t>на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 перевищувати</w:t>
            </w:r>
            <w:r w:rsidRPr="008B355C">
              <w:rPr>
                <w:sz w:val="28"/>
                <w:szCs w:val="28"/>
                <w:lang w:val="uk-UA"/>
              </w:rPr>
              <w:t xml:space="preserve"> </w:t>
            </w:r>
            <w:r w:rsidRPr="008B355C">
              <w:rPr>
                <w:bCs/>
                <w:color w:val="1A171C"/>
                <w:sz w:val="28"/>
                <w:szCs w:val="28"/>
                <w:lang w:val="uk-UA"/>
              </w:rPr>
              <w:t>допустимих меж радіаційного впливу на персонал, населення та навколишнє природне середовище, встановлених нормами та правилами з безпеки.</w:t>
            </w:r>
          </w:p>
        </w:tc>
        <w:tc>
          <w:tcPr>
            <w:tcW w:w="4159" w:type="dxa"/>
          </w:tcPr>
          <w:p w14:paraId="6F85317A" w14:textId="77777777" w:rsidR="00C3494A" w:rsidRPr="008B355C" w:rsidRDefault="00C3494A" w:rsidP="00987852">
            <w:pPr>
              <w:pStyle w:val="TableParagraph"/>
              <w:spacing w:after="120"/>
              <w:ind w:right="-15"/>
              <w:jc w:val="both"/>
              <w:rPr>
                <w:sz w:val="28"/>
                <w:szCs w:val="28"/>
                <w:lang w:val="uk-UA"/>
              </w:rPr>
            </w:pPr>
            <w:r w:rsidRPr="008B355C">
              <w:rPr>
                <w:sz w:val="28"/>
                <w:szCs w:val="28"/>
                <w:lang w:val="uk-UA"/>
              </w:rPr>
              <w:t>Кваліфікований персонал повинен проводити перевірку кожної партії на радіоактивність.</w:t>
            </w:r>
          </w:p>
          <w:p w14:paraId="63C80C61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6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Кожна партія </w:t>
            </w:r>
            <w:r w:rsidR="006D0860" w:rsidRPr="006D0860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брухт</w:t>
            </w:r>
            <w:r w:rsidR="006D0860" w:rsidRPr="006D08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D0860" w:rsidRPr="006D0860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алюмінію  </w:t>
            </w:r>
            <w:r w:rsidRPr="006D0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повинна супроводжуватись документом, який підтверджує радіаційну безпеку </w:t>
            </w:r>
            <w:r w:rsidR="006D0860" w:rsidRPr="006D0860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брухт</w:t>
            </w:r>
            <w:r w:rsidR="006D0860" w:rsidRPr="006D0860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D0860" w:rsidRPr="006B1AD5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алюмінію</w:t>
            </w:r>
            <w:r w:rsidR="006D0860" w:rsidRPr="006B1AD5">
              <w:rPr>
                <w:color w:val="1A171C"/>
                <w:sz w:val="28"/>
                <w:szCs w:val="28"/>
                <w:lang w:val="uk-UA"/>
              </w:rPr>
              <w:t xml:space="preserve">  </w:t>
            </w:r>
            <w:r w:rsidRPr="006B1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відповідно до нормативних документів, зазначених в пункті 3.1 цього розділу. Такий  документ додається до документів, що супроводжують партію.   </w:t>
            </w:r>
          </w:p>
        </w:tc>
      </w:tr>
      <w:tr w:rsidR="00C3494A" w:rsidRPr="008B355C" w14:paraId="5A489195" w14:textId="77777777" w:rsidTr="00CA0E92">
        <w:trPr>
          <w:trHeight w:val="856"/>
        </w:trPr>
        <w:tc>
          <w:tcPr>
            <w:tcW w:w="5220" w:type="dxa"/>
          </w:tcPr>
          <w:p w14:paraId="053FCA4C" w14:textId="77777777" w:rsidR="00C3494A" w:rsidRPr="008B355C" w:rsidRDefault="00C3494A" w:rsidP="00987852">
            <w:pPr>
              <w:pStyle w:val="TableParagraph"/>
              <w:spacing w:after="120"/>
              <w:ind w:right="76" w:firstLine="336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3.6.</w:t>
            </w:r>
            <w:r w:rsidRPr="008B355C">
              <w:rPr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Брухт не повинен мати жодних небезпечних властивостей, визначених у Додатку 3 до Закону України "Про управління відходами". </w:t>
            </w:r>
          </w:p>
          <w:p w14:paraId="7B40885E" w14:textId="77777777" w:rsidR="00C3494A" w:rsidRPr="008B355C" w:rsidRDefault="00C3494A" w:rsidP="00987852">
            <w:pPr>
              <w:pStyle w:val="TableParagraph"/>
              <w:spacing w:after="120"/>
              <w:ind w:right="76" w:firstLine="336"/>
              <w:jc w:val="both"/>
              <w:rPr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Брухт повинен відповідати обмеженням концентрації, встановленим законодавством</w:t>
            </w:r>
            <w:r w:rsidRPr="008B355C">
              <w:rPr>
                <w:bCs/>
                <w:color w:val="1A171C"/>
                <w:sz w:val="28"/>
                <w:szCs w:val="28"/>
                <w:lang w:val="uk-UA"/>
              </w:rPr>
              <w:t xml:space="preserve"> про хімічну безпеку та поводження з хімічними речовинами</w:t>
            </w:r>
            <w:r w:rsidRPr="008B355C">
              <w:rPr>
                <w:color w:val="1A171C"/>
                <w:sz w:val="28"/>
                <w:szCs w:val="28"/>
                <w:lang w:val="uk-UA"/>
              </w:rPr>
              <w:t>.</w:t>
            </w:r>
          </w:p>
          <w:p w14:paraId="75BC7847" w14:textId="77777777" w:rsidR="00C3494A" w:rsidRPr="008B355C" w:rsidRDefault="00C3494A" w:rsidP="00D7104D">
            <w:pPr>
              <w:pStyle w:val="TableParagraph"/>
              <w:spacing w:after="120"/>
              <w:ind w:firstLine="341"/>
              <w:jc w:val="both"/>
              <w:rPr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Властивості інших елементів, що входять до складу алюмінієвих сплавів, не підпадають під цю вимогу.  </w:t>
            </w:r>
          </w:p>
        </w:tc>
        <w:tc>
          <w:tcPr>
            <w:tcW w:w="4159" w:type="dxa"/>
          </w:tcPr>
          <w:p w14:paraId="5A5F3EFE" w14:textId="77777777" w:rsidR="00C3494A" w:rsidRPr="008B355C" w:rsidRDefault="00C3494A" w:rsidP="00987852">
            <w:pPr>
              <w:pStyle w:val="TableParagraph"/>
              <w:spacing w:after="120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Якщо візуальний огляд викликає будь-яку підозру щодо наявності небезпечних властивостей, слід вживати відповідних заходів моніторингу, таких як відбір та аналіз проб, де це необхідно. </w:t>
            </w:r>
          </w:p>
          <w:p w14:paraId="13007237" w14:textId="77777777" w:rsidR="00C3494A" w:rsidRPr="008B355C" w:rsidRDefault="00D7104D" w:rsidP="00987852">
            <w:pPr>
              <w:pStyle w:val="TableParagraph"/>
              <w:spacing w:after="120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>
              <w:rPr>
                <w:color w:val="1A171C"/>
                <w:sz w:val="28"/>
                <w:szCs w:val="28"/>
                <w:lang w:val="uk-UA"/>
              </w:rPr>
              <w:t>Кваліфікований п</w:t>
            </w:r>
            <w:r w:rsidR="00C3494A" w:rsidRPr="008B355C">
              <w:rPr>
                <w:color w:val="1A171C"/>
                <w:sz w:val="28"/>
                <w:szCs w:val="28"/>
                <w:lang w:val="uk-UA"/>
              </w:rPr>
              <w:t xml:space="preserve">ерсонал повинен пройти підготовку з визначення потенційних негативних властивостей, які можуть бути пов’язані з брухтом алюмінію, а також компонентів або характеристик матеріалів, які дозволяють розпізнавати небезпечні властивості. </w:t>
            </w:r>
          </w:p>
          <w:p w14:paraId="132A5697" w14:textId="77777777" w:rsidR="00C3494A" w:rsidRPr="008B355C" w:rsidRDefault="00C3494A" w:rsidP="00987852">
            <w:pPr>
              <w:pStyle w:val="TableParagraph"/>
              <w:spacing w:after="120"/>
              <w:ind w:right="-15"/>
              <w:jc w:val="both"/>
              <w:rPr>
                <w:sz w:val="28"/>
                <w:szCs w:val="28"/>
                <w:lang w:val="uk-UA"/>
              </w:rPr>
            </w:pPr>
            <w:r w:rsidRPr="008B355C">
              <w:rPr>
                <w:color w:val="1A171C"/>
                <w:sz w:val="28"/>
                <w:szCs w:val="28"/>
                <w:lang w:val="uk-UA"/>
              </w:rPr>
              <w:t>Процедура визначення небезпечних матеріалів повинна бути задокументована в системі управління якістю / системі екологічного управління.</w:t>
            </w:r>
          </w:p>
        </w:tc>
      </w:tr>
      <w:tr w:rsidR="00C3494A" w:rsidRPr="008B355C" w14:paraId="42FE5D3C" w14:textId="77777777" w:rsidTr="00987852">
        <w:tc>
          <w:tcPr>
            <w:tcW w:w="5220" w:type="dxa"/>
          </w:tcPr>
          <w:p w14:paraId="2D05D9D8" w14:textId="77777777" w:rsidR="00C3494A" w:rsidRPr="008B355C" w:rsidRDefault="00C3494A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3.7.</w:t>
            </w:r>
            <w:r w:rsidRPr="008B355C">
              <w:rPr>
                <w:rFonts w:ascii="Times New Roman" w:hAnsi="Times New Roman" w:cs="Times New Roman"/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Брухт не повинен містити жодних </w:t>
            </w:r>
            <w:r w:rsidRPr="008B355C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lastRenderedPageBreak/>
              <w:t>контейнерів, які знаходяться під тиском, закриті або недостатньо відкриті, які могли б спричинити вибух у металевій печі.</w:t>
            </w:r>
          </w:p>
        </w:tc>
        <w:tc>
          <w:tcPr>
            <w:tcW w:w="4159" w:type="dxa"/>
          </w:tcPr>
          <w:p w14:paraId="54830FB4" w14:textId="77777777" w:rsidR="00C3494A" w:rsidRPr="008B355C" w:rsidRDefault="00C3494A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Кваліфікований персонал </w:t>
            </w:r>
            <w:r w:rsidRPr="008B35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повинен проводити візуальний огляд кожної партії.</w:t>
            </w:r>
          </w:p>
        </w:tc>
      </w:tr>
    </w:tbl>
    <w:p w14:paraId="334B8F67" w14:textId="77777777" w:rsidR="003B3574" w:rsidRDefault="003B3574" w:rsidP="008B355C">
      <w:pPr>
        <w:spacing w:before="240" w:after="240" w:line="240" w:lineRule="auto"/>
      </w:pPr>
    </w:p>
    <w:p w14:paraId="74C93CA1" w14:textId="77777777" w:rsidR="008B355C" w:rsidRPr="008B355C" w:rsidRDefault="008B355C" w:rsidP="008B355C">
      <w:pPr>
        <w:spacing w:before="240" w:after="240" w:line="240" w:lineRule="auto"/>
        <w:jc w:val="center"/>
        <w:rPr>
          <w:lang w:val="uk-UA"/>
        </w:rPr>
      </w:pPr>
      <w:r>
        <w:rPr>
          <w:lang w:val="uk-UA"/>
        </w:rPr>
        <w:t>___________________________</w:t>
      </w:r>
    </w:p>
    <w:sectPr w:rsidR="008B355C" w:rsidRPr="008B355C" w:rsidSect="00CA0E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EFA838" w15:done="0"/>
  <w15:commentEx w15:paraId="281569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E6BE" w14:textId="77777777" w:rsidR="001D33B3" w:rsidRDefault="001D33B3" w:rsidP="00CA0E92">
      <w:pPr>
        <w:spacing w:after="0" w:line="240" w:lineRule="auto"/>
      </w:pPr>
      <w:r>
        <w:separator/>
      </w:r>
    </w:p>
  </w:endnote>
  <w:endnote w:type="continuationSeparator" w:id="0">
    <w:p w14:paraId="0C90FD14" w14:textId="77777777" w:rsidR="001D33B3" w:rsidRDefault="001D33B3" w:rsidP="00CA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B3A19" w14:textId="77777777" w:rsidR="001D33B3" w:rsidRDefault="001D33B3" w:rsidP="00CA0E92">
      <w:pPr>
        <w:spacing w:after="0" w:line="240" w:lineRule="auto"/>
      </w:pPr>
      <w:r>
        <w:separator/>
      </w:r>
    </w:p>
  </w:footnote>
  <w:footnote w:type="continuationSeparator" w:id="0">
    <w:p w14:paraId="5D1675F3" w14:textId="77777777" w:rsidR="001D33B3" w:rsidRDefault="001D33B3" w:rsidP="00CA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5885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946BC21" w14:textId="77777777" w:rsidR="00CA0E92" w:rsidRPr="00CA0E92" w:rsidRDefault="00CA0E9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0E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E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E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64FF" w:rsidRPr="00AE64F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6</w:t>
        </w:r>
        <w:r w:rsidRPr="00CA0E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9AC03F8" w14:textId="77777777" w:rsidR="00CA0E92" w:rsidRDefault="00CA0E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54F"/>
    <w:multiLevelType w:val="hybridMultilevel"/>
    <w:tmpl w:val="11460C5C"/>
    <w:lvl w:ilvl="0" w:tplc="9118B170">
      <w:numFmt w:val="bullet"/>
      <w:lvlText w:val="—"/>
      <w:lvlJc w:val="left"/>
      <w:pPr>
        <w:ind w:left="591" w:hanging="246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BF6065FA">
      <w:numFmt w:val="bullet"/>
      <w:lvlText w:val="•"/>
      <w:lvlJc w:val="left"/>
      <w:pPr>
        <w:ind w:left="949" w:hanging="246"/>
      </w:pPr>
    </w:lvl>
    <w:lvl w:ilvl="2" w:tplc="B46C1518">
      <w:numFmt w:val="bullet"/>
      <w:lvlText w:val="•"/>
      <w:lvlJc w:val="left"/>
      <w:pPr>
        <w:ind w:left="1298" w:hanging="246"/>
      </w:pPr>
    </w:lvl>
    <w:lvl w:ilvl="3" w:tplc="9174A57C">
      <w:numFmt w:val="bullet"/>
      <w:lvlText w:val="•"/>
      <w:lvlJc w:val="left"/>
      <w:pPr>
        <w:ind w:left="1647" w:hanging="246"/>
      </w:pPr>
    </w:lvl>
    <w:lvl w:ilvl="4" w:tplc="3222A272">
      <w:numFmt w:val="bullet"/>
      <w:lvlText w:val="•"/>
      <w:lvlJc w:val="left"/>
      <w:pPr>
        <w:ind w:left="1997" w:hanging="246"/>
      </w:pPr>
    </w:lvl>
    <w:lvl w:ilvl="5" w:tplc="6D64FCFE">
      <w:numFmt w:val="bullet"/>
      <w:lvlText w:val="•"/>
      <w:lvlJc w:val="left"/>
      <w:pPr>
        <w:ind w:left="2346" w:hanging="246"/>
      </w:pPr>
    </w:lvl>
    <w:lvl w:ilvl="6" w:tplc="393E9268">
      <w:numFmt w:val="bullet"/>
      <w:lvlText w:val="•"/>
      <w:lvlJc w:val="left"/>
      <w:pPr>
        <w:ind w:left="2695" w:hanging="246"/>
      </w:pPr>
    </w:lvl>
    <w:lvl w:ilvl="7" w:tplc="29EE1640">
      <w:numFmt w:val="bullet"/>
      <w:lvlText w:val="•"/>
      <w:lvlJc w:val="left"/>
      <w:pPr>
        <w:ind w:left="3045" w:hanging="246"/>
      </w:pPr>
    </w:lvl>
    <w:lvl w:ilvl="8" w:tplc="EB3051EE">
      <w:numFmt w:val="bullet"/>
      <w:lvlText w:val="•"/>
      <w:lvlJc w:val="left"/>
      <w:pPr>
        <w:ind w:left="3394" w:hanging="246"/>
      </w:pPr>
    </w:lvl>
  </w:abstractNum>
  <w:abstractNum w:abstractNumId="1">
    <w:nsid w:val="160D345C"/>
    <w:multiLevelType w:val="multilevel"/>
    <w:tmpl w:val="E38E66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 w:val="0"/>
      </w:rPr>
    </w:lvl>
  </w:abstractNum>
  <w:abstractNum w:abstractNumId="2">
    <w:nsid w:val="33F56D4A"/>
    <w:multiLevelType w:val="multilevel"/>
    <w:tmpl w:val="FC48E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3">
    <w:nsid w:val="3DD5535F"/>
    <w:multiLevelType w:val="multilevel"/>
    <w:tmpl w:val="03DECCAC"/>
    <w:lvl w:ilvl="0">
      <w:start w:val="1"/>
      <w:numFmt w:val="decimal"/>
      <w:lvlText w:val="%1"/>
      <w:lvlJc w:val="left"/>
      <w:pPr>
        <w:ind w:left="341" w:hanging="337"/>
      </w:pPr>
    </w:lvl>
    <w:lvl w:ilvl="1">
      <w:start w:val="2"/>
      <w:numFmt w:val="decimal"/>
      <w:lvlText w:val="%1.%2."/>
      <w:lvlJc w:val="left"/>
      <w:pPr>
        <w:ind w:left="341" w:hanging="337"/>
      </w:pPr>
      <w:rPr>
        <w:rFonts w:ascii="Georgia" w:eastAsia="Georgia" w:hAnsi="Georgia" w:cs="Georgia" w:hint="default"/>
        <w:color w:val="1A171C"/>
        <w:spacing w:val="-1"/>
        <w:w w:val="97"/>
        <w:sz w:val="17"/>
        <w:szCs w:val="17"/>
      </w:rPr>
    </w:lvl>
    <w:lvl w:ilvl="2">
      <w:numFmt w:val="bullet"/>
      <w:lvlText w:val="—"/>
      <w:lvlJc w:val="left"/>
      <w:pPr>
        <w:ind w:left="588" w:hanging="248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3">
      <w:numFmt w:val="bullet"/>
      <w:lvlText w:val="•"/>
      <w:lvlJc w:val="left"/>
      <w:pPr>
        <w:ind w:left="1360" w:hanging="248"/>
      </w:pPr>
    </w:lvl>
    <w:lvl w:ilvl="4">
      <w:numFmt w:val="bullet"/>
      <w:lvlText w:val="•"/>
      <w:lvlJc w:val="left"/>
      <w:pPr>
        <w:ind w:left="1751" w:hanging="248"/>
      </w:pPr>
    </w:lvl>
    <w:lvl w:ilvl="5">
      <w:numFmt w:val="bullet"/>
      <w:lvlText w:val="•"/>
      <w:lvlJc w:val="left"/>
      <w:pPr>
        <w:ind w:left="2141" w:hanging="248"/>
      </w:pPr>
    </w:lvl>
    <w:lvl w:ilvl="6">
      <w:numFmt w:val="bullet"/>
      <w:lvlText w:val="•"/>
      <w:lvlJc w:val="left"/>
      <w:pPr>
        <w:ind w:left="2531" w:hanging="248"/>
      </w:pPr>
    </w:lvl>
    <w:lvl w:ilvl="7">
      <w:numFmt w:val="bullet"/>
      <w:lvlText w:val="•"/>
      <w:lvlJc w:val="left"/>
      <w:pPr>
        <w:ind w:left="2922" w:hanging="248"/>
      </w:pPr>
    </w:lvl>
    <w:lvl w:ilvl="8">
      <w:numFmt w:val="bullet"/>
      <w:lvlText w:val="•"/>
      <w:lvlJc w:val="left"/>
      <w:pPr>
        <w:ind w:left="3312" w:hanging="248"/>
      </w:pPr>
    </w:lvl>
  </w:abstractNum>
  <w:abstractNum w:abstractNumId="4">
    <w:nsid w:val="4F302FD4"/>
    <w:multiLevelType w:val="multilevel"/>
    <w:tmpl w:val="4F528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52C06881"/>
    <w:multiLevelType w:val="multilevel"/>
    <w:tmpl w:val="B34019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ІГНАТЬЄВА Тетяна Анатоліївна">
    <w15:presenceInfo w15:providerId="AD" w15:userId="S-1-5-21-3661715301-172841279-98041422-2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51"/>
    <w:rsid w:val="00123951"/>
    <w:rsid w:val="001C2029"/>
    <w:rsid w:val="001D33B3"/>
    <w:rsid w:val="003A2469"/>
    <w:rsid w:val="003B3574"/>
    <w:rsid w:val="00471E76"/>
    <w:rsid w:val="006B1AD5"/>
    <w:rsid w:val="006D0860"/>
    <w:rsid w:val="008B355C"/>
    <w:rsid w:val="008B680A"/>
    <w:rsid w:val="00AE64FF"/>
    <w:rsid w:val="00C3494A"/>
    <w:rsid w:val="00CA0E92"/>
    <w:rsid w:val="00D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A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C3494A"/>
    <w:pPr>
      <w:ind w:left="720"/>
      <w:contextualSpacing/>
    </w:pPr>
  </w:style>
  <w:style w:type="table" w:styleId="a5">
    <w:name w:val="Table Grid"/>
    <w:basedOn w:val="a1"/>
    <w:uiPriority w:val="39"/>
    <w:rsid w:val="00C349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C3494A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C3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A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E92"/>
    <w:rPr>
      <w:lang w:val="ru-RU"/>
    </w:rPr>
  </w:style>
  <w:style w:type="paragraph" w:styleId="a9">
    <w:name w:val="footer"/>
    <w:basedOn w:val="a"/>
    <w:link w:val="aa"/>
    <w:uiPriority w:val="99"/>
    <w:unhideWhenUsed/>
    <w:rsid w:val="00CA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E92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471E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E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E76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E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E76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7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1E7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4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C3494A"/>
    <w:pPr>
      <w:ind w:left="720"/>
      <w:contextualSpacing/>
    </w:pPr>
  </w:style>
  <w:style w:type="table" w:styleId="a5">
    <w:name w:val="Table Grid"/>
    <w:basedOn w:val="a1"/>
    <w:uiPriority w:val="39"/>
    <w:rsid w:val="00C3494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34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C3494A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C34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CA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0E92"/>
    <w:rPr>
      <w:lang w:val="ru-RU"/>
    </w:rPr>
  </w:style>
  <w:style w:type="paragraph" w:styleId="a9">
    <w:name w:val="footer"/>
    <w:basedOn w:val="a"/>
    <w:link w:val="aa"/>
    <w:uiPriority w:val="99"/>
    <w:unhideWhenUsed/>
    <w:rsid w:val="00CA0E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E92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471E7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1E7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1E76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71E7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71E76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7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1E7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5101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Семенова Наталія Ігорівна</cp:lastModifiedBy>
  <cp:revision>5</cp:revision>
  <cp:lastPrinted>2023-03-16T12:27:00Z</cp:lastPrinted>
  <dcterms:created xsi:type="dcterms:W3CDTF">2023-03-16T10:55:00Z</dcterms:created>
  <dcterms:modified xsi:type="dcterms:W3CDTF">2023-03-16T13:42:00Z</dcterms:modified>
</cp:coreProperties>
</file>