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0CAB" w14:textId="77777777" w:rsidR="00A320AC" w:rsidRPr="005E71DA" w:rsidRDefault="00A320AC" w:rsidP="002A17E8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ЗАТВЕРДЖЕНО</w:t>
      </w:r>
    </w:p>
    <w:p w14:paraId="4603F62E" w14:textId="77777777" w:rsidR="00A320AC" w:rsidRPr="005E71DA" w:rsidRDefault="00A320AC" w:rsidP="002A17E8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постановою Кабінету Міністрів України</w:t>
      </w:r>
    </w:p>
    <w:p w14:paraId="21081882" w14:textId="77777777" w:rsidR="00A320AC" w:rsidRPr="005E71DA" w:rsidRDefault="00A320AC" w:rsidP="002A17E8">
      <w:pPr>
        <w:spacing w:after="0" w:line="240" w:lineRule="auto"/>
        <w:ind w:firstLine="439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від ____ ________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3</w:t>
      </w: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 xml:space="preserve"> р. № _____</w:t>
      </w:r>
    </w:p>
    <w:p w14:paraId="4EA0E5E1" w14:textId="77777777" w:rsidR="00A320AC" w:rsidRPr="005E71DA" w:rsidRDefault="00A320AC" w:rsidP="00A320AC">
      <w:pPr>
        <w:pStyle w:val="a6"/>
        <w:shd w:val="clear" w:color="auto" w:fill="FFFFFF"/>
        <w:spacing w:before="240" w:beforeAutospacing="0" w:after="24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14:paraId="0D9FBA7D" w14:textId="77777777" w:rsidR="00A320AC" w:rsidRPr="005E71DA" w:rsidRDefault="00A320AC" w:rsidP="00A459FF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olor w:val="333333"/>
          <w:sz w:val="32"/>
          <w:szCs w:val="32"/>
          <w:shd w:val="clear" w:color="auto" w:fill="FFFFFF"/>
          <w:lang w:val="uk-UA"/>
        </w:rPr>
      </w:pPr>
      <w:r w:rsidRPr="005E71DA">
        <w:rPr>
          <w:b/>
          <w:caps/>
          <w:color w:val="333333"/>
          <w:sz w:val="32"/>
          <w:szCs w:val="32"/>
          <w:shd w:val="clear" w:color="auto" w:fill="FFFFFF"/>
          <w:lang w:val="uk-UA"/>
        </w:rPr>
        <w:t>Критерії</w:t>
      </w:r>
      <w:r w:rsidRPr="005E71DA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 </w:t>
      </w:r>
    </w:p>
    <w:p w14:paraId="43C20768" w14:textId="77777777" w:rsidR="00A320AC" w:rsidRPr="005E71DA" w:rsidRDefault="00A320AC" w:rsidP="00A459FF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E71DA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оголошення припинення статусу відходів для брухту міді 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5220"/>
        <w:gridCol w:w="4159"/>
      </w:tblGrid>
      <w:tr w:rsidR="00A320AC" w:rsidRPr="005E71DA" w14:paraId="37B0D9AD" w14:textId="77777777" w:rsidTr="00987852">
        <w:tc>
          <w:tcPr>
            <w:tcW w:w="5220" w:type="dxa"/>
          </w:tcPr>
          <w:p w14:paraId="05A2EAE4" w14:textId="77777777" w:rsidR="00A320AC" w:rsidRPr="00A320AC" w:rsidRDefault="00A320AC" w:rsidP="00987852">
            <w:pPr>
              <w:spacing w:after="120"/>
              <w:ind w:right="1149"/>
              <w:jc w:val="center"/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</w:pPr>
            <w:bookmarkStart w:id="0" w:name="_Hlk119060920"/>
            <w:r w:rsidRPr="00A320AC"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4159" w:type="dxa"/>
          </w:tcPr>
          <w:p w14:paraId="5619D297" w14:textId="77777777" w:rsidR="00A320AC" w:rsidRPr="00A320AC" w:rsidRDefault="00A320AC" w:rsidP="00987852">
            <w:pPr>
              <w:spacing w:after="120"/>
              <w:ind w:right="4"/>
              <w:jc w:val="center"/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Вимоги для внутрішнього моніторингу</w:t>
            </w:r>
          </w:p>
        </w:tc>
      </w:tr>
      <w:tr w:rsidR="00A320AC" w:rsidRPr="005E71DA" w14:paraId="68A83804" w14:textId="77777777" w:rsidTr="00987852">
        <w:tc>
          <w:tcPr>
            <w:tcW w:w="9379" w:type="dxa"/>
            <w:gridSpan w:val="2"/>
          </w:tcPr>
          <w:p w14:paraId="169B8E21" w14:textId="77777777" w:rsidR="00A320AC" w:rsidRPr="00A320AC" w:rsidRDefault="00A320AC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t>Розділ 1.  Відходи, які використовуються як вхідна фракція для операцій з відновлення відходів</w:t>
            </w:r>
          </w:p>
        </w:tc>
      </w:tr>
      <w:tr w:rsidR="00A320AC" w:rsidRPr="00C62557" w14:paraId="4F49F399" w14:textId="77777777" w:rsidTr="00987852">
        <w:tc>
          <w:tcPr>
            <w:tcW w:w="5220" w:type="dxa"/>
          </w:tcPr>
          <w:p w14:paraId="1879DBDB" w14:textId="77777777" w:rsidR="00A320AC" w:rsidRPr="00A320AC" w:rsidRDefault="00A320AC" w:rsidP="002C1766">
            <w:pPr>
              <w:spacing w:after="120"/>
              <w:ind w:right="40" w:firstLine="246"/>
              <w:jc w:val="both"/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C62557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1.1. Тільки відходи, які містять мідь або мідний сплав, що підлягають відновленню, можуть використовуватися як вхідна фракція.</w:t>
            </w:r>
          </w:p>
        </w:tc>
        <w:tc>
          <w:tcPr>
            <w:tcW w:w="4159" w:type="dxa"/>
            <w:vMerge w:val="restart"/>
          </w:tcPr>
          <w:p w14:paraId="15F41157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Вхідний контроль під час приймання відходів здійснюється шляхом візуального огляду та вивчення супровідної документації кваліфікованим персоналом, який навчений визначати відходи, що не відповідають критеріям, викладеним у цьому Розділі.</w:t>
            </w:r>
          </w:p>
        </w:tc>
      </w:tr>
      <w:tr w:rsidR="00A320AC" w:rsidRPr="005E71DA" w14:paraId="2FA9FFC3" w14:textId="77777777" w:rsidTr="00987852">
        <w:tc>
          <w:tcPr>
            <w:tcW w:w="5220" w:type="dxa"/>
            <w:shd w:val="clear" w:color="auto" w:fill="auto"/>
          </w:tcPr>
          <w:p w14:paraId="631308E0" w14:textId="77777777" w:rsidR="00A320AC" w:rsidRPr="00A320AC" w:rsidRDefault="00A320AC" w:rsidP="00987852">
            <w:pPr>
              <w:spacing w:after="120"/>
              <w:ind w:firstLine="2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1.2 Небезпечні відходи не повинні використовуватися як вхідна фракція, за винятком випадків, коли надається доказ того, що процеси та методи, зазначені в розділі 2 цих Критеріїв </w:t>
            </w: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були застосовані для видалення</w:t>
            </w: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всіх небезпечних властивостей.</w:t>
            </w:r>
          </w:p>
        </w:tc>
        <w:tc>
          <w:tcPr>
            <w:tcW w:w="4159" w:type="dxa"/>
            <w:vMerge/>
          </w:tcPr>
          <w:p w14:paraId="6C486079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A320AC" w:rsidRPr="005E71DA" w14:paraId="320C8B53" w14:textId="77777777" w:rsidTr="00987852">
        <w:tc>
          <w:tcPr>
            <w:tcW w:w="5220" w:type="dxa"/>
            <w:shd w:val="clear" w:color="auto" w:fill="auto"/>
          </w:tcPr>
          <w:p w14:paraId="27C5B4C8" w14:textId="77777777" w:rsidR="00A320AC" w:rsidRPr="00A320AC" w:rsidRDefault="00A320AC" w:rsidP="00987852">
            <w:pPr>
              <w:spacing w:after="120"/>
              <w:ind w:firstLine="2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1.3. Наступні види відходів не повинні використовуватись як вхідна фракція:</w:t>
            </w:r>
          </w:p>
          <w:p w14:paraId="66B5276F" w14:textId="77777777" w:rsidR="00A320AC" w:rsidRPr="00A320AC" w:rsidRDefault="00A320AC" w:rsidP="00987852">
            <w:pPr>
              <w:spacing w:after="120"/>
              <w:ind w:firstLine="2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токарна та свердлильна стружка, які містять рідини, такі як масло або масляні емульсії</w:t>
            </w:r>
            <w:r w:rsidR="00DB3AA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4EB6B1CD" w14:textId="77777777" w:rsidR="00A320AC" w:rsidRPr="00A320AC" w:rsidRDefault="00A320AC" w:rsidP="00987852">
            <w:pPr>
              <w:spacing w:after="120"/>
              <w:ind w:firstLine="2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бочки та контейнери, за винятком обладнання з транспортних засобів, у яких закінчився термін експлуатації, які містять або містили масло або фарби.</w:t>
            </w:r>
          </w:p>
        </w:tc>
        <w:tc>
          <w:tcPr>
            <w:tcW w:w="4159" w:type="dxa"/>
            <w:vMerge/>
          </w:tcPr>
          <w:p w14:paraId="51CFF591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A320AC" w:rsidRPr="005E71DA" w14:paraId="782C2462" w14:textId="77777777" w:rsidTr="00987852">
        <w:tc>
          <w:tcPr>
            <w:tcW w:w="9379" w:type="dxa"/>
            <w:gridSpan w:val="2"/>
            <w:shd w:val="clear" w:color="auto" w:fill="auto"/>
          </w:tcPr>
          <w:p w14:paraId="2649CC37" w14:textId="77777777" w:rsidR="00A320AC" w:rsidRPr="00A320AC" w:rsidRDefault="00A320AC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t>Розділ 2. Процеси і технології оброблення відходів</w:t>
            </w:r>
          </w:p>
        </w:tc>
      </w:tr>
      <w:tr w:rsidR="00A320AC" w:rsidRPr="00C62557" w14:paraId="1E33C4EF" w14:textId="77777777" w:rsidTr="00987852">
        <w:tc>
          <w:tcPr>
            <w:tcW w:w="5220" w:type="dxa"/>
            <w:shd w:val="clear" w:color="auto" w:fill="auto"/>
          </w:tcPr>
          <w:p w14:paraId="507CAB9A" w14:textId="77777777" w:rsidR="00A320AC" w:rsidRPr="00A320AC" w:rsidRDefault="00A320AC" w:rsidP="00987852">
            <w:pPr>
              <w:pStyle w:val="a3"/>
              <w:widowControl w:val="0"/>
              <w:autoSpaceDE w:val="0"/>
              <w:autoSpaceDN w:val="0"/>
              <w:spacing w:after="120"/>
              <w:ind w:left="72" w:right="40" w:firstLine="274"/>
              <w:contextualSpacing w:val="0"/>
              <w:jc w:val="both"/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2.1. Вхідні фракції</w:t>
            </w: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 відходів повинні бути оброблені для відокремлення </w:t>
            </w: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брухту міді від не металевих і не мідних компонентів, якщо брухт міді не був відокремлений в джерелі  утворення або під час збирання. Брухт міді, що утворився в результаті цих операцій, повинен зберігатися окремо від будь-</w:t>
            </w: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lastRenderedPageBreak/>
              <w:t>яких інших відходів.</w:t>
            </w:r>
          </w:p>
        </w:tc>
        <w:tc>
          <w:tcPr>
            <w:tcW w:w="4159" w:type="dxa"/>
          </w:tcPr>
          <w:p w14:paraId="59D01147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A320AC" w:rsidRPr="00C62557" w14:paraId="0BA617F0" w14:textId="77777777" w:rsidTr="00987852">
        <w:tc>
          <w:tcPr>
            <w:tcW w:w="5220" w:type="dxa"/>
            <w:shd w:val="clear" w:color="auto" w:fill="auto"/>
          </w:tcPr>
          <w:p w14:paraId="4316CD21" w14:textId="77777777" w:rsidR="00A320AC" w:rsidRPr="009D4DA2" w:rsidRDefault="00A320AC" w:rsidP="00A459FF">
            <w:pPr>
              <w:pStyle w:val="a6"/>
              <w:shd w:val="clear" w:color="auto" w:fill="FFFFFF"/>
              <w:spacing w:before="240" w:beforeAutospacing="0" w:after="240" w:afterAutospacing="0"/>
              <w:ind w:firstLine="567"/>
              <w:jc w:val="both"/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320AC">
              <w:rPr>
                <w:bCs/>
                <w:color w:val="1A171C"/>
                <w:sz w:val="28"/>
                <w:szCs w:val="28"/>
                <w:lang w:val="uk-UA"/>
              </w:rPr>
              <w:lastRenderedPageBreak/>
              <w:t xml:space="preserve">2.2. Всі види механічного оброблення (такі як різання, оброблення механічними ножицями, подрібнення або гранулювання; сортування, розділення, очищення, знешкодження, випорожнення), необхідні для підготовки </w:t>
            </w:r>
            <w:r w:rsidR="009D4DA2" w:rsidRPr="00A459FF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брухту міді</w:t>
            </w:r>
            <w:r w:rsidR="009D4DA2" w:rsidRPr="005E71DA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320AC">
              <w:rPr>
                <w:bCs/>
                <w:color w:val="1A171C"/>
                <w:sz w:val="28"/>
                <w:szCs w:val="28"/>
                <w:lang w:val="uk-UA"/>
              </w:rPr>
              <w:t xml:space="preserve"> до безпосереднього використання як вхідної фракції, повинні бути завершені. </w:t>
            </w:r>
          </w:p>
        </w:tc>
        <w:tc>
          <w:tcPr>
            <w:tcW w:w="4159" w:type="dxa"/>
          </w:tcPr>
          <w:p w14:paraId="5CC84FB1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A320AC" w:rsidRPr="005E71DA" w14:paraId="330D4DED" w14:textId="77777777" w:rsidTr="00987852">
        <w:tc>
          <w:tcPr>
            <w:tcW w:w="5220" w:type="dxa"/>
            <w:shd w:val="clear" w:color="auto" w:fill="auto"/>
          </w:tcPr>
          <w:p w14:paraId="7DF11578" w14:textId="77777777" w:rsidR="00A320AC" w:rsidRPr="00A320AC" w:rsidRDefault="00A320AC" w:rsidP="00DB3AAD">
            <w:pPr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2.3. Для відходів, які містять небезпечні компоненти, повинні застосовуватися наступні специфічні вимоги:</w:t>
            </w:r>
          </w:p>
          <w:p w14:paraId="24D1A125" w14:textId="77777777" w:rsidR="00A320AC" w:rsidRPr="00A320AC" w:rsidRDefault="00A320AC" w:rsidP="00DB3AAD">
            <w:pPr>
              <w:ind w:left="72" w:firstLine="495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вхідні фракції з відходів електричного та електронного обладнання  або транспортних засобів, у яких закінчився термін експлуатації, повинні проходити оброблення відповідно до законодавства у сфері управління відходами електричного та електронного обладнання та законодавства у сфері утилізації транспортних заходів</w:t>
            </w:r>
            <w:r w:rsidR="00DB3AA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191FC85C" w14:textId="77777777" w:rsidR="00A320AC" w:rsidRPr="00A320AC" w:rsidRDefault="00A320AC" w:rsidP="00DB3AAD">
            <w:pPr>
              <w:ind w:firstLine="495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proofErr w:type="spellStart"/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хлорфторвуглеці</w:t>
            </w:r>
            <w:proofErr w:type="spellEnd"/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 відпрацьованого обладнання повинні бути відокремлені згідно із законодавством про хімічну безпеку та поводження з хімічними речовинами</w:t>
            </w:r>
            <w:r w:rsidR="00DB3AA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73562292" w14:textId="77777777" w:rsidR="00A320AC" w:rsidRPr="00A320AC" w:rsidRDefault="00A320AC" w:rsidP="00DB3AAD">
            <w:pPr>
              <w:ind w:firstLine="495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кабелі повинні бути зняті або від’єднанні. Якщо кабель містить органічні покриття (пластмаси), органічні покриття повинні бути видалені відповідно до найкращих доступних технологій</w:t>
            </w:r>
            <w:r w:rsidR="00DB3AA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4A79413C" w14:textId="77777777" w:rsidR="00A320AC" w:rsidRPr="00A320AC" w:rsidRDefault="00A320AC" w:rsidP="00DB3AAD">
            <w:pPr>
              <w:ind w:firstLine="495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бочки та контейнери повинні бути спорожнені та очищені</w:t>
            </w:r>
            <w:r w:rsidR="00DB3AA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28C880ED" w14:textId="77777777" w:rsidR="00A320AC" w:rsidRPr="00A320AC" w:rsidRDefault="00A320AC" w:rsidP="00DB3AAD">
            <w:pPr>
              <w:ind w:firstLine="495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небезпечні речовини у відходах, не зазначених в абзаці другому цього пункту, повинні бути ефективно видалені згідно із законодавством про хімічну безпеку та поводження з хімічними </w:t>
            </w: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lastRenderedPageBreak/>
              <w:t xml:space="preserve">речовинами. </w:t>
            </w:r>
          </w:p>
        </w:tc>
        <w:tc>
          <w:tcPr>
            <w:tcW w:w="4159" w:type="dxa"/>
          </w:tcPr>
          <w:p w14:paraId="2F06CDAE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A320AC" w:rsidRPr="005E71DA" w14:paraId="7FD31549" w14:textId="77777777" w:rsidTr="00987852">
        <w:tc>
          <w:tcPr>
            <w:tcW w:w="9379" w:type="dxa"/>
            <w:gridSpan w:val="2"/>
          </w:tcPr>
          <w:p w14:paraId="20733C0A" w14:textId="77777777" w:rsidR="00A320AC" w:rsidRPr="00A320AC" w:rsidRDefault="00A320AC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lastRenderedPageBreak/>
              <w:t>Розділ 3. Якість брухту міді, що утворився в результаті проведення операцій з відновлення</w:t>
            </w:r>
          </w:p>
        </w:tc>
      </w:tr>
      <w:tr w:rsidR="00A320AC" w:rsidRPr="005E71DA" w14:paraId="10F092E9" w14:textId="77777777" w:rsidTr="00987852">
        <w:tc>
          <w:tcPr>
            <w:tcW w:w="5220" w:type="dxa"/>
          </w:tcPr>
          <w:p w14:paraId="5FE48090" w14:textId="77777777" w:rsidR="00A320AC" w:rsidRPr="00A320AC" w:rsidRDefault="00A320AC" w:rsidP="00987852">
            <w:pPr>
              <w:spacing w:after="120"/>
              <w:ind w:firstLine="33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</w:pPr>
            <w:r w:rsidRPr="00A320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3.1. Брухт повинен оцінюватися відповідно до ДСТУ 3211:2009/ГОСТ 1639:2009 "Брухт і відходи кольорових металів і сплавів. Загальні технічні умови" або </w:t>
            </w:r>
            <w:r w:rsidRPr="00A320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 xml:space="preserve">аналогічного </w:t>
            </w:r>
            <w:r w:rsidRPr="00A320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міжнародного стандарту, або технічних умов (технічних специфікацій) для безпосереднього використання у виробництві металевих речовин або предметів плавильними, переробними, переплавними заводами або іншими виробниками металів. </w:t>
            </w:r>
          </w:p>
        </w:tc>
        <w:tc>
          <w:tcPr>
            <w:tcW w:w="4159" w:type="dxa"/>
          </w:tcPr>
          <w:p w14:paraId="5C24F5A5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>Кваліфікований персонал повинен оцінювати кожну партію.</w:t>
            </w:r>
          </w:p>
        </w:tc>
      </w:tr>
      <w:tr w:rsidR="00A320AC" w:rsidRPr="005E71DA" w14:paraId="14FEE334" w14:textId="77777777" w:rsidTr="00987852">
        <w:tc>
          <w:tcPr>
            <w:tcW w:w="5220" w:type="dxa"/>
          </w:tcPr>
          <w:p w14:paraId="7840B18F" w14:textId="77777777" w:rsidR="00A320AC" w:rsidRPr="00A320AC" w:rsidRDefault="00A320AC" w:rsidP="00A320AC">
            <w:pPr>
              <w:pStyle w:val="TableParagraph"/>
              <w:numPr>
                <w:ilvl w:val="1"/>
                <w:numId w:val="3"/>
              </w:numPr>
              <w:spacing w:after="120"/>
              <w:ind w:left="0" w:right="81" w:firstLine="336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Загальна кількість домішок повинна бути &lt; 2 % від ваги;</w:t>
            </w:r>
          </w:p>
          <w:p w14:paraId="64E8AEA3" w14:textId="77777777" w:rsidR="00A320AC" w:rsidRPr="00A320AC" w:rsidRDefault="00A320AC" w:rsidP="00987852">
            <w:pPr>
              <w:pStyle w:val="TableParagraph"/>
              <w:spacing w:after="120"/>
              <w:ind w:firstLine="336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Домішками є:</w:t>
            </w:r>
          </w:p>
          <w:p w14:paraId="4D808E70" w14:textId="77777777" w:rsidR="00A320AC" w:rsidRPr="00A320AC" w:rsidRDefault="00A320AC" w:rsidP="00A459FF">
            <w:pPr>
              <w:pStyle w:val="TableParagraph"/>
              <w:tabs>
                <w:tab w:val="left" w:pos="589"/>
              </w:tabs>
              <w:ind w:firstLine="284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метали, інші ніж мідь та мідні сплави</w:t>
            </w:r>
            <w:r w:rsidR="00A459FF">
              <w:rPr>
                <w:color w:val="1A171C"/>
                <w:sz w:val="28"/>
                <w:szCs w:val="28"/>
                <w:lang w:val="uk-UA"/>
              </w:rPr>
              <w:t>;</w:t>
            </w:r>
          </w:p>
          <w:p w14:paraId="57E535C1" w14:textId="77777777" w:rsidR="00A320AC" w:rsidRPr="00A320AC" w:rsidRDefault="00A320AC" w:rsidP="00A459FF">
            <w:pPr>
              <w:pStyle w:val="TableParagraph"/>
              <w:tabs>
                <w:tab w:val="left" w:pos="589"/>
              </w:tabs>
              <w:ind w:right="77" w:firstLine="284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не металеві матеріали, такі як земля, пил, ізоляційні матеріали та скло</w:t>
            </w:r>
            <w:r w:rsidR="00A459FF">
              <w:rPr>
                <w:color w:val="1A171C"/>
                <w:sz w:val="28"/>
                <w:szCs w:val="28"/>
                <w:lang w:val="uk-UA"/>
              </w:rPr>
              <w:t>;</w:t>
            </w:r>
          </w:p>
          <w:p w14:paraId="0F4C0981" w14:textId="77777777" w:rsidR="00A320AC" w:rsidRPr="00A320AC" w:rsidRDefault="00A320AC" w:rsidP="00A459FF">
            <w:pPr>
              <w:pStyle w:val="a3"/>
              <w:ind w:left="0" w:right="4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горючі неметалеві матеріали, такі як гума, пластмаса, тканина, дерево та інші хімічні або органічні речовини</w:t>
            </w:r>
            <w:r w:rsidR="00A459FF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;</w:t>
            </w:r>
          </w:p>
          <w:p w14:paraId="73154BEA" w14:textId="77777777" w:rsidR="00A320AC" w:rsidRPr="00A320AC" w:rsidRDefault="00A320AC" w:rsidP="00A459FF">
            <w:pPr>
              <w:pStyle w:val="a3"/>
              <w:ind w:left="0" w:right="4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шлак, окалина, відходи та пил від шліфування, пил з рукавного фільтру та пиловловлювача, шлам.</w:t>
            </w:r>
          </w:p>
          <w:p w14:paraId="130E36BD" w14:textId="77777777" w:rsidR="00A320AC" w:rsidRPr="00A320AC" w:rsidRDefault="00A320AC" w:rsidP="00987852">
            <w:pPr>
              <w:tabs>
                <w:tab w:val="left" w:pos="360"/>
              </w:tabs>
              <w:spacing w:after="120"/>
              <w:ind w:left="340" w:right="40" w:firstLine="336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</w:tcPr>
          <w:p w14:paraId="2356A556" w14:textId="77777777" w:rsidR="00A320AC" w:rsidRPr="00A320AC" w:rsidRDefault="00A320AC" w:rsidP="00987852">
            <w:pPr>
              <w:pStyle w:val="TableParagraph"/>
              <w:spacing w:after="120"/>
              <w:ind w:left="88" w:right="-15"/>
              <w:jc w:val="both"/>
              <w:rPr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  <w:p w14:paraId="4E11A251" w14:textId="1AA765B9" w:rsidR="00A320AC" w:rsidRPr="00A320AC" w:rsidRDefault="00A320AC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Належна періодичність (щонайменше кожні 6 місяців) відбору проб повинна бути встановлена для визначення вмісту брухту міді та загальної кількості домішок. Загальна кількість домішок повинна визначатися шляхом зважування після відокремлення частин чи елементів з міді/мідних сплавів від інших частин чи елементів, що містять домішки, шляхом ручного сортування </w:t>
            </w:r>
            <w:r w:rsidR="00C62557">
              <w:rPr>
                <w:color w:val="1A171C"/>
                <w:sz w:val="28"/>
                <w:szCs w:val="28"/>
                <w:lang w:val="uk-UA"/>
              </w:rPr>
              <w:t>або іншими способами відділення.</w:t>
            </w:r>
            <w:bookmarkStart w:id="1" w:name="_GoBack"/>
            <w:bookmarkEnd w:id="1"/>
          </w:p>
          <w:p w14:paraId="158CE19C" w14:textId="77777777" w:rsidR="00A320AC" w:rsidRPr="00A320AC" w:rsidRDefault="00A320AC" w:rsidP="00A459FF">
            <w:pPr>
              <w:pStyle w:val="TableParagraph"/>
              <w:ind w:left="88" w:right="-15"/>
              <w:jc w:val="both"/>
              <w:rPr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Належна періодичність проведення аналізу репрезентативних проб повинна визначатися з врахуванням наступних чинників:</w:t>
            </w:r>
          </w:p>
          <w:p w14:paraId="58B7CB87" w14:textId="77777777" w:rsidR="00A320AC" w:rsidRPr="00A320AC" w:rsidRDefault="00A320AC" w:rsidP="00A459FF">
            <w:pPr>
              <w:pStyle w:val="TableParagraph"/>
              <w:tabs>
                <w:tab w:val="left" w:pos="336"/>
              </w:tabs>
              <w:ind w:right="-15" w:firstLine="309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очікувана модель мінливості (наприклад, за історичними результатами</w:t>
            </w:r>
            <w:r w:rsidR="00A459FF">
              <w:rPr>
                <w:color w:val="1A171C"/>
                <w:sz w:val="28"/>
                <w:szCs w:val="28"/>
                <w:lang w:val="uk-UA"/>
              </w:rPr>
              <w:t>;</w:t>
            </w:r>
          </w:p>
          <w:p w14:paraId="1E07DA2E" w14:textId="77777777" w:rsidR="00A320AC" w:rsidRPr="00A320AC" w:rsidRDefault="00A320AC" w:rsidP="00A459FF">
            <w:pPr>
              <w:pStyle w:val="TableParagraph"/>
              <w:tabs>
                <w:tab w:val="left" w:pos="336"/>
              </w:tabs>
              <w:ind w:right="-15" w:firstLine="309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невід’ємний ризик мінливості якості відходів, що </w:t>
            </w:r>
            <w:r w:rsidRPr="00A320AC">
              <w:rPr>
                <w:color w:val="1A171C"/>
                <w:sz w:val="28"/>
                <w:szCs w:val="28"/>
                <w:lang w:val="uk-UA"/>
              </w:rPr>
              <w:lastRenderedPageBreak/>
              <w:t>використовуються як вхідна фракція для операцій з відновлення і будь-якої подальшої обробки</w:t>
            </w:r>
            <w:r w:rsidR="00A459FF">
              <w:rPr>
                <w:color w:val="1A171C"/>
                <w:sz w:val="28"/>
                <w:szCs w:val="28"/>
                <w:lang w:val="uk-UA"/>
              </w:rPr>
              <w:t>;</w:t>
            </w:r>
          </w:p>
          <w:p w14:paraId="2E49CBE9" w14:textId="77777777" w:rsidR="00A320AC" w:rsidRPr="00A459FF" w:rsidRDefault="00A320AC" w:rsidP="00A459FF">
            <w:pPr>
              <w:ind w:right="40" w:firstLine="309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A459FF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невід'ємна точність методу моніторингу; </w:t>
            </w:r>
          </w:p>
          <w:p w14:paraId="60208222" w14:textId="77777777" w:rsidR="00A320AC" w:rsidRPr="00A320AC" w:rsidRDefault="00A320AC" w:rsidP="00A459FF">
            <w:pPr>
              <w:pStyle w:val="TableParagraph"/>
              <w:tabs>
                <w:tab w:val="left" w:pos="336"/>
              </w:tabs>
              <w:ind w:right="-15" w:firstLine="309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наближеність результатів до граничних значень загальної кількості домішок.</w:t>
            </w:r>
          </w:p>
          <w:p w14:paraId="5A2D400C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Процедура по визначенню періодичності проведення моніторингу повинна бути задокументована як частина системи управління якістю / системи екологічного управління та повинна бути доступною для перевірки.</w:t>
            </w:r>
          </w:p>
        </w:tc>
      </w:tr>
      <w:tr w:rsidR="00A320AC" w:rsidRPr="005E71DA" w14:paraId="7F1C0A7B" w14:textId="77777777" w:rsidTr="00987852">
        <w:tc>
          <w:tcPr>
            <w:tcW w:w="5220" w:type="dxa"/>
          </w:tcPr>
          <w:p w14:paraId="115F0960" w14:textId="77777777" w:rsidR="00A320AC" w:rsidRPr="00A320AC" w:rsidRDefault="00A320AC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bookmarkStart w:id="2" w:name="_Hlk119078413"/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lastRenderedPageBreak/>
              <w:t xml:space="preserve">3.3. Брухт не повинен містити надмірної кількості </w:t>
            </w: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оксиду металу в будь-якій формі, за винятком типових кількостей, які виникають під час зберігання готового брухту поза межами приміщення за нормальних атмосферних умов.</w:t>
            </w:r>
          </w:p>
        </w:tc>
        <w:tc>
          <w:tcPr>
            <w:tcW w:w="4159" w:type="dxa"/>
          </w:tcPr>
          <w:p w14:paraId="05F7664B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</w:tc>
      </w:tr>
      <w:bookmarkEnd w:id="2"/>
      <w:tr w:rsidR="00A320AC" w:rsidRPr="005E71DA" w14:paraId="5504CCFE" w14:textId="77777777" w:rsidTr="00987852">
        <w:tc>
          <w:tcPr>
            <w:tcW w:w="5220" w:type="dxa"/>
          </w:tcPr>
          <w:p w14:paraId="71CB1C92" w14:textId="77777777" w:rsidR="00A320AC" w:rsidRPr="00A320AC" w:rsidRDefault="00A320AC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3.4. Брухт не повинен містити видимих ознак наявності олив, масляних емульсій, мастильних матеріалів або мастил, за винятком незначних кількостей що не призведуть до витікання </w:t>
            </w:r>
          </w:p>
        </w:tc>
        <w:tc>
          <w:tcPr>
            <w:tcW w:w="4159" w:type="dxa"/>
          </w:tcPr>
          <w:p w14:paraId="1814120A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Кваліфікований персонал повинен проводити візуальну перевірку кожної партії, приділяючи особливу увагу частинам, де можуть відбуватися витоки мастил.    </w:t>
            </w:r>
          </w:p>
        </w:tc>
      </w:tr>
      <w:tr w:rsidR="00A320AC" w:rsidRPr="009D4DA2" w14:paraId="3FFB50C9" w14:textId="77777777" w:rsidTr="00987852">
        <w:tc>
          <w:tcPr>
            <w:tcW w:w="5220" w:type="dxa"/>
          </w:tcPr>
          <w:p w14:paraId="3439116D" w14:textId="77777777" w:rsidR="00A320AC" w:rsidRPr="009D4DA2" w:rsidRDefault="00A320AC" w:rsidP="00DB3AAD">
            <w:pPr>
              <w:pStyle w:val="TableParagraph"/>
              <w:spacing w:after="120"/>
              <w:ind w:right="81" w:firstLine="336"/>
              <w:jc w:val="both"/>
              <w:rPr>
                <w:b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3.5. Радіоактивність </w:t>
            </w:r>
            <w:r w:rsidR="009D4DA2">
              <w:rPr>
                <w:color w:val="1A171C"/>
                <w:sz w:val="28"/>
                <w:szCs w:val="28"/>
                <w:lang w:val="uk-UA"/>
              </w:rPr>
              <w:t>брухт</w:t>
            </w:r>
            <w:r w:rsidR="00DB3AAD">
              <w:rPr>
                <w:color w:val="1A171C"/>
                <w:sz w:val="28"/>
                <w:szCs w:val="28"/>
                <w:lang w:val="uk-UA"/>
              </w:rPr>
              <w:t>у</w:t>
            </w:r>
            <w:r w:rsidR="009D4DA2" w:rsidRPr="009D4DA2">
              <w:rPr>
                <w:color w:val="1A171C"/>
                <w:sz w:val="28"/>
                <w:szCs w:val="28"/>
                <w:lang w:val="uk-UA"/>
              </w:rPr>
              <w:t xml:space="preserve"> міді</w:t>
            </w:r>
            <w:r w:rsidR="009D4DA2" w:rsidRPr="009D4DA2">
              <w:rPr>
                <w:b/>
                <w:color w:val="1A171C"/>
                <w:sz w:val="28"/>
                <w:szCs w:val="28"/>
                <w:lang w:val="uk-UA"/>
              </w:rPr>
              <w:t xml:space="preserve"> </w:t>
            </w:r>
            <w:r w:rsidRPr="00A320AC">
              <w:rPr>
                <w:color w:val="1A171C"/>
                <w:sz w:val="28"/>
                <w:szCs w:val="28"/>
                <w:lang w:val="uk-UA"/>
              </w:rPr>
              <w:t>не повин</w:t>
            </w:r>
            <w:r w:rsidR="00DB3AAD">
              <w:rPr>
                <w:color w:val="1A171C"/>
                <w:sz w:val="28"/>
                <w:szCs w:val="28"/>
                <w:lang w:val="uk-UA"/>
              </w:rPr>
              <w:t xml:space="preserve">на </w:t>
            </w:r>
            <w:r w:rsidRPr="00A320AC">
              <w:rPr>
                <w:color w:val="1A171C"/>
                <w:sz w:val="28"/>
                <w:szCs w:val="28"/>
                <w:lang w:val="uk-UA"/>
              </w:rPr>
              <w:t>перевищувати</w:t>
            </w:r>
            <w:r w:rsidRPr="00A320AC">
              <w:rPr>
                <w:sz w:val="28"/>
                <w:szCs w:val="28"/>
                <w:lang w:val="uk-UA"/>
              </w:rPr>
              <w:t xml:space="preserve"> </w:t>
            </w:r>
            <w:r w:rsidRPr="00A320AC">
              <w:rPr>
                <w:bCs/>
                <w:color w:val="1A171C"/>
                <w:sz w:val="28"/>
                <w:szCs w:val="28"/>
                <w:lang w:val="uk-UA"/>
              </w:rPr>
              <w:t>допустимих меж радіаційного впливу на персонал, населення та навколишнє природне середовище, встановлених нормами та правилами з безпеки.</w:t>
            </w:r>
          </w:p>
        </w:tc>
        <w:tc>
          <w:tcPr>
            <w:tcW w:w="4159" w:type="dxa"/>
          </w:tcPr>
          <w:p w14:paraId="0C5E64AF" w14:textId="77777777" w:rsidR="00A320AC" w:rsidRPr="009D4DA2" w:rsidRDefault="00A320AC" w:rsidP="00A459FF">
            <w:pPr>
              <w:pStyle w:val="TableParagraph"/>
              <w:ind w:right="-15"/>
              <w:jc w:val="both"/>
              <w:rPr>
                <w:sz w:val="28"/>
                <w:szCs w:val="28"/>
                <w:lang w:val="uk-UA"/>
              </w:rPr>
            </w:pPr>
            <w:r w:rsidRPr="00A320AC">
              <w:rPr>
                <w:sz w:val="28"/>
                <w:szCs w:val="28"/>
                <w:lang w:val="uk-UA"/>
              </w:rPr>
              <w:t xml:space="preserve">Кваліфікований персонал повинен проводити перевірку кожної партії на </w:t>
            </w:r>
            <w:r w:rsidRPr="009D4DA2">
              <w:rPr>
                <w:sz w:val="28"/>
                <w:szCs w:val="28"/>
                <w:lang w:val="uk-UA"/>
              </w:rPr>
              <w:t>радіоактивність.</w:t>
            </w:r>
          </w:p>
          <w:p w14:paraId="1C493823" w14:textId="77777777" w:rsidR="00A320AC" w:rsidRPr="009D4DA2" w:rsidRDefault="00A320AC" w:rsidP="00A459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партія </w:t>
            </w:r>
            <w:r w:rsidR="009D4DA2" w:rsidRPr="009D4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брухту міді </w:t>
            </w:r>
            <w:r w:rsidRPr="009D4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повинна супроводжуватись документом, який підтверджує радіаційну безпеку </w:t>
            </w:r>
            <w:r w:rsidR="009D4DA2" w:rsidRPr="009D4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брухту міді</w:t>
            </w:r>
            <w:r w:rsidRPr="009D4D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відповідно до нормативних документів, зазначених в пункті 3.1 цього розділу.</w:t>
            </w:r>
            <w:r w:rsidRPr="00A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Такий документ додається до документів, що супроводжують </w:t>
            </w:r>
            <w:r w:rsidRPr="00A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партію.   </w:t>
            </w:r>
          </w:p>
        </w:tc>
      </w:tr>
      <w:tr w:rsidR="00A320AC" w:rsidRPr="005E71DA" w14:paraId="529C3D8C" w14:textId="77777777" w:rsidTr="00987852">
        <w:trPr>
          <w:trHeight w:val="2482"/>
        </w:trPr>
        <w:tc>
          <w:tcPr>
            <w:tcW w:w="5220" w:type="dxa"/>
          </w:tcPr>
          <w:p w14:paraId="27570018" w14:textId="77777777" w:rsidR="00A320AC" w:rsidRPr="00A320AC" w:rsidRDefault="00A320AC" w:rsidP="00987852">
            <w:pPr>
              <w:pStyle w:val="TableParagraph"/>
              <w:spacing w:after="120"/>
              <w:ind w:right="76" w:firstLine="336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lastRenderedPageBreak/>
              <w:t>3.6.</w:t>
            </w:r>
            <w:r w:rsidRPr="00A320AC">
              <w:rPr>
                <w:color w:val="1A171C"/>
                <w:spacing w:val="1"/>
                <w:sz w:val="28"/>
                <w:szCs w:val="28"/>
                <w:lang w:val="uk-UA"/>
              </w:rPr>
              <w:t xml:space="preserve"> </w:t>
            </w: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Брухт не повинен мати жодних небезпечних властивостей, визначених у Додатку 3 до Закону України «Про управління відходами». </w:t>
            </w:r>
          </w:p>
          <w:p w14:paraId="4FAB60B9" w14:textId="77777777" w:rsidR="00A320AC" w:rsidRPr="00A320AC" w:rsidRDefault="00A320AC" w:rsidP="00DB3AAD">
            <w:pPr>
              <w:pStyle w:val="TableParagraph"/>
              <w:spacing w:after="120"/>
              <w:ind w:right="76" w:firstLine="336"/>
              <w:jc w:val="both"/>
              <w:rPr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Брухт повинен відповідати обмеженням концентрації, встановленим </w:t>
            </w:r>
            <w:r w:rsidRPr="00A320AC">
              <w:rPr>
                <w:bCs/>
                <w:color w:val="1A171C"/>
                <w:sz w:val="28"/>
                <w:szCs w:val="28"/>
                <w:lang w:val="uk-UA"/>
              </w:rPr>
              <w:t>законодавством про хімічну безпеку та поводження з хімічними речовинами</w:t>
            </w:r>
            <w:r w:rsidRPr="00A320AC">
              <w:rPr>
                <w:color w:val="1A171C"/>
                <w:sz w:val="28"/>
                <w:szCs w:val="28"/>
                <w:lang w:val="uk-UA"/>
              </w:rPr>
              <w:t>.</w:t>
            </w:r>
          </w:p>
          <w:p w14:paraId="7CAA8866" w14:textId="77777777" w:rsidR="00A320AC" w:rsidRPr="00A320AC" w:rsidRDefault="00A320AC" w:rsidP="00DB3AAD">
            <w:pPr>
              <w:pStyle w:val="TableParagraph"/>
              <w:spacing w:after="120"/>
              <w:ind w:left="66" w:firstLine="275"/>
              <w:jc w:val="both"/>
              <w:rPr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Властивості інших елементів, що входять до складу мідних сплавів, не підпадають під цю вимогу.  </w:t>
            </w:r>
          </w:p>
        </w:tc>
        <w:tc>
          <w:tcPr>
            <w:tcW w:w="4159" w:type="dxa"/>
          </w:tcPr>
          <w:p w14:paraId="353FA02D" w14:textId="77777777" w:rsidR="00A320AC" w:rsidRPr="00A320AC" w:rsidRDefault="00A320AC" w:rsidP="00A459FF">
            <w:pPr>
              <w:pStyle w:val="TableParagraph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 xml:space="preserve">Кваліфікований персонал повинен проводити візуальний огляд кожної партії. Якщо візуальний огляд викликає будь-яку підозру щодо наявності небезпечних властивостей, слід вживати відповідних заходів моніторингу, таких як відбір та аналіз проб, де це необхідно. </w:t>
            </w:r>
          </w:p>
          <w:p w14:paraId="64F0A035" w14:textId="77777777" w:rsidR="00A320AC" w:rsidRPr="00A320AC" w:rsidRDefault="00DB3AAD" w:rsidP="00A459FF">
            <w:pPr>
              <w:pStyle w:val="TableParagraph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>
              <w:rPr>
                <w:color w:val="1A171C"/>
                <w:sz w:val="28"/>
                <w:szCs w:val="28"/>
                <w:lang w:val="uk-UA"/>
              </w:rPr>
              <w:t>Кваліфікований п</w:t>
            </w:r>
            <w:r w:rsidR="00A320AC" w:rsidRPr="00A320AC">
              <w:rPr>
                <w:color w:val="1A171C"/>
                <w:sz w:val="28"/>
                <w:szCs w:val="28"/>
                <w:lang w:val="uk-UA"/>
              </w:rPr>
              <w:t xml:space="preserve">ерсонал повинен пройти підготовку з визначення потенційних негативних властивостей, які можуть бути пов’язані з брухтом міді, а також компонентів або характеристик матеріалів, які дозволяють розпізнавати небезпечні властивості. </w:t>
            </w:r>
          </w:p>
          <w:p w14:paraId="7E3F047D" w14:textId="77777777" w:rsidR="00A320AC" w:rsidRPr="00A320AC" w:rsidRDefault="00A320AC" w:rsidP="00A459FF">
            <w:pPr>
              <w:pStyle w:val="TableParagraph"/>
              <w:ind w:right="-15"/>
              <w:jc w:val="both"/>
              <w:rPr>
                <w:sz w:val="28"/>
                <w:szCs w:val="28"/>
                <w:lang w:val="uk-UA"/>
              </w:rPr>
            </w:pPr>
            <w:r w:rsidRPr="00A320AC">
              <w:rPr>
                <w:color w:val="1A171C"/>
                <w:sz w:val="28"/>
                <w:szCs w:val="28"/>
                <w:lang w:val="uk-UA"/>
              </w:rPr>
              <w:t>Процедура визначення небезпечних матеріалів повинна бути задокументована в системі управління якістю / системі екологічного управління.</w:t>
            </w:r>
          </w:p>
        </w:tc>
      </w:tr>
      <w:tr w:rsidR="00A320AC" w:rsidRPr="005E71DA" w14:paraId="668C8145" w14:textId="77777777" w:rsidTr="00987852">
        <w:tc>
          <w:tcPr>
            <w:tcW w:w="5220" w:type="dxa"/>
          </w:tcPr>
          <w:p w14:paraId="4EF213BA" w14:textId="77777777" w:rsidR="00A320AC" w:rsidRPr="00A320AC" w:rsidRDefault="00A320AC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3.7.</w:t>
            </w:r>
            <w:r w:rsidRPr="00A320AC">
              <w:rPr>
                <w:rFonts w:ascii="Times New Roman" w:hAnsi="Times New Roman" w:cs="Times New Roman"/>
                <w:color w:val="1A171C"/>
                <w:spacing w:val="1"/>
                <w:sz w:val="28"/>
                <w:szCs w:val="28"/>
                <w:lang w:val="uk-UA"/>
              </w:rPr>
              <w:t xml:space="preserve"> </w:t>
            </w:r>
            <w:r w:rsidRPr="00A320A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Брухт не повинен містити жодних контейнерів, які знаходяться під тиском, закриті або недостатньо відкриті, які могли б спричинити вибух у металевій печі.</w:t>
            </w:r>
          </w:p>
        </w:tc>
        <w:tc>
          <w:tcPr>
            <w:tcW w:w="4159" w:type="dxa"/>
          </w:tcPr>
          <w:p w14:paraId="37EBA7AE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</w:tc>
      </w:tr>
      <w:tr w:rsidR="00A320AC" w:rsidRPr="005E71DA" w14:paraId="31CE1E37" w14:textId="77777777" w:rsidTr="00987852">
        <w:tc>
          <w:tcPr>
            <w:tcW w:w="5220" w:type="dxa"/>
          </w:tcPr>
          <w:p w14:paraId="374823B6" w14:textId="77777777" w:rsidR="00A320AC" w:rsidRPr="00A320AC" w:rsidRDefault="00A320AC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3.8. Брухт не повинен містити ПВХ у вигляді покриттів, фарб або залишкового пластику.</w:t>
            </w:r>
          </w:p>
        </w:tc>
        <w:tc>
          <w:tcPr>
            <w:tcW w:w="4159" w:type="dxa"/>
          </w:tcPr>
          <w:p w14:paraId="658EC951" w14:textId="77777777" w:rsidR="00A320AC" w:rsidRPr="00A320AC" w:rsidRDefault="00A320AC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A3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</w:tc>
      </w:tr>
      <w:bookmarkEnd w:id="0"/>
    </w:tbl>
    <w:p w14:paraId="4B69EC23" w14:textId="77777777" w:rsidR="00A320AC" w:rsidRDefault="00A320AC" w:rsidP="00A320AC">
      <w:pPr>
        <w:spacing w:before="156"/>
        <w:ind w:left="1028" w:right="1149"/>
        <w:jc w:val="center"/>
        <w:rPr>
          <w:b/>
          <w:color w:val="1A171C"/>
          <w:w w:val="90"/>
          <w:sz w:val="17"/>
          <w:lang w:val="uk-UA"/>
        </w:rPr>
      </w:pPr>
    </w:p>
    <w:p w14:paraId="3994D17C" w14:textId="77777777" w:rsidR="00A320AC" w:rsidRDefault="00A320AC" w:rsidP="00A320AC">
      <w:pPr>
        <w:spacing w:before="156"/>
        <w:ind w:left="1028" w:right="1149"/>
        <w:jc w:val="center"/>
        <w:rPr>
          <w:b/>
          <w:color w:val="1A171C"/>
          <w:w w:val="90"/>
          <w:sz w:val="17"/>
          <w:lang w:val="uk-UA"/>
        </w:rPr>
      </w:pPr>
    </w:p>
    <w:p w14:paraId="1D354290" w14:textId="77777777" w:rsidR="00A320AC" w:rsidRPr="005E71DA" w:rsidRDefault="00A320AC" w:rsidP="00A320AC">
      <w:pPr>
        <w:spacing w:before="156"/>
        <w:ind w:left="1028" w:right="1149"/>
        <w:jc w:val="center"/>
        <w:rPr>
          <w:b/>
          <w:color w:val="1A171C"/>
          <w:w w:val="90"/>
          <w:sz w:val="17"/>
          <w:lang w:val="uk-UA"/>
        </w:rPr>
      </w:pPr>
      <w:r>
        <w:rPr>
          <w:b/>
          <w:color w:val="1A171C"/>
          <w:w w:val="90"/>
          <w:sz w:val="17"/>
          <w:lang w:val="uk-UA"/>
        </w:rPr>
        <w:t>___________________________________________________</w:t>
      </w:r>
    </w:p>
    <w:sectPr w:rsidR="00A320AC" w:rsidRPr="005E71DA" w:rsidSect="002A17E8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87A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5CED2" w14:textId="77777777" w:rsidR="005C3FA8" w:rsidRDefault="005C3FA8" w:rsidP="002A17E8">
      <w:pPr>
        <w:spacing w:after="0" w:line="240" w:lineRule="auto"/>
      </w:pPr>
      <w:r>
        <w:separator/>
      </w:r>
    </w:p>
  </w:endnote>
  <w:endnote w:type="continuationSeparator" w:id="0">
    <w:p w14:paraId="2C74F5AD" w14:textId="77777777" w:rsidR="005C3FA8" w:rsidRDefault="005C3FA8" w:rsidP="002A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21BA" w14:textId="77777777" w:rsidR="005C3FA8" w:rsidRDefault="005C3FA8" w:rsidP="002A17E8">
      <w:pPr>
        <w:spacing w:after="0" w:line="240" w:lineRule="auto"/>
      </w:pPr>
      <w:r>
        <w:separator/>
      </w:r>
    </w:p>
  </w:footnote>
  <w:footnote w:type="continuationSeparator" w:id="0">
    <w:p w14:paraId="2899DA7D" w14:textId="77777777" w:rsidR="005C3FA8" w:rsidRDefault="005C3FA8" w:rsidP="002A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99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07A547" w14:textId="77777777" w:rsidR="002A17E8" w:rsidRPr="002A17E8" w:rsidRDefault="002A17E8">
        <w:pPr>
          <w:pStyle w:val="a7"/>
          <w:jc w:val="center"/>
          <w:rPr>
            <w:sz w:val="24"/>
            <w:szCs w:val="24"/>
          </w:rPr>
        </w:pPr>
        <w:r w:rsidRPr="002A17E8">
          <w:rPr>
            <w:sz w:val="24"/>
            <w:szCs w:val="24"/>
          </w:rPr>
          <w:fldChar w:fldCharType="begin"/>
        </w:r>
        <w:r w:rsidRPr="002A17E8">
          <w:rPr>
            <w:sz w:val="24"/>
            <w:szCs w:val="24"/>
          </w:rPr>
          <w:instrText>PAGE   \* MERGEFORMAT</w:instrText>
        </w:r>
        <w:r w:rsidRPr="002A17E8">
          <w:rPr>
            <w:sz w:val="24"/>
            <w:szCs w:val="24"/>
          </w:rPr>
          <w:fldChar w:fldCharType="separate"/>
        </w:r>
        <w:r w:rsidR="00C62557" w:rsidRPr="00C62557">
          <w:rPr>
            <w:noProof/>
            <w:sz w:val="24"/>
            <w:szCs w:val="24"/>
            <w:lang w:val="uk-UA"/>
          </w:rPr>
          <w:t>5</w:t>
        </w:r>
        <w:r w:rsidRPr="002A17E8">
          <w:rPr>
            <w:sz w:val="24"/>
            <w:szCs w:val="24"/>
          </w:rPr>
          <w:fldChar w:fldCharType="end"/>
        </w:r>
      </w:p>
    </w:sdtContent>
  </w:sdt>
  <w:p w14:paraId="4C5C9C7D" w14:textId="77777777" w:rsidR="002A17E8" w:rsidRDefault="002A17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68E"/>
    <w:multiLevelType w:val="hybridMultilevel"/>
    <w:tmpl w:val="27F07EB2"/>
    <w:lvl w:ilvl="0" w:tplc="EF924C1C">
      <w:numFmt w:val="bullet"/>
      <w:lvlText w:val="—"/>
      <w:lvlJc w:val="left"/>
      <w:pPr>
        <w:ind w:left="336" w:hanging="248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1" w:tplc="316A14E6">
      <w:numFmt w:val="bullet"/>
      <w:lvlText w:val="•"/>
      <w:lvlJc w:val="left"/>
      <w:pPr>
        <w:ind w:left="714" w:hanging="248"/>
      </w:pPr>
    </w:lvl>
    <w:lvl w:ilvl="2" w:tplc="04B04C04">
      <w:numFmt w:val="bullet"/>
      <w:lvlText w:val="•"/>
      <w:lvlJc w:val="left"/>
      <w:pPr>
        <w:ind w:left="1089" w:hanging="248"/>
      </w:pPr>
    </w:lvl>
    <w:lvl w:ilvl="3" w:tplc="AD120D18">
      <w:numFmt w:val="bullet"/>
      <w:lvlText w:val="•"/>
      <w:lvlJc w:val="left"/>
      <w:pPr>
        <w:ind w:left="1463" w:hanging="248"/>
      </w:pPr>
    </w:lvl>
    <w:lvl w:ilvl="4" w:tplc="C5DAB006">
      <w:numFmt w:val="bullet"/>
      <w:lvlText w:val="•"/>
      <w:lvlJc w:val="left"/>
      <w:pPr>
        <w:ind w:left="1838" w:hanging="248"/>
      </w:pPr>
    </w:lvl>
    <w:lvl w:ilvl="5" w:tplc="41B631EA">
      <w:numFmt w:val="bullet"/>
      <w:lvlText w:val="•"/>
      <w:lvlJc w:val="left"/>
      <w:pPr>
        <w:ind w:left="2212" w:hanging="248"/>
      </w:pPr>
    </w:lvl>
    <w:lvl w:ilvl="6" w:tplc="422A9E4E">
      <w:numFmt w:val="bullet"/>
      <w:lvlText w:val="•"/>
      <w:lvlJc w:val="left"/>
      <w:pPr>
        <w:ind w:left="2587" w:hanging="248"/>
      </w:pPr>
    </w:lvl>
    <w:lvl w:ilvl="7" w:tplc="BC628F1A">
      <w:numFmt w:val="bullet"/>
      <w:lvlText w:val="•"/>
      <w:lvlJc w:val="left"/>
      <w:pPr>
        <w:ind w:left="2961" w:hanging="248"/>
      </w:pPr>
    </w:lvl>
    <w:lvl w:ilvl="8" w:tplc="4FBEB836">
      <w:numFmt w:val="bullet"/>
      <w:lvlText w:val="•"/>
      <w:lvlJc w:val="left"/>
      <w:pPr>
        <w:ind w:left="3336" w:hanging="248"/>
      </w:pPr>
    </w:lvl>
  </w:abstractNum>
  <w:abstractNum w:abstractNumId="1">
    <w:nsid w:val="15C4254F"/>
    <w:multiLevelType w:val="hybridMultilevel"/>
    <w:tmpl w:val="11460C5C"/>
    <w:lvl w:ilvl="0" w:tplc="9118B170">
      <w:numFmt w:val="bullet"/>
      <w:lvlText w:val="—"/>
      <w:lvlJc w:val="left"/>
      <w:pPr>
        <w:ind w:left="591" w:hanging="246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1" w:tplc="BF6065FA">
      <w:numFmt w:val="bullet"/>
      <w:lvlText w:val="•"/>
      <w:lvlJc w:val="left"/>
      <w:pPr>
        <w:ind w:left="949" w:hanging="246"/>
      </w:pPr>
    </w:lvl>
    <w:lvl w:ilvl="2" w:tplc="B46C1518">
      <w:numFmt w:val="bullet"/>
      <w:lvlText w:val="•"/>
      <w:lvlJc w:val="left"/>
      <w:pPr>
        <w:ind w:left="1298" w:hanging="246"/>
      </w:pPr>
    </w:lvl>
    <w:lvl w:ilvl="3" w:tplc="9174A57C">
      <w:numFmt w:val="bullet"/>
      <w:lvlText w:val="•"/>
      <w:lvlJc w:val="left"/>
      <w:pPr>
        <w:ind w:left="1647" w:hanging="246"/>
      </w:pPr>
    </w:lvl>
    <w:lvl w:ilvl="4" w:tplc="3222A272">
      <w:numFmt w:val="bullet"/>
      <w:lvlText w:val="•"/>
      <w:lvlJc w:val="left"/>
      <w:pPr>
        <w:ind w:left="1997" w:hanging="246"/>
      </w:pPr>
    </w:lvl>
    <w:lvl w:ilvl="5" w:tplc="6D64FCFE">
      <w:numFmt w:val="bullet"/>
      <w:lvlText w:val="•"/>
      <w:lvlJc w:val="left"/>
      <w:pPr>
        <w:ind w:left="2346" w:hanging="246"/>
      </w:pPr>
    </w:lvl>
    <w:lvl w:ilvl="6" w:tplc="393E9268">
      <w:numFmt w:val="bullet"/>
      <w:lvlText w:val="•"/>
      <w:lvlJc w:val="left"/>
      <w:pPr>
        <w:ind w:left="2695" w:hanging="246"/>
      </w:pPr>
    </w:lvl>
    <w:lvl w:ilvl="7" w:tplc="29EE1640">
      <w:numFmt w:val="bullet"/>
      <w:lvlText w:val="•"/>
      <w:lvlJc w:val="left"/>
      <w:pPr>
        <w:ind w:left="3045" w:hanging="246"/>
      </w:pPr>
    </w:lvl>
    <w:lvl w:ilvl="8" w:tplc="EB3051EE">
      <w:numFmt w:val="bullet"/>
      <w:lvlText w:val="•"/>
      <w:lvlJc w:val="left"/>
      <w:pPr>
        <w:ind w:left="3394" w:hanging="246"/>
      </w:pPr>
    </w:lvl>
  </w:abstractNum>
  <w:abstractNum w:abstractNumId="2">
    <w:nsid w:val="412F661E"/>
    <w:multiLevelType w:val="multilevel"/>
    <w:tmpl w:val="C818E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ІГНАТЬЄВА Тетяна Анатоліївна">
    <w15:presenceInfo w15:providerId="AD" w15:userId="S-1-5-21-3661715301-172841279-98041422-2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8E"/>
    <w:rsid w:val="002A17E8"/>
    <w:rsid w:val="002C1766"/>
    <w:rsid w:val="003B3574"/>
    <w:rsid w:val="0041601F"/>
    <w:rsid w:val="005C3FA8"/>
    <w:rsid w:val="007A715E"/>
    <w:rsid w:val="009D4DA2"/>
    <w:rsid w:val="00A320AC"/>
    <w:rsid w:val="00A459FF"/>
    <w:rsid w:val="00AB6F8E"/>
    <w:rsid w:val="00C62557"/>
    <w:rsid w:val="00D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A320AC"/>
    <w:pPr>
      <w:ind w:left="720"/>
      <w:contextualSpacing/>
    </w:pPr>
  </w:style>
  <w:style w:type="table" w:styleId="a5">
    <w:name w:val="Table Grid"/>
    <w:basedOn w:val="a1"/>
    <w:uiPriority w:val="39"/>
    <w:rsid w:val="00A320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A320AC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A32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2A1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7E8"/>
    <w:rPr>
      <w:lang w:val="ru-RU"/>
    </w:rPr>
  </w:style>
  <w:style w:type="paragraph" w:styleId="a9">
    <w:name w:val="footer"/>
    <w:basedOn w:val="a"/>
    <w:link w:val="aa"/>
    <w:uiPriority w:val="99"/>
    <w:unhideWhenUsed/>
    <w:rsid w:val="002A1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7E8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2C17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7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766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7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766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C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176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A320AC"/>
    <w:pPr>
      <w:ind w:left="720"/>
      <w:contextualSpacing/>
    </w:pPr>
  </w:style>
  <w:style w:type="table" w:styleId="a5">
    <w:name w:val="Table Grid"/>
    <w:basedOn w:val="a1"/>
    <w:uiPriority w:val="39"/>
    <w:rsid w:val="00A320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A320AC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A32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2A1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7E8"/>
    <w:rPr>
      <w:lang w:val="ru-RU"/>
    </w:rPr>
  </w:style>
  <w:style w:type="paragraph" w:styleId="a9">
    <w:name w:val="footer"/>
    <w:basedOn w:val="a"/>
    <w:link w:val="aa"/>
    <w:uiPriority w:val="99"/>
    <w:unhideWhenUsed/>
    <w:rsid w:val="002A1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7E8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2C17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7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766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7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766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C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176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4808</Words>
  <Characters>2741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Семенова Наталія Ігорівна</cp:lastModifiedBy>
  <cp:revision>3</cp:revision>
  <dcterms:created xsi:type="dcterms:W3CDTF">2023-03-16T11:06:00Z</dcterms:created>
  <dcterms:modified xsi:type="dcterms:W3CDTF">2023-03-16T12:28:00Z</dcterms:modified>
</cp:coreProperties>
</file>