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E4AB" w14:textId="77777777"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14:paraId="1BB5B993" w14:textId="4F830B14" w:rsidR="003D400D" w:rsidRPr="008131EE" w:rsidRDefault="00110A0A" w:rsidP="008131EE">
      <w:pPr>
        <w:pStyle w:val="23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r w:rsidR="003D400D" w:rsidRPr="003D400D">
        <w:rPr>
          <w:rFonts w:eastAsia="Andale Sans UI"/>
          <w:kern w:val="1"/>
          <w:sz w:val="28"/>
          <w:szCs w:val="28"/>
          <w:lang w:val="uk-UA"/>
        </w:rPr>
        <w:t xml:space="preserve">проєкту </w:t>
      </w:r>
      <w:r w:rsidR="008131EE" w:rsidRPr="008131EE">
        <w:rPr>
          <w:rFonts w:eastAsia="Andale Sans UI"/>
          <w:kern w:val="1"/>
          <w:sz w:val="28"/>
          <w:szCs w:val="28"/>
          <w:lang w:val="uk-UA"/>
        </w:rPr>
        <w:t>постан</w:t>
      </w:r>
      <w:r w:rsidR="008131EE">
        <w:rPr>
          <w:rFonts w:eastAsia="Andale Sans UI"/>
          <w:kern w:val="1"/>
          <w:sz w:val="28"/>
          <w:szCs w:val="28"/>
          <w:lang w:val="uk-UA"/>
        </w:rPr>
        <w:t xml:space="preserve">ови Кабінету Міністрів України </w:t>
      </w:r>
      <w:r w:rsidR="008131EE">
        <w:rPr>
          <w:rFonts w:eastAsia="Andale Sans UI"/>
          <w:kern w:val="1"/>
          <w:sz w:val="28"/>
          <w:szCs w:val="28"/>
          <w:lang w:val="uk-UA"/>
        </w:rPr>
        <w:br/>
      </w:r>
      <w:r w:rsidR="008131EE" w:rsidRPr="008131EE">
        <w:rPr>
          <w:rFonts w:eastAsia="Andale Sans UI"/>
          <w:kern w:val="1"/>
          <w:sz w:val="28"/>
          <w:szCs w:val="28"/>
          <w:lang w:val="uk-UA"/>
        </w:rPr>
        <w:t>«Про внесення змін у додаток до постанови Кабінету Міністрів України від 24 лютого 2022 р. № 153»</w:t>
      </w:r>
    </w:p>
    <w:p w14:paraId="629A061E" w14:textId="77777777" w:rsidR="00F8149D" w:rsidRPr="00F8149D" w:rsidRDefault="00F8149D" w:rsidP="00F8149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F8149D">
        <w:rPr>
          <w:rFonts w:eastAsia="Calibri"/>
          <w:color w:val="000000"/>
          <w:sz w:val="28"/>
          <w:szCs w:val="28"/>
          <w:lang w:val="uk-UA" w:eastAsia="en-US"/>
        </w:rPr>
        <w:t xml:space="preserve">Проєкт наказу Міністерства захисту довкілля та природних ресурсів України «Про внесення змін до Правил розробки нафтових і газових родовищ» (далі – проєкт наказу) розроблено з метою оптимізації інструментів державного регулювання в сфері геологічного вивчення та раціонального використання надр, відповідно до рекомендацій, прийнятих на засіданні 26.01.2023 Міжвідомчої робочої групи з питань прискореного перегляду інструментів державного регулювання господарської діяльності, утвореної згідно з постановою Кабінету Міністрів України від 13.01.2023 № 44 (далі – МРГ).  </w:t>
      </w:r>
    </w:p>
    <w:p w14:paraId="6F1B0370" w14:textId="44A3C6BB" w:rsidR="00F8149D" w:rsidRPr="00F8149D" w:rsidRDefault="00F8149D" w:rsidP="00F8149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F8149D">
        <w:rPr>
          <w:rFonts w:eastAsia="Calibri"/>
          <w:color w:val="000000"/>
          <w:sz w:val="28"/>
          <w:szCs w:val="28"/>
          <w:lang w:val="uk-UA" w:eastAsia="en-US"/>
        </w:rPr>
        <w:t>На сьогодні правове регулювання господарської діяльності передбачає наявність великої кількості інструментів державного регул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ювання, що негативно впливає </w:t>
      </w:r>
      <w:r w:rsidRPr="00F8149D">
        <w:rPr>
          <w:rFonts w:eastAsia="Calibri"/>
          <w:color w:val="000000"/>
          <w:sz w:val="28"/>
          <w:szCs w:val="28"/>
          <w:lang w:val="uk-UA" w:eastAsia="en-US"/>
        </w:rPr>
        <w:t>провадження господарської діяльності суб’єктами госп</w:t>
      </w:r>
      <w:r>
        <w:rPr>
          <w:rFonts w:eastAsia="Calibri"/>
          <w:color w:val="000000"/>
          <w:sz w:val="28"/>
          <w:szCs w:val="28"/>
          <w:lang w:val="uk-UA" w:eastAsia="en-US"/>
        </w:rPr>
        <w:t>одарювання, виходу їх на ринок, створюючи додаткові часові та фінансові</w:t>
      </w:r>
      <w:r w:rsidRPr="00F8149D">
        <w:rPr>
          <w:rFonts w:eastAsia="Calibri"/>
          <w:color w:val="000000"/>
          <w:sz w:val="28"/>
          <w:szCs w:val="28"/>
          <w:lang w:val="uk-UA" w:eastAsia="en-US"/>
        </w:rPr>
        <w:t xml:space="preserve"> витрат</w:t>
      </w:r>
      <w:r>
        <w:rPr>
          <w:rFonts w:eastAsia="Calibri"/>
          <w:color w:val="000000"/>
          <w:sz w:val="28"/>
          <w:szCs w:val="28"/>
          <w:lang w:val="uk-UA" w:eastAsia="en-US"/>
        </w:rPr>
        <w:t>и</w:t>
      </w:r>
      <w:r w:rsidRPr="00F8149D">
        <w:rPr>
          <w:rFonts w:eastAsia="Calibri"/>
          <w:color w:val="000000"/>
          <w:sz w:val="28"/>
          <w:szCs w:val="28"/>
          <w:lang w:val="uk-UA" w:eastAsia="en-US"/>
        </w:rPr>
        <w:t xml:space="preserve"> суб’єктів господарювання, додаткове адміністративне наванта</w:t>
      </w:r>
      <w:r>
        <w:rPr>
          <w:rFonts w:eastAsia="Calibri"/>
          <w:color w:val="000000"/>
          <w:sz w:val="28"/>
          <w:szCs w:val="28"/>
          <w:lang w:val="uk-UA" w:eastAsia="en-US"/>
        </w:rPr>
        <w:t>ження.</w:t>
      </w:r>
    </w:p>
    <w:p w14:paraId="5870FC0D" w14:textId="77777777" w:rsidR="00F8149D" w:rsidRPr="00F8149D" w:rsidRDefault="00F8149D" w:rsidP="00F8149D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F8149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Проєктом наказу пропонується внести зміни до Правил розробки нафтових і газових родовищ, затверджених наказом Міністерства екології та природних ресурсів України від 15.03.2017 № 118, зареєстрованих у Міністерстві юстиції України 02.06.2017 за № 692/30560 </w:t>
      </w:r>
      <w:r w:rsidRPr="00F8149D">
        <w:rPr>
          <w:rFonts w:eastAsia="Calibri"/>
          <w:color w:val="000000"/>
          <w:sz w:val="28"/>
          <w:szCs w:val="28"/>
          <w:lang w:val="uk-UA" w:eastAsia="en-US"/>
        </w:rPr>
        <w:t>в частині виключення неактуальних та застарілих інструментів державного регулювання нафтогазової галузі, а саме: погодження Держпраці плану розконсерваційних робіт свердловини та погодження Держпраці типової схеми противикидного обладнання для кожного району бурових робіт.</w:t>
      </w:r>
    </w:p>
    <w:p w14:paraId="2C123231" w14:textId="48A0DD50" w:rsidR="00F8149D" w:rsidRPr="00F8149D" w:rsidRDefault="00F8149D" w:rsidP="00F8149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F8149D">
        <w:rPr>
          <w:rFonts w:eastAsia="Calibri"/>
          <w:color w:val="000000"/>
          <w:sz w:val="28"/>
          <w:szCs w:val="28"/>
          <w:lang w:val="uk-UA" w:eastAsia="en-US"/>
        </w:rPr>
        <w:t>Крім того, зміни спрямовані на дерегуляцію видобувної промисловості та спрощення доступу користувачів нафтогазоносними надрами до родовищ або покладів, скорочення обтяжуючих бюрократичних процедур</w:t>
      </w:r>
      <w:r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14:paraId="617BA5EC" w14:textId="77777777" w:rsidR="001835DE" w:rsidRDefault="001835DE" w:rsidP="00F8149D">
      <w:pPr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14:paraId="3C7337B8" w14:textId="7BC49385"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 xml:space="preserve">Назва органу виконавчої влади, що розробив </w:t>
      </w:r>
      <w:r w:rsidR="003E47F9">
        <w:rPr>
          <w:b/>
          <w:sz w:val="28"/>
          <w:szCs w:val="28"/>
          <w:lang w:val="uk-UA" w:eastAsia="uk-UA"/>
        </w:rPr>
        <w:t>проєкт акта</w:t>
      </w:r>
      <w:bookmarkStart w:id="0" w:name="_GoBack"/>
      <w:bookmarkEnd w:id="0"/>
    </w:p>
    <w:p w14:paraId="082EB368" w14:textId="5168A708" w:rsidR="007B2D7E" w:rsidRDefault="001835D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захисту довкілля та природних ресурсів України.</w:t>
      </w:r>
    </w:p>
    <w:p w14:paraId="606D0513" w14:textId="77777777" w:rsidR="001835DE" w:rsidRPr="007B2D7E" w:rsidRDefault="001835D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02A541E0" w14:textId="104568B4"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</w:t>
      </w:r>
      <w:r w:rsidR="003E47F9">
        <w:rPr>
          <w:b/>
          <w:sz w:val="28"/>
          <w:szCs w:val="28"/>
          <w:lang w:val="uk-UA"/>
        </w:rPr>
        <w:t>лу, що розробив проєкт акта</w:t>
      </w:r>
      <w:r w:rsidRPr="003D400D">
        <w:rPr>
          <w:b/>
          <w:sz w:val="28"/>
          <w:szCs w:val="28"/>
          <w:lang w:val="uk-UA"/>
        </w:rPr>
        <w:t>, адреса та телефон</w:t>
      </w:r>
    </w:p>
    <w:p w14:paraId="6C4FDFB0" w14:textId="174BE888" w:rsidR="0030648C" w:rsidRPr="001835DE" w:rsidRDefault="001835DE" w:rsidP="001835DE">
      <w:pPr>
        <w:suppressAutoHyphens/>
        <w:ind w:left="14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кругової економіки та надрокористування</w:t>
      </w:r>
      <w:r w:rsidRPr="001835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Міністерства захисту довкілля та природних ресурсів України</w:t>
      </w:r>
      <w:r w:rsidR="003D400D">
        <w:rPr>
          <w:sz w:val="28"/>
          <w:szCs w:val="28"/>
          <w:lang w:val="uk-UA"/>
        </w:rPr>
        <w:t xml:space="preserve">, </w:t>
      </w:r>
      <w:r w:rsidRPr="001835DE">
        <w:rPr>
          <w:sz w:val="28"/>
          <w:szCs w:val="28"/>
          <w:lang w:val="uk-UA"/>
        </w:rPr>
        <w:t>вул. М</w:t>
      </w:r>
      <w:r>
        <w:rPr>
          <w:sz w:val="28"/>
          <w:szCs w:val="28"/>
          <w:lang w:val="uk-UA"/>
        </w:rPr>
        <w:t xml:space="preserve">итрополита Василя </w:t>
      </w:r>
      <w:r>
        <w:rPr>
          <w:sz w:val="28"/>
          <w:szCs w:val="28"/>
          <w:lang w:val="uk-UA"/>
        </w:rPr>
        <w:br/>
        <w:t xml:space="preserve">Липківського, </w:t>
      </w:r>
      <w:r w:rsidRPr="001835DE">
        <w:rPr>
          <w:sz w:val="28"/>
          <w:szCs w:val="28"/>
          <w:lang w:val="uk-UA"/>
        </w:rPr>
        <w:t xml:space="preserve">35, м. Київ, 03035, тел.: (044) 206-31-00, (044) 206-31-15,                                                           E-mail: </w:t>
      </w:r>
      <w:hyperlink r:id="rId5" w:history="1">
        <w:r w:rsidRPr="00760150">
          <w:rPr>
            <w:rStyle w:val="a3"/>
            <w:sz w:val="28"/>
            <w:szCs w:val="28"/>
            <w:lang w:val="uk-UA"/>
          </w:rPr>
          <w:t>info@mepr.gov.ua</w:t>
        </w:r>
      </w:hyperlink>
      <w:r w:rsidR="00E444FF">
        <w:rPr>
          <w:sz w:val="28"/>
          <w:szCs w:val="28"/>
          <w:lang w:val="uk-UA"/>
        </w:rPr>
        <w:t>.</w:t>
      </w:r>
    </w:p>
    <w:p w14:paraId="4F454CF6" w14:textId="33C4C337"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7B2D7E">
        <w:rPr>
          <w:sz w:val="28"/>
          <w:szCs w:val="28"/>
          <w:lang w:val="uk-UA"/>
        </w:rPr>
        <w:t xml:space="preserve">Проєкт </w:t>
      </w:r>
      <w:r w:rsidR="006A0236">
        <w:rPr>
          <w:sz w:val="28"/>
          <w:szCs w:val="28"/>
          <w:lang w:val="uk-UA"/>
        </w:rPr>
        <w:t>акта</w:t>
      </w:r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вебсайті </w:t>
      </w:r>
      <w:r w:rsidR="001835DE">
        <w:rPr>
          <w:sz w:val="28"/>
          <w:szCs w:val="28"/>
          <w:lang w:val="uk-UA"/>
        </w:rPr>
        <w:t xml:space="preserve"> Міністерства захисту довкілля та природних ресурсів </w:t>
      </w:r>
      <w:r w:rsidRPr="007B2D7E">
        <w:rPr>
          <w:sz w:val="28"/>
          <w:szCs w:val="28"/>
          <w:lang w:val="uk-UA"/>
        </w:rPr>
        <w:t>України (www.</w:t>
      </w:r>
      <w:r w:rsidR="001835DE">
        <w:rPr>
          <w:sz w:val="28"/>
          <w:szCs w:val="28"/>
          <w:lang w:val="en-US"/>
        </w:rPr>
        <w:t>mepr</w:t>
      </w:r>
      <w:r w:rsidRPr="007B2D7E">
        <w:rPr>
          <w:sz w:val="28"/>
          <w:szCs w:val="28"/>
          <w:lang w:val="uk-UA"/>
        </w:rPr>
        <w:t>.gov.ua).</w:t>
      </w:r>
    </w:p>
    <w:p w14:paraId="30A6541B" w14:textId="27958288"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проєкту </w:t>
      </w:r>
      <w:r w:rsidR="006A0236">
        <w:rPr>
          <w:sz w:val="28"/>
          <w:szCs w:val="28"/>
          <w:lang w:val="uk-UA"/>
        </w:rPr>
        <w:t>акта</w:t>
      </w:r>
      <w:r w:rsidRPr="0030648C">
        <w:rPr>
          <w:sz w:val="28"/>
          <w:szCs w:val="28"/>
          <w:lang w:val="uk-UA"/>
        </w:rPr>
        <w:t xml:space="preserve"> приймаються протягом місяця з дня йо</w:t>
      </w:r>
      <w:r w:rsidR="001835DE">
        <w:rPr>
          <w:sz w:val="28"/>
          <w:szCs w:val="28"/>
          <w:lang w:val="uk-UA"/>
        </w:rPr>
        <w:t>го оприлюднення на вказану поштову</w:t>
      </w:r>
      <w:r w:rsidRPr="0030648C">
        <w:rPr>
          <w:sz w:val="28"/>
          <w:szCs w:val="28"/>
          <w:lang w:val="uk-UA"/>
        </w:rPr>
        <w:t xml:space="preserve"> та електронну адресу.</w:t>
      </w:r>
    </w:p>
    <w:p w14:paraId="77F5685F" w14:textId="77777777"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1CB1F92D" w14:textId="77777777"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628975D6" w14:textId="57988DB6" w:rsidR="005203D3" w:rsidRPr="00A12503" w:rsidRDefault="00A12503" w:rsidP="00F8149D">
      <w:pPr>
        <w:widowControl w:val="0"/>
        <w:suppressAutoHyphens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kern w:val="2"/>
          <w:sz w:val="28"/>
          <w:szCs w:val="28"/>
          <w:lang w:val="uk-UA"/>
        </w:rPr>
        <w:t xml:space="preserve">  </w:t>
      </w:r>
      <w:r w:rsidR="00F8149D">
        <w:rPr>
          <w:b/>
          <w:kern w:val="2"/>
          <w:sz w:val="28"/>
          <w:szCs w:val="28"/>
        </w:rPr>
        <w:t>Міністр</w:t>
      </w:r>
      <w:r>
        <w:rPr>
          <w:b/>
          <w:kern w:val="2"/>
          <w:sz w:val="28"/>
          <w:szCs w:val="28"/>
        </w:rPr>
        <w:tab/>
        <w:t xml:space="preserve">                                      </w:t>
      </w:r>
      <w:r>
        <w:rPr>
          <w:b/>
          <w:kern w:val="2"/>
          <w:sz w:val="28"/>
          <w:szCs w:val="28"/>
          <w:lang w:val="uk-UA"/>
        </w:rPr>
        <w:t xml:space="preserve">  </w:t>
      </w:r>
      <w:r w:rsidR="00F8149D">
        <w:rPr>
          <w:b/>
          <w:kern w:val="2"/>
          <w:sz w:val="28"/>
          <w:szCs w:val="28"/>
          <w:lang w:val="uk-UA"/>
        </w:rPr>
        <w:t xml:space="preserve">                                          </w:t>
      </w:r>
      <w:r>
        <w:rPr>
          <w:b/>
          <w:kern w:val="2"/>
          <w:sz w:val="28"/>
          <w:szCs w:val="28"/>
          <w:lang w:val="uk-UA"/>
        </w:rPr>
        <w:t xml:space="preserve">     </w:t>
      </w:r>
      <w:r w:rsidR="00F8149D">
        <w:rPr>
          <w:b/>
          <w:kern w:val="2"/>
          <w:sz w:val="28"/>
          <w:szCs w:val="28"/>
        </w:rPr>
        <w:t xml:space="preserve">  Руслан </w:t>
      </w:r>
      <w:r w:rsidR="00F8149D">
        <w:rPr>
          <w:b/>
          <w:kern w:val="2"/>
          <w:sz w:val="28"/>
          <w:szCs w:val="28"/>
          <w:lang w:val="uk-UA"/>
        </w:rPr>
        <w:t>СТРІЛЕЦЬ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sectPr w:rsidR="005203D3" w:rsidRPr="00A12503" w:rsidSect="00F8149D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835DE"/>
    <w:rsid w:val="00190351"/>
    <w:rsid w:val="00190B09"/>
    <w:rsid w:val="00190B32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3E2E"/>
    <w:rsid w:val="0030648C"/>
    <w:rsid w:val="00315D2F"/>
    <w:rsid w:val="00317CB3"/>
    <w:rsid w:val="00322B47"/>
    <w:rsid w:val="00357F98"/>
    <w:rsid w:val="00380F8A"/>
    <w:rsid w:val="00385261"/>
    <w:rsid w:val="003A571D"/>
    <w:rsid w:val="003A7BF4"/>
    <w:rsid w:val="003C610A"/>
    <w:rsid w:val="003D400D"/>
    <w:rsid w:val="003E47F9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31EE"/>
    <w:rsid w:val="0081507C"/>
    <w:rsid w:val="0083052C"/>
    <w:rsid w:val="008339EC"/>
    <w:rsid w:val="00850770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12503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444FF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00F68"/>
    <w:rsid w:val="00F30C0B"/>
    <w:rsid w:val="00F329C4"/>
    <w:rsid w:val="00F34685"/>
    <w:rsid w:val="00F43AA3"/>
    <w:rsid w:val="00F50331"/>
    <w:rsid w:val="00F56206"/>
    <w:rsid w:val="00F62E02"/>
    <w:rsid w:val="00F8149D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D7716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F4E3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ий текст з від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и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і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2757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РАДЧЕНКО Юлія Юріївна</cp:lastModifiedBy>
  <cp:revision>4</cp:revision>
  <cp:lastPrinted>2019-11-05T11:55:00Z</cp:lastPrinted>
  <dcterms:created xsi:type="dcterms:W3CDTF">2023-04-05T14:26:00Z</dcterms:created>
  <dcterms:modified xsi:type="dcterms:W3CDTF">2023-04-05T14:40:00Z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2022-12-12T14:58:34Z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2f6d19e6-5d9c-4f33-89c3-4bd157282698</vt:lpwstr>
  </property>
  <property fmtid="{D5CDD505-2E9C-101B-9397-08002B2CF9AE}" pid="8" name="MSIP_Label_defa4170-0d19-0005-0004-bc88714345d2_ContentBits">
    <vt:lpwstr>0</vt:lpwstr>
  </property>
</Properties>
</file>