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2EEB" w14:textId="77777777" w:rsidR="00FC1111" w:rsidRPr="005E71DA" w:rsidRDefault="00FC1111" w:rsidP="00FC1111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ЗАТВЕРДЖЕНО</w:t>
      </w:r>
    </w:p>
    <w:p w14:paraId="7217BC1E" w14:textId="77777777" w:rsidR="00FC1111" w:rsidRPr="005E71DA" w:rsidRDefault="00FC1111" w:rsidP="00FC1111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постановою Кабінету Міністрів України</w:t>
      </w:r>
    </w:p>
    <w:p w14:paraId="1398C76F" w14:textId="77777777" w:rsidR="00FC1111" w:rsidRPr="005E71DA" w:rsidRDefault="00FC1111" w:rsidP="00FC1111">
      <w:pPr>
        <w:spacing w:before="240" w:after="240" w:line="240" w:lineRule="auto"/>
        <w:ind w:firstLine="4395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</w:pP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від ____ ________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>3</w:t>
      </w:r>
      <w:r w:rsidRPr="005E71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en-GB"/>
        </w:rPr>
        <w:t xml:space="preserve"> р. № _____</w:t>
      </w:r>
    </w:p>
    <w:p w14:paraId="67279C9A" w14:textId="77777777" w:rsidR="00FC1111" w:rsidRPr="005E71DA" w:rsidRDefault="00FC1111" w:rsidP="00FC1111">
      <w:pPr>
        <w:pStyle w:val="a6"/>
        <w:shd w:val="clear" w:color="auto" w:fill="FFFFFF"/>
        <w:spacing w:before="240" w:beforeAutospacing="0" w:after="240" w:afterAutospacing="0"/>
        <w:ind w:firstLine="709"/>
        <w:jc w:val="center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p w14:paraId="75AFB162" w14:textId="77777777" w:rsidR="00FC1111" w:rsidRPr="005E71DA" w:rsidRDefault="00FC1111" w:rsidP="006E1FB4">
      <w:pPr>
        <w:pStyle w:val="a6"/>
        <w:shd w:val="clear" w:color="auto" w:fill="FFFFFF"/>
        <w:spacing w:before="240" w:beforeAutospacing="0" w:after="240" w:afterAutospacing="0"/>
        <w:jc w:val="center"/>
        <w:rPr>
          <w:b/>
          <w:color w:val="333333"/>
          <w:sz w:val="32"/>
          <w:szCs w:val="32"/>
          <w:shd w:val="clear" w:color="auto" w:fill="FFFFFF"/>
          <w:lang w:val="uk-UA"/>
        </w:rPr>
      </w:pPr>
      <w:r w:rsidRPr="005E71DA">
        <w:rPr>
          <w:b/>
          <w:caps/>
          <w:color w:val="333333"/>
          <w:sz w:val="32"/>
          <w:szCs w:val="32"/>
          <w:shd w:val="clear" w:color="auto" w:fill="FFFFFF"/>
          <w:lang w:val="uk-UA"/>
        </w:rPr>
        <w:t>Критерії</w:t>
      </w:r>
    </w:p>
    <w:p w14:paraId="7034FCF3" w14:textId="77777777" w:rsidR="00FC1111" w:rsidRPr="005E71DA" w:rsidRDefault="00FC1111" w:rsidP="006E1FB4">
      <w:pPr>
        <w:pStyle w:val="a6"/>
        <w:shd w:val="clear" w:color="auto" w:fill="FFFFFF"/>
        <w:spacing w:before="240" w:beforeAutospacing="0" w:after="240" w:afterAutospacing="0"/>
        <w:jc w:val="center"/>
        <w:rPr>
          <w:color w:val="1A171C"/>
          <w:sz w:val="28"/>
          <w:szCs w:val="28"/>
          <w:lang w:val="uk-UA"/>
        </w:rPr>
      </w:pPr>
      <w:r w:rsidRPr="005E71DA">
        <w:rPr>
          <w:b/>
          <w:color w:val="333333"/>
          <w:sz w:val="28"/>
          <w:szCs w:val="28"/>
          <w:shd w:val="clear" w:color="auto" w:fill="FFFFFF"/>
          <w:lang w:val="uk-UA"/>
        </w:rPr>
        <w:t>оголошення припинення статусу відходів для брухту заліза та сталі</w:t>
      </w:r>
    </w:p>
    <w:tbl>
      <w:tblPr>
        <w:tblStyle w:val="a5"/>
        <w:tblW w:w="9379" w:type="dxa"/>
        <w:tblLook w:val="04A0" w:firstRow="1" w:lastRow="0" w:firstColumn="1" w:lastColumn="0" w:noHBand="0" w:noVBand="1"/>
      </w:tblPr>
      <w:tblGrid>
        <w:gridCol w:w="5220"/>
        <w:gridCol w:w="4159"/>
      </w:tblGrid>
      <w:tr w:rsidR="00FC1111" w:rsidRPr="005E71DA" w14:paraId="676305CA" w14:textId="77777777" w:rsidTr="00987852">
        <w:tc>
          <w:tcPr>
            <w:tcW w:w="5220" w:type="dxa"/>
          </w:tcPr>
          <w:p w14:paraId="3BD8FC53" w14:textId="77777777" w:rsidR="00FC1111" w:rsidRPr="00FC1111" w:rsidRDefault="00FC1111" w:rsidP="00987852">
            <w:pPr>
              <w:spacing w:after="120"/>
              <w:ind w:right="1149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  <w:t>Критерії</w:t>
            </w:r>
          </w:p>
        </w:tc>
        <w:tc>
          <w:tcPr>
            <w:tcW w:w="4159" w:type="dxa"/>
          </w:tcPr>
          <w:p w14:paraId="0E54D459" w14:textId="77777777" w:rsidR="00FC1111" w:rsidRPr="00FC1111" w:rsidRDefault="00FC1111" w:rsidP="00987852">
            <w:pPr>
              <w:spacing w:after="120"/>
              <w:ind w:right="4"/>
              <w:jc w:val="center"/>
              <w:rPr>
                <w:rFonts w:ascii="Times New Roman" w:hAnsi="Times New Roman" w:cs="Times New Roman"/>
                <w:b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Вимоги для внутрішнього моніторингу</w:t>
            </w:r>
          </w:p>
        </w:tc>
      </w:tr>
      <w:tr w:rsidR="00FC1111" w:rsidRPr="005E71DA" w14:paraId="64CEF519" w14:textId="77777777" w:rsidTr="00987852">
        <w:tc>
          <w:tcPr>
            <w:tcW w:w="9379" w:type="dxa"/>
            <w:gridSpan w:val="2"/>
          </w:tcPr>
          <w:p w14:paraId="5CE1FDB5" w14:textId="77777777" w:rsidR="00FC1111" w:rsidRPr="00FC1111" w:rsidRDefault="00FC1111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1.  Відходи, які використовуються як вхідна фракція для операцій з відновлення відходів</w:t>
            </w:r>
          </w:p>
        </w:tc>
      </w:tr>
      <w:tr w:rsidR="00FC1111" w:rsidRPr="00420A1F" w14:paraId="0127CAA8" w14:textId="77777777" w:rsidTr="00987852">
        <w:tc>
          <w:tcPr>
            <w:tcW w:w="5220" w:type="dxa"/>
          </w:tcPr>
          <w:p w14:paraId="729DB2F2" w14:textId="77777777" w:rsidR="00FC1111" w:rsidRPr="00FC1111" w:rsidRDefault="00FC1111" w:rsidP="001B384F">
            <w:pPr>
              <w:pStyle w:val="a3"/>
              <w:numPr>
                <w:ilvl w:val="1"/>
                <w:numId w:val="1"/>
              </w:numPr>
              <w:spacing w:after="120"/>
              <w:ind w:left="0" w:right="40" w:firstLine="336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Тільки відходи, які містять залізо або сталь, що підлягають відновленню, можуть використовуватися як вхідна фракція.</w:t>
            </w:r>
          </w:p>
        </w:tc>
        <w:tc>
          <w:tcPr>
            <w:tcW w:w="4159" w:type="dxa"/>
            <w:vMerge w:val="restart"/>
          </w:tcPr>
          <w:p w14:paraId="26E6D937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Вхідний контроль під час приймання відходів здійснюється шляхом візуального огляду та вивчення супровідної документації кваліфікованим персоналом, який навчений визначати відходи, що не відповідають критеріям, викладеним у цьому Розділі.</w:t>
            </w:r>
          </w:p>
        </w:tc>
      </w:tr>
      <w:tr w:rsidR="00FC1111" w:rsidRPr="00420A1F" w14:paraId="36201ADB" w14:textId="77777777" w:rsidTr="00987852">
        <w:tc>
          <w:tcPr>
            <w:tcW w:w="5220" w:type="dxa"/>
          </w:tcPr>
          <w:p w14:paraId="6E9640EE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1.2 Небезпечні відходи не повинні використовуватися як вхідна фракція, за винятком випадків, коли надається доказ того, що процеси та методи, зазначені у розділі 2 цих  Критеріїв</w:t>
            </w:r>
            <w:r w:rsidRPr="00FC11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FC11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uk-UA"/>
              </w:rPr>
              <w:t>були</w:t>
            </w:r>
            <w:r w:rsidRPr="00FC1111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застосовані</w:t>
            </w: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 для усунення всіх небезпечних властивостей.</w:t>
            </w:r>
          </w:p>
        </w:tc>
        <w:tc>
          <w:tcPr>
            <w:tcW w:w="4159" w:type="dxa"/>
            <w:vMerge/>
          </w:tcPr>
          <w:p w14:paraId="1545E99E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FC1111" w:rsidRPr="005E71DA" w14:paraId="0B6B1330" w14:textId="77777777" w:rsidTr="00987852">
        <w:tc>
          <w:tcPr>
            <w:tcW w:w="5220" w:type="dxa"/>
          </w:tcPr>
          <w:p w14:paraId="08B30FD7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1.3. Наступні види відходів не повинні використовуватись як вхідна фракція:</w:t>
            </w:r>
          </w:p>
          <w:p w14:paraId="58735B22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токарна та свердлильна стружка, які містять рідини, такі я</w:t>
            </w:r>
            <w:r w:rsidR="001B384F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к масло або масляні емульсії;</w:t>
            </w:r>
          </w:p>
          <w:p w14:paraId="5C7C11C0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контейнери, за винятком обладнання з транспортних засобів, у яких закінчився термін експлуатації, які містять або містили масло або фарби.</w:t>
            </w:r>
          </w:p>
        </w:tc>
        <w:tc>
          <w:tcPr>
            <w:tcW w:w="4159" w:type="dxa"/>
            <w:vMerge/>
          </w:tcPr>
          <w:p w14:paraId="1EC1C9E5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FC1111" w:rsidRPr="005E71DA" w14:paraId="1585EB41" w14:textId="77777777" w:rsidTr="00987852">
        <w:tc>
          <w:tcPr>
            <w:tcW w:w="9379" w:type="dxa"/>
            <w:gridSpan w:val="2"/>
          </w:tcPr>
          <w:p w14:paraId="25CBC65F" w14:textId="77777777" w:rsidR="00FC1111" w:rsidRPr="00FC1111" w:rsidRDefault="00FC1111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t>Розділ 2. Процеси і технології оброблення відходів</w:t>
            </w:r>
          </w:p>
        </w:tc>
      </w:tr>
      <w:tr w:rsidR="00FC1111" w:rsidRPr="005E71DA" w14:paraId="7282AD6E" w14:textId="77777777" w:rsidTr="00987852">
        <w:tc>
          <w:tcPr>
            <w:tcW w:w="5220" w:type="dxa"/>
          </w:tcPr>
          <w:p w14:paraId="4D9ECDB1" w14:textId="77777777" w:rsidR="00FC1111" w:rsidRPr="00FC1111" w:rsidRDefault="00FC1111" w:rsidP="00987852">
            <w:pPr>
              <w:pStyle w:val="a3"/>
              <w:widowControl w:val="0"/>
              <w:autoSpaceDE w:val="0"/>
              <w:autoSpaceDN w:val="0"/>
              <w:spacing w:after="120"/>
              <w:ind w:left="72" w:right="40" w:firstLine="274"/>
              <w:contextualSpacing w:val="0"/>
              <w:jc w:val="both"/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2.1. Вхідні фракції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відходів повинні бути оброблені для відокремлення </w:t>
            </w: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 xml:space="preserve">брухту заліза або сталі від не металевих компонентів та компонентів з кольорових металів, якщо брухт заліза </w:t>
            </w: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>або сталі не був відокремлений в джерелі утворення або під час збирання, і повинні зберігатися окремо.</w:t>
            </w:r>
          </w:p>
        </w:tc>
        <w:tc>
          <w:tcPr>
            <w:tcW w:w="4159" w:type="dxa"/>
          </w:tcPr>
          <w:p w14:paraId="6045D82A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FC1111" w:rsidRPr="005E71DA" w14:paraId="140D214B" w14:textId="77777777" w:rsidTr="00987852">
        <w:tc>
          <w:tcPr>
            <w:tcW w:w="5220" w:type="dxa"/>
          </w:tcPr>
          <w:p w14:paraId="1A443D90" w14:textId="77777777" w:rsidR="00FC1111" w:rsidRPr="00FC1111" w:rsidRDefault="00FC1111" w:rsidP="001B384F">
            <w:pPr>
              <w:pStyle w:val="a3"/>
              <w:numPr>
                <w:ilvl w:val="1"/>
                <w:numId w:val="3"/>
              </w:numPr>
              <w:spacing w:after="120"/>
              <w:ind w:left="72" w:firstLine="27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lastRenderedPageBreak/>
              <w:t>Всі види механічного оброблення (такі як різання, оброблення механічними ножицями, подрібнення або гранулювання; сортування, розділення, очищення, знешкодження, випорожнення), необхідні для підготовки брухту</w:t>
            </w:r>
            <w:r w:rsidR="001B384F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заліза та сталі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до безпосереднього використання як вхідної фракції на металургійних і ливарних цехах, повинні бути завершені. </w:t>
            </w:r>
          </w:p>
        </w:tc>
        <w:tc>
          <w:tcPr>
            <w:tcW w:w="4159" w:type="dxa"/>
          </w:tcPr>
          <w:p w14:paraId="46FA86AB" w14:textId="77777777" w:rsidR="00FC1111" w:rsidRPr="00FC1111" w:rsidRDefault="00FC1111" w:rsidP="0098785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FC1111" w:rsidRPr="005E71DA" w14:paraId="062D3F31" w14:textId="77777777" w:rsidTr="00987852">
        <w:tc>
          <w:tcPr>
            <w:tcW w:w="5220" w:type="dxa"/>
          </w:tcPr>
          <w:p w14:paraId="56C3058C" w14:textId="77777777" w:rsidR="00FC1111" w:rsidRPr="00FC1111" w:rsidRDefault="00FC1111" w:rsidP="00162BA9">
            <w:pPr>
              <w:pStyle w:val="a3"/>
              <w:numPr>
                <w:ilvl w:val="1"/>
                <w:numId w:val="3"/>
              </w:numPr>
              <w:ind w:left="66" w:firstLine="2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Для відходів, які містять небезпечні компоненти, повинні застосовуватися наступні специфічні вимоги:</w:t>
            </w:r>
          </w:p>
          <w:p w14:paraId="12B8BAC2" w14:textId="77777777" w:rsidR="00FC1111" w:rsidRPr="00FC1111" w:rsidRDefault="00FC1111" w:rsidP="00162BA9">
            <w:pPr>
              <w:ind w:left="72" w:firstLine="27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вхідні фракції з відходів електричного та електронного обладнання  або транспортних засобів, у яких закінчився термін експлуатації, повинні проходити оброблення відповідно до законодавства у сфері управління відходами електричного та електронного обладнання та законодавства у сфері утилізації транспортних заходів</w:t>
            </w:r>
            <w:r w:rsidR="006E1FB4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53E1515C" w14:textId="77777777" w:rsidR="00FC1111" w:rsidRPr="00FC1111" w:rsidRDefault="00FC1111" w:rsidP="00162BA9">
            <w:pPr>
              <w:ind w:left="72" w:firstLine="27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proofErr w:type="spellStart"/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хлорфторвуглеці</w:t>
            </w:r>
            <w:proofErr w:type="spellEnd"/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 з відпрацьованого обладнання повинні бути відокремлені згідно із законодавством про хімічну безпеку та поводження з хімічними речовинами</w:t>
            </w:r>
            <w:r w:rsidR="006E1FB4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05FB08B2" w14:textId="77777777" w:rsidR="00FC1111" w:rsidRPr="00FC1111" w:rsidRDefault="00FC1111" w:rsidP="00162BA9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кабелі повинні бути зняті або від’єднанні. Якщо кабель містить органічні покриття (пластмаси), органічні покриття повинні бути видалені відповідно до найкращих доступних технологій</w:t>
            </w:r>
            <w:r w:rsidR="006E1FB4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0A895914" w14:textId="77777777" w:rsidR="00FC1111" w:rsidRPr="00FC1111" w:rsidRDefault="00FC1111" w:rsidP="00162BA9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бочки та контейнери повинні бути спорожнені та очищені</w:t>
            </w:r>
            <w:r w:rsidR="006E1FB4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;</w:t>
            </w:r>
          </w:p>
          <w:p w14:paraId="522B0186" w14:textId="77777777" w:rsidR="00FC1111" w:rsidRPr="00FC1111" w:rsidRDefault="00FC1111" w:rsidP="00162BA9">
            <w:pPr>
              <w:ind w:firstLine="284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 xml:space="preserve">небезпечні речовини у відходах, не зазначених в абзаці другому цього пункту, повинні бути ефективно видалені згідно із законодавством про хімічну безпеку та поводження з хімічними 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lastRenderedPageBreak/>
              <w:t xml:space="preserve">речовинами. </w:t>
            </w:r>
          </w:p>
        </w:tc>
        <w:tc>
          <w:tcPr>
            <w:tcW w:w="4159" w:type="dxa"/>
          </w:tcPr>
          <w:p w14:paraId="56E6406E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  <w:p w14:paraId="5A429221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  <w:p w14:paraId="46ECD17B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</w:tr>
      <w:tr w:rsidR="00FC1111" w:rsidRPr="005E71DA" w14:paraId="2E4CDCFB" w14:textId="77777777" w:rsidTr="00987852">
        <w:tc>
          <w:tcPr>
            <w:tcW w:w="9379" w:type="dxa"/>
            <w:gridSpan w:val="2"/>
          </w:tcPr>
          <w:p w14:paraId="10DDF6AC" w14:textId="77777777" w:rsidR="00FC1111" w:rsidRPr="00FC1111" w:rsidRDefault="00FC1111" w:rsidP="00987852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b/>
                <w:color w:val="1A171C"/>
                <w:sz w:val="28"/>
                <w:szCs w:val="28"/>
                <w:lang w:val="uk-UA"/>
              </w:rPr>
              <w:lastRenderedPageBreak/>
              <w:t>Розділ 3. Якість брухту заліза або сталі, що утворився в результаті проведення операцій з відновлення</w:t>
            </w:r>
          </w:p>
        </w:tc>
      </w:tr>
      <w:tr w:rsidR="00FC1111" w:rsidRPr="005E71DA" w14:paraId="2B20A0FE" w14:textId="77777777" w:rsidTr="00987852">
        <w:tc>
          <w:tcPr>
            <w:tcW w:w="5220" w:type="dxa"/>
          </w:tcPr>
          <w:p w14:paraId="55C66160" w14:textId="77777777" w:rsidR="00FC1111" w:rsidRPr="00FC1111" w:rsidRDefault="00FC1111" w:rsidP="00FC1111">
            <w:pPr>
              <w:pStyle w:val="a3"/>
              <w:numPr>
                <w:ilvl w:val="1"/>
                <w:numId w:val="4"/>
              </w:numPr>
              <w:spacing w:after="120"/>
              <w:ind w:left="66" w:firstLine="27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</w:pPr>
            <w:r w:rsidRPr="00FC11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Брухт повинен оцінюватися відповідно до ДСТУ 4121 – 2002 "Метали чорні вторинні. Загальні технічні умови" або </w:t>
            </w:r>
            <w:r w:rsidRPr="00FC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en-GB"/>
              </w:rPr>
              <w:t xml:space="preserve">аналогічного міжнародного стандарту, або технічних </w:t>
            </w:r>
            <w:r w:rsidRPr="00FC11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 xml:space="preserve">умов (технічних специфікацій) для безпосереднього використання у виробництві металевих речовин або предметів 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на металургійних і ливарних цехах.</w:t>
            </w:r>
          </w:p>
        </w:tc>
        <w:tc>
          <w:tcPr>
            <w:tcW w:w="4159" w:type="dxa"/>
          </w:tcPr>
          <w:p w14:paraId="369271B3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en-GB"/>
              </w:rPr>
              <w:t>Кваліфікований персонал повинен оцінювати кожну партію.</w:t>
            </w:r>
          </w:p>
        </w:tc>
      </w:tr>
      <w:tr w:rsidR="00FC1111" w:rsidRPr="005E71DA" w14:paraId="7473AAA9" w14:textId="77777777" w:rsidTr="00987852">
        <w:tc>
          <w:tcPr>
            <w:tcW w:w="5220" w:type="dxa"/>
          </w:tcPr>
          <w:p w14:paraId="1DCCF642" w14:textId="77777777" w:rsidR="00FC1111" w:rsidRPr="00FC1111" w:rsidRDefault="00FC1111" w:rsidP="00FC1111">
            <w:pPr>
              <w:pStyle w:val="TableParagraph"/>
              <w:numPr>
                <w:ilvl w:val="1"/>
                <w:numId w:val="4"/>
              </w:numPr>
              <w:tabs>
                <w:tab w:val="left" w:pos="341"/>
              </w:tabs>
              <w:spacing w:after="120"/>
              <w:ind w:left="66" w:right="81" w:firstLine="270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Загальна кількість домішок повинна бути  ≤ 2 %  від ваги.</w:t>
            </w:r>
          </w:p>
          <w:p w14:paraId="5B100E7A" w14:textId="77777777" w:rsidR="00FC1111" w:rsidRPr="00FC1111" w:rsidRDefault="00FC1111" w:rsidP="00987852">
            <w:pPr>
              <w:pStyle w:val="TableParagraph"/>
              <w:spacing w:after="120"/>
              <w:ind w:left="341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Домішками є:</w:t>
            </w:r>
          </w:p>
          <w:p w14:paraId="1208499F" w14:textId="77777777" w:rsidR="00FC1111" w:rsidRPr="00FC1111" w:rsidRDefault="00FC1111" w:rsidP="00987852">
            <w:pPr>
              <w:pStyle w:val="TableParagraph"/>
              <w:spacing w:after="120"/>
              <w:ind w:left="66" w:firstLine="27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кольорові метали (за виключенням легуючих елементів в будь-якому субстраті з чорних металів) і неметалеві матеріали, такі як земля, пил, ізоляційні матеріали та скло; </w:t>
            </w:r>
          </w:p>
          <w:p w14:paraId="62FD106E" w14:textId="77777777" w:rsidR="00FC1111" w:rsidRPr="00FC1111" w:rsidRDefault="00FC1111" w:rsidP="00987852">
            <w:pPr>
              <w:pStyle w:val="TableParagraph"/>
              <w:spacing w:after="120"/>
              <w:ind w:left="66" w:firstLine="27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горючі неметалеві матеріали, такі як гума, пластмаса, тканина, дерево та інші хімічні або органічні речовини;</w:t>
            </w:r>
          </w:p>
          <w:p w14:paraId="216C4A98" w14:textId="77777777" w:rsidR="00FC1111" w:rsidRPr="00FC1111" w:rsidRDefault="001B384F" w:rsidP="00987852">
            <w:pPr>
              <w:pStyle w:val="TableParagraph"/>
              <w:spacing w:after="120"/>
              <w:ind w:left="66" w:firstLine="27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420A1F">
              <w:rPr>
                <w:color w:val="1A171C"/>
                <w:sz w:val="28"/>
                <w:szCs w:val="28"/>
                <w:lang w:val="uk-UA"/>
              </w:rPr>
              <w:t>великі</w:t>
            </w:r>
            <w:r w:rsidR="00FC1111" w:rsidRPr="00420A1F">
              <w:rPr>
                <w:color w:val="1A171C"/>
                <w:sz w:val="28"/>
                <w:szCs w:val="28"/>
                <w:lang w:val="uk-UA"/>
              </w:rPr>
              <w:t xml:space="preserve"> деталі (розміром </w:t>
            </w:r>
            <w:r w:rsidR="006E1FB4" w:rsidRPr="00420A1F">
              <w:rPr>
                <w:color w:val="1A171C"/>
                <w:sz w:val="28"/>
                <w:szCs w:val="28"/>
                <w:lang w:val="uk-UA"/>
              </w:rPr>
              <w:t xml:space="preserve">від </w:t>
            </w:r>
            <w:r w:rsidR="00FC1111" w:rsidRPr="00420A1F">
              <w:rPr>
                <w:color w:val="1A171C"/>
                <w:sz w:val="28"/>
                <w:szCs w:val="28"/>
                <w:lang w:val="uk-UA"/>
              </w:rPr>
              <w:t>240 × 115 × 71 мм),</w:t>
            </w:r>
            <w:r w:rsidR="00FC1111" w:rsidRPr="00FC1111">
              <w:rPr>
                <w:color w:val="1A171C"/>
                <w:sz w:val="28"/>
                <w:szCs w:val="28"/>
                <w:lang w:val="uk-UA"/>
              </w:rPr>
              <w:t xml:space="preserve"> які не є провідниками електроенергії, такі як шини, труби, наповнені цемен</w:t>
            </w:r>
            <w:bookmarkStart w:id="0" w:name="_GoBack"/>
            <w:bookmarkEnd w:id="0"/>
            <w:r w:rsidR="00FC1111" w:rsidRPr="00FC1111">
              <w:rPr>
                <w:color w:val="1A171C"/>
                <w:sz w:val="28"/>
                <w:szCs w:val="28"/>
                <w:lang w:val="uk-UA"/>
              </w:rPr>
              <w:t xml:space="preserve">том, деревиною або бетоном; </w:t>
            </w:r>
          </w:p>
          <w:p w14:paraId="52765BA5" w14:textId="77777777" w:rsidR="00FC1111" w:rsidRPr="00FC1111" w:rsidRDefault="00FC1111" w:rsidP="00987852">
            <w:pPr>
              <w:pStyle w:val="TableParagraph"/>
              <w:spacing w:after="120"/>
              <w:ind w:left="66" w:firstLine="27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залишки, що утворюються в результаті плавлення сталі, нагрівання, очистки поверхні від окалини (включаючи абразивну очистку), шліфування, розпилювання, зварювання та різання, такі як шлак, окалина, пил з рукавних фільтрів, пил від шліфувальних машин, шлам. </w:t>
            </w:r>
          </w:p>
          <w:p w14:paraId="21A6AC26" w14:textId="77777777" w:rsidR="00FC1111" w:rsidRPr="00FC1111" w:rsidRDefault="00FC1111" w:rsidP="00987852">
            <w:pPr>
              <w:spacing w:after="120"/>
              <w:ind w:right="40"/>
              <w:jc w:val="both"/>
              <w:rPr>
                <w:rFonts w:ascii="Times New Roman" w:eastAsia="Times New Roman" w:hAnsi="Times New Roman" w:cs="Times New Roman"/>
                <w:color w:val="1A171C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</w:tcPr>
          <w:p w14:paraId="1226F42A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</w:t>
            </w:r>
          </w:p>
          <w:p w14:paraId="7B71B83C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6E1FB4">
              <w:rPr>
                <w:color w:val="1A171C"/>
                <w:sz w:val="28"/>
                <w:szCs w:val="28"/>
                <w:lang w:val="uk-UA"/>
              </w:rPr>
              <w:t>Належна періодичність проведення перевірок (щонайменше кожні 6 місяців),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 відбір проб проводяться для визначення вмісту домішок шляхом зважування після магнітного або ручного розділення (там, де це доцільно) залізних та сталевих частин і елементів.  </w:t>
            </w:r>
          </w:p>
          <w:p w14:paraId="54B5D2DA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Належна періодичність проведення аналізу репрезентативних проб повинна визначатися з врахуванням наступних чинників:</w:t>
            </w:r>
          </w:p>
          <w:p w14:paraId="5E66D52D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очікувана модель мінливості;</w:t>
            </w:r>
          </w:p>
          <w:p w14:paraId="2A0D1357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невід’ємний ризик мінливості якості відходів що використовуються як вхідна фракція для операцій з відновлення і будь-якої подальшої обробки;</w:t>
            </w:r>
          </w:p>
          <w:p w14:paraId="52ABAAF9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невід'ємна</w:t>
            </w:r>
            <w:r w:rsidR="001B384F">
              <w:rPr>
                <w:color w:val="1A171C"/>
                <w:sz w:val="28"/>
                <w:szCs w:val="28"/>
                <w:lang w:val="uk-UA"/>
              </w:rPr>
              <w:t xml:space="preserve"> точність методу моніторингу; </w:t>
            </w:r>
          </w:p>
          <w:p w14:paraId="1ECAFF68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наближеність результатів до 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lastRenderedPageBreak/>
              <w:t>граничних значень загальної кількості домішок.</w:t>
            </w:r>
          </w:p>
          <w:p w14:paraId="6CB4F04D" w14:textId="77777777" w:rsidR="00FC1111" w:rsidRPr="00FC1111" w:rsidRDefault="00FC1111" w:rsidP="00987852">
            <w:pPr>
              <w:pStyle w:val="TableParagraph"/>
              <w:spacing w:after="120"/>
              <w:ind w:left="88"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Процедура по визначенню періодичності проведення моніторингу повинна бути задокументована як частина системи управління якістю / системи екологічного управління та повинна бути доступною для перевірки.</w:t>
            </w:r>
          </w:p>
        </w:tc>
      </w:tr>
      <w:tr w:rsidR="00FC1111" w:rsidRPr="005E71DA" w14:paraId="6A480C60" w14:textId="77777777" w:rsidTr="00987852">
        <w:tc>
          <w:tcPr>
            <w:tcW w:w="5220" w:type="dxa"/>
          </w:tcPr>
          <w:p w14:paraId="14671CCB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lastRenderedPageBreak/>
              <w:t xml:space="preserve">3.3. Брухт не повинен містити надмірної кількості 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оксиду металу в будь-якій формі, за винятком типових кількостей, які виникають під час зберігання готового брухту поза межами приміщення за нормальних атмосферних умов.</w:t>
            </w:r>
          </w:p>
        </w:tc>
        <w:tc>
          <w:tcPr>
            <w:tcW w:w="4159" w:type="dxa"/>
          </w:tcPr>
          <w:p w14:paraId="52C853EA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  <w:tr w:rsidR="00FC1111" w:rsidRPr="005E71DA" w14:paraId="001BC5ED" w14:textId="77777777" w:rsidTr="00987852">
        <w:tc>
          <w:tcPr>
            <w:tcW w:w="5220" w:type="dxa"/>
          </w:tcPr>
          <w:p w14:paraId="690FACF1" w14:textId="77777777" w:rsidR="00FC1111" w:rsidRPr="00FC1111" w:rsidRDefault="00FC1111" w:rsidP="00FC1111">
            <w:pPr>
              <w:pStyle w:val="TableParagraph"/>
              <w:numPr>
                <w:ilvl w:val="1"/>
                <w:numId w:val="5"/>
              </w:numPr>
              <w:tabs>
                <w:tab w:val="left" w:pos="0"/>
              </w:tabs>
              <w:ind w:left="0" w:right="81" w:firstLine="336"/>
              <w:jc w:val="both"/>
              <w:rPr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bCs/>
                <w:color w:val="1A171C"/>
                <w:sz w:val="28"/>
                <w:szCs w:val="28"/>
                <w:lang w:val="uk-UA"/>
              </w:rPr>
              <w:t xml:space="preserve">Брухт не повинен містити видимих ознак наявності олив, масляних емульсій, мастильних матеріалів або мастил, за винятком незначних кількостей що не призведуть до витікання.  </w:t>
            </w:r>
          </w:p>
          <w:p w14:paraId="196A933D" w14:textId="77777777" w:rsidR="00FC1111" w:rsidRPr="00FC1111" w:rsidRDefault="00FC1111" w:rsidP="00987852">
            <w:pPr>
              <w:pStyle w:val="a3"/>
              <w:spacing w:after="120"/>
              <w:ind w:left="117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</w:p>
        </w:tc>
        <w:tc>
          <w:tcPr>
            <w:tcW w:w="4159" w:type="dxa"/>
          </w:tcPr>
          <w:p w14:paraId="289F3E0A" w14:textId="77777777" w:rsidR="00FC1111" w:rsidRPr="00FC1111" w:rsidRDefault="00FC1111" w:rsidP="001B384F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Кваліфікований персонал повинен проводити ві</w:t>
            </w:r>
            <w:r w:rsidR="001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зуальну перевірку кожної партії</w:t>
            </w: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  </w:t>
            </w:r>
          </w:p>
        </w:tc>
      </w:tr>
      <w:tr w:rsidR="00FC1111" w:rsidRPr="005E71DA" w14:paraId="1F8875D4" w14:textId="77777777" w:rsidTr="00987852">
        <w:tc>
          <w:tcPr>
            <w:tcW w:w="5220" w:type="dxa"/>
          </w:tcPr>
          <w:p w14:paraId="4484C2BB" w14:textId="77777777" w:rsidR="00FC1111" w:rsidRPr="00FC1111" w:rsidRDefault="00FC1111" w:rsidP="006E1FB4">
            <w:pPr>
              <w:pStyle w:val="TableParagraph"/>
              <w:spacing w:after="120"/>
              <w:ind w:right="81" w:firstLine="336"/>
              <w:jc w:val="both"/>
              <w:rPr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3.5. Радіоактивність </w:t>
            </w:r>
            <w:r w:rsidR="006E1FB4">
              <w:rPr>
                <w:color w:val="1A171C"/>
                <w:sz w:val="28"/>
                <w:szCs w:val="28"/>
                <w:lang w:val="uk-UA"/>
              </w:rPr>
              <w:t>брухту</w:t>
            </w:r>
            <w:r w:rsidR="001B384F" w:rsidRPr="001B384F">
              <w:rPr>
                <w:color w:val="1A171C"/>
                <w:sz w:val="28"/>
                <w:szCs w:val="28"/>
                <w:lang w:val="uk-UA"/>
              </w:rPr>
              <w:t xml:space="preserve"> заліза та сталі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 не повин</w:t>
            </w:r>
            <w:r w:rsidR="006E1FB4">
              <w:rPr>
                <w:color w:val="1A171C"/>
                <w:sz w:val="28"/>
                <w:szCs w:val="28"/>
                <w:lang w:val="uk-UA"/>
              </w:rPr>
              <w:t>на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 перевищувати</w:t>
            </w:r>
            <w:r w:rsidRPr="00FC1111">
              <w:rPr>
                <w:sz w:val="28"/>
                <w:szCs w:val="28"/>
                <w:lang w:val="uk-UA"/>
              </w:rPr>
              <w:t xml:space="preserve"> </w:t>
            </w:r>
            <w:r w:rsidRPr="00FC1111">
              <w:rPr>
                <w:bCs/>
                <w:color w:val="1A171C"/>
                <w:sz w:val="28"/>
                <w:szCs w:val="28"/>
                <w:lang w:val="uk-UA"/>
              </w:rPr>
              <w:t>допустимих меж радіаційного впливу на персонал, населення та навколишнє природне середовище, встановлених нормами та правилами з безпеки.</w:t>
            </w:r>
          </w:p>
        </w:tc>
        <w:tc>
          <w:tcPr>
            <w:tcW w:w="4159" w:type="dxa"/>
          </w:tcPr>
          <w:p w14:paraId="342F4B2A" w14:textId="77777777" w:rsidR="00FC1111" w:rsidRPr="00FC1111" w:rsidRDefault="00FC1111" w:rsidP="00987852">
            <w:pPr>
              <w:pStyle w:val="TableParagraph"/>
              <w:spacing w:after="120"/>
              <w:ind w:right="-15"/>
              <w:jc w:val="both"/>
              <w:rPr>
                <w:sz w:val="28"/>
                <w:szCs w:val="28"/>
                <w:lang w:val="uk-UA"/>
              </w:rPr>
            </w:pPr>
            <w:r w:rsidRPr="00FC1111">
              <w:rPr>
                <w:sz w:val="28"/>
                <w:szCs w:val="28"/>
                <w:lang w:val="uk-UA"/>
              </w:rPr>
              <w:t>Кваліфікований персонал повинен проводити перевірку кожної партії на радіоактивність.</w:t>
            </w:r>
          </w:p>
          <w:p w14:paraId="15635A36" w14:textId="77777777" w:rsidR="00FC1111" w:rsidRPr="00FC1111" w:rsidRDefault="00FC1111" w:rsidP="001B384F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Кожна партія брухту</w:t>
            </w:r>
            <w:r w:rsidR="001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заліза та сталі</w:t>
            </w: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повинна супроводжуватись документом, який підтверджує радіаційну безпеку </w:t>
            </w:r>
            <w:r w:rsidR="001B384F" w:rsidRPr="001B3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брухту заліза та сталі</w:t>
            </w: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відповідно до нормативних документів, зазначених в пункті 3.1 цього розділу. Такий  документ додається до документів, що супроводжують партію.   </w:t>
            </w:r>
          </w:p>
        </w:tc>
      </w:tr>
      <w:tr w:rsidR="00FC1111" w:rsidRPr="005E71DA" w14:paraId="01CC52D6" w14:textId="77777777" w:rsidTr="00987852">
        <w:trPr>
          <w:trHeight w:val="2482"/>
        </w:trPr>
        <w:tc>
          <w:tcPr>
            <w:tcW w:w="5220" w:type="dxa"/>
          </w:tcPr>
          <w:p w14:paraId="511CFFEF" w14:textId="77777777" w:rsidR="00FC1111" w:rsidRPr="00FC1111" w:rsidRDefault="00FC1111" w:rsidP="00987852">
            <w:pPr>
              <w:pStyle w:val="TableParagraph"/>
              <w:spacing w:after="120"/>
              <w:ind w:right="76" w:firstLine="336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lastRenderedPageBreak/>
              <w:t>3.6.</w:t>
            </w:r>
            <w:r w:rsidRPr="00FC1111">
              <w:rPr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Брухт не повинен мати жодних небезпечних властивостей, визначених у Додатку 3 до Закону України "Про управління відходами". </w:t>
            </w:r>
          </w:p>
          <w:p w14:paraId="60935D52" w14:textId="77777777" w:rsidR="00FC1111" w:rsidRPr="00FC1111" w:rsidRDefault="00FC1111" w:rsidP="00987852">
            <w:pPr>
              <w:pStyle w:val="TableParagraph"/>
              <w:spacing w:after="120"/>
              <w:ind w:right="76" w:firstLine="336"/>
              <w:jc w:val="both"/>
              <w:rPr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Брухт повинен відповідати обмеженням концентрації, встановленим </w:t>
            </w:r>
            <w:r w:rsidRPr="00FC1111">
              <w:rPr>
                <w:bCs/>
                <w:color w:val="1A171C"/>
                <w:sz w:val="28"/>
                <w:szCs w:val="28"/>
                <w:lang w:val="uk-UA"/>
              </w:rPr>
              <w:t>законодавством про хімічну безпеку та поводження з хімічними речовинами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>.</w:t>
            </w:r>
          </w:p>
          <w:p w14:paraId="10700967" w14:textId="77777777" w:rsidR="00FC1111" w:rsidRPr="00FC1111" w:rsidRDefault="00FC1111" w:rsidP="006E1FB4">
            <w:pPr>
              <w:pStyle w:val="TableParagraph"/>
              <w:spacing w:after="120"/>
              <w:ind w:firstLine="341"/>
              <w:jc w:val="both"/>
              <w:rPr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Властивості інших елементів, що входять до складу сплавів заліза та сталі, не підпадають під цю вимогу.  </w:t>
            </w:r>
          </w:p>
        </w:tc>
        <w:tc>
          <w:tcPr>
            <w:tcW w:w="4159" w:type="dxa"/>
          </w:tcPr>
          <w:p w14:paraId="35257C80" w14:textId="77777777" w:rsidR="00FC1111" w:rsidRPr="00FC1111" w:rsidRDefault="00FC1111" w:rsidP="00987852">
            <w:pPr>
              <w:pStyle w:val="TableParagraph"/>
              <w:spacing w:after="120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 xml:space="preserve">Кваліфікований персонал повинен проводити візуальний огляд кожної партії. Якщо візуальний огляд викликає будь-яку підозру щодо наявності небезпечних властивостей, слід вживати відповідних заходів моніторингу, таких як відбір та аналіз проб, де це необхідно. </w:t>
            </w:r>
          </w:p>
          <w:p w14:paraId="7A260A4C" w14:textId="77777777" w:rsidR="00FC1111" w:rsidRPr="00FC1111" w:rsidRDefault="006E1FB4" w:rsidP="00987852">
            <w:pPr>
              <w:pStyle w:val="TableParagraph"/>
              <w:spacing w:after="120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>
              <w:rPr>
                <w:color w:val="1A171C"/>
                <w:sz w:val="28"/>
                <w:szCs w:val="28"/>
                <w:lang w:val="uk-UA"/>
              </w:rPr>
              <w:t>Кваліфікований п</w:t>
            </w:r>
            <w:r w:rsidR="00FC1111" w:rsidRPr="00FC1111">
              <w:rPr>
                <w:color w:val="1A171C"/>
                <w:sz w:val="28"/>
                <w:szCs w:val="28"/>
                <w:lang w:val="uk-UA"/>
              </w:rPr>
              <w:t xml:space="preserve">ерсонал повинен пройти підготовку з визначення потенційних негативних властивостей, які можуть бути пов’язані з брухтом заліза або сталі, а також компонентів або характеристик матеріалів, які дозволяють розпізнавати небезпечні властивості. </w:t>
            </w:r>
          </w:p>
          <w:p w14:paraId="2065F09C" w14:textId="77777777" w:rsidR="00FC1111" w:rsidRPr="00FC1111" w:rsidRDefault="00FC1111" w:rsidP="000E2499">
            <w:pPr>
              <w:pStyle w:val="TableParagraph"/>
              <w:spacing w:after="120"/>
              <w:ind w:right="-15"/>
              <w:jc w:val="both"/>
              <w:rPr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color w:val="1A171C"/>
                <w:sz w:val="28"/>
                <w:szCs w:val="28"/>
                <w:lang w:val="uk-UA"/>
              </w:rPr>
              <w:t>Процедура визначення небезпечних матеріалів повинна бути задокументов</w:t>
            </w:r>
            <w:r w:rsidR="000E2499">
              <w:rPr>
                <w:color w:val="1A171C"/>
                <w:sz w:val="28"/>
                <w:szCs w:val="28"/>
                <w:lang w:val="uk-UA"/>
              </w:rPr>
              <w:t>ана в системі управління якістю</w:t>
            </w:r>
            <w:r w:rsidRPr="00FC1111">
              <w:rPr>
                <w:color w:val="1A171C"/>
                <w:sz w:val="28"/>
                <w:szCs w:val="28"/>
                <w:lang w:val="uk-UA"/>
              </w:rPr>
              <w:t>/системі екологічного управління.</w:t>
            </w:r>
          </w:p>
        </w:tc>
      </w:tr>
      <w:tr w:rsidR="00FC1111" w:rsidRPr="005E71DA" w14:paraId="6E27BF16" w14:textId="77777777" w:rsidTr="00987852">
        <w:tc>
          <w:tcPr>
            <w:tcW w:w="5220" w:type="dxa"/>
          </w:tcPr>
          <w:p w14:paraId="16929E22" w14:textId="77777777" w:rsidR="00FC1111" w:rsidRPr="00FC1111" w:rsidRDefault="00FC1111" w:rsidP="00987852">
            <w:pPr>
              <w:spacing w:after="120"/>
              <w:ind w:firstLine="336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color w:val="1A171C"/>
                <w:sz w:val="28"/>
                <w:szCs w:val="28"/>
                <w:lang w:val="uk-UA"/>
              </w:rPr>
              <w:t>3.7.</w:t>
            </w:r>
            <w:r w:rsidRPr="00FC1111">
              <w:rPr>
                <w:rFonts w:ascii="Times New Roman" w:hAnsi="Times New Roman" w:cs="Times New Roman"/>
                <w:color w:val="1A171C"/>
                <w:spacing w:val="1"/>
                <w:sz w:val="28"/>
                <w:szCs w:val="28"/>
                <w:lang w:val="uk-UA"/>
              </w:rPr>
              <w:t xml:space="preserve"> </w:t>
            </w:r>
            <w:r w:rsidRPr="00FC1111">
              <w:rPr>
                <w:rFonts w:ascii="Times New Roman" w:hAnsi="Times New Roman" w:cs="Times New Roman"/>
                <w:color w:val="1A171C"/>
                <w:spacing w:val="-8"/>
                <w:sz w:val="28"/>
                <w:szCs w:val="28"/>
                <w:lang w:val="uk-UA"/>
              </w:rPr>
              <w:t>Брухт не повинен містити жодних контейнерів, які знаходяться під тиском, закриті або недостатньо відкриті</w:t>
            </w:r>
            <w:r w:rsidRPr="00FC1111"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  <w:t>, які могли б спричинити вибух у металевій печі.</w:t>
            </w:r>
          </w:p>
        </w:tc>
        <w:tc>
          <w:tcPr>
            <w:tcW w:w="4159" w:type="dxa"/>
          </w:tcPr>
          <w:p w14:paraId="11C92F49" w14:textId="77777777" w:rsidR="00FC1111" w:rsidRPr="00FC1111" w:rsidRDefault="00FC1111" w:rsidP="00987852">
            <w:pPr>
              <w:spacing w:after="120"/>
              <w:jc w:val="both"/>
              <w:rPr>
                <w:rFonts w:ascii="Times New Roman" w:hAnsi="Times New Roman" w:cs="Times New Roman"/>
                <w:bCs/>
                <w:color w:val="1A171C"/>
                <w:sz w:val="28"/>
                <w:szCs w:val="28"/>
                <w:lang w:val="uk-UA"/>
              </w:rPr>
            </w:pPr>
            <w:r w:rsidRPr="00FC11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Кваліфікований персонал повинен проводити візуальний огляд кожної партії.</w:t>
            </w:r>
          </w:p>
        </w:tc>
      </w:tr>
    </w:tbl>
    <w:p w14:paraId="05DA9858" w14:textId="77777777" w:rsidR="00FC1111" w:rsidRPr="005E71DA" w:rsidRDefault="00FC1111" w:rsidP="00FC1111">
      <w:pPr>
        <w:pStyle w:val="a6"/>
        <w:shd w:val="clear" w:color="auto" w:fill="FFFFFF"/>
        <w:spacing w:before="240" w:beforeAutospacing="0" w:after="240" w:afterAutospacing="0"/>
        <w:ind w:firstLine="709"/>
        <w:jc w:val="center"/>
        <w:rPr>
          <w:color w:val="333333"/>
          <w:sz w:val="28"/>
          <w:szCs w:val="28"/>
          <w:shd w:val="clear" w:color="auto" w:fill="FFFFFF"/>
          <w:lang w:val="uk-UA"/>
        </w:rPr>
      </w:pPr>
      <w:r>
        <w:rPr>
          <w:color w:val="333333"/>
          <w:sz w:val="28"/>
          <w:szCs w:val="28"/>
          <w:shd w:val="clear" w:color="auto" w:fill="FFFFFF"/>
          <w:lang w:val="uk-UA"/>
        </w:rPr>
        <w:t>_______________________________</w:t>
      </w:r>
    </w:p>
    <w:sectPr w:rsidR="00FC1111" w:rsidRPr="005E71DA" w:rsidSect="000E249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F9C3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524E92" w14:textId="77777777" w:rsidR="00135371" w:rsidRDefault="00135371" w:rsidP="000E2499">
      <w:pPr>
        <w:spacing w:after="0" w:line="240" w:lineRule="auto"/>
      </w:pPr>
      <w:r>
        <w:separator/>
      </w:r>
    </w:p>
  </w:endnote>
  <w:endnote w:type="continuationSeparator" w:id="0">
    <w:p w14:paraId="7E60FC1F" w14:textId="77777777" w:rsidR="00135371" w:rsidRDefault="00135371" w:rsidP="000E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398B0" w14:textId="77777777" w:rsidR="00135371" w:rsidRDefault="00135371" w:rsidP="000E2499">
      <w:pPr>
        <w:spacing w:after="0" w:line="240" w:lineRule="auto"/>
      </w:pPr>
      <w:r>
        <w:separator/>
      </w:r>
    </w:p>
  </w:footnote>
  <w:footnote w:type="continuationSeparator" w:id="0">
    <w:p w14:paraId="5C30B105" w14:textId="77777777" w:rsidR="00135371" w:rsidRDefault="00135371" w:rsidP="000E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50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52CE81" w14:textId="77777777" w:rsidR="000E2499" w:rsidRPr="000E2499" w:rsidRDefault="000E2499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E24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4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4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20A1F" w:rsidRPr="00420A1F">
          <w:rPr>
            <w:rFonts w:ascii="Times New Roman" w:hAnsi="Times New Roman" w:cs="Times New Roman"/>
            <w:noProof/>
            <w:sz w:val="24"/>
            <w:szCs w:val="24"/>
            <w:lang w:val="uk-UA"/>
          </w:rPr>
          <w:t>3</w:t>
        </w:r>
        <w:r w:rsidRPr="000E24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C8D7C0" w14:textId="77777777" w:rsidR="000E2499" w:rsidRDefault="000E24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54F"/>
    <w:multiLevelType w:val="hybridMultilevel"/>
    <w:tmpl w:val="11460C5C"/>
    <w:lvl w:ilvl="0" w:tplc="9118B170">
      <w:numFmt w:val="bullet"/>
      <w:lvlText w:val="—"/>
      <w:lvlJc w:val="left"/>
      <w:pPr>
        <w:ind w:left="591" w:hanging="246"/>
      </w:pPr>
      <w:rPr>
        <w:rFonts w:ascii="Georgia" w:eastAsia="Georgia" w:hAnsi="Georgia" w:cs="Georgia" w:hint="default"/>
        <w:color w:val="1A171C"/>
        <w:w w:val="110"/>
        <w:sz w:val="17"/>
        <w:szCs w:val="17"/>
      </w:rPr>
    </w:lvl>
    <w:lvl w:ilvl="1" w:tplc="BF6065FA">
      <w:numFmt w:val="bullet"/>
      <w:lvlText w:val="•"/>
      <w:lvlJc w:val="left"/>
      <w:pPr>
        <w:ind w:left="949" w:hanging="246"/>
      </w:pPr>
    </w:lvl>
    <w:lvl w:ilvl="2" w:tplc="B46C1518">
      <w:numFmt w:val="bullet"/>
      <w:lvlText w:val="•"/>
      <w:lvlJc w:val="left"/>
      <w:pPr>
        <w:ind w:left="1298" w:hanging="246"/>
      </w:pPr>
    </w:lvl>
    <w:lvl w:ilvl="3" w:tplc="9174A57C">
      <w:numFmt w:val="bullet"/>
      <w:lvlText w:val="•"/>
      <w:lvlJc w:val="left"/>
      <w:pPr>
        <w:ind w:left="1647" w:hanging="246"/>
      </w:pPr>
    </w:lvl>
    <w:lvl w:ilvl="4" w:tplc="3222A272">
      <w:numFmt w:val="bullet"/>
      <w:lvlText w:val="•"/>
      <w:lvlJc w:val="left"/>
      <w:pPr>
        <w:ind w:left="1997" w:hanging="246"/>
      </w:pPr>
    </w:lvl>
    <w:lvl w:ilvl="5" w:tplc="6D64FCFE">
      <w:numFmt w:val="bullet"/>
      <w:lvlText w:val="•"/>
      <w:lvlJc w:val="left"/>
      <w:pPr>
        <w:ind w:left="2346" w:hanging="246"/>
      </w:pPr>
    </w:lvl>
    <w:lvl w:ilvl="6" w:tplc="393E9268">
      <w:numFmt w:val="bullet"/>
      <w:lvlText w:val="•"/>
      <w:lvlJc w:val="left"/>
      <w:pPr>
        <w:ind w:left="2695" w:hanging="246"/>
      </w:pPr>
    </w:lvl>
    <w:lvl w:ilvl="7" w:tplc="29EE1640">
      <w:numFmt w:val="bullet"/>
      <w:lvlText w:val="•"/>
      <w:lvlJc w:val="left"/>
      <w:pPr>
        <w:ind w:left="3045" w:hanging="246"/>
      </w:pPr>
    </w:lvl>
    <w:lvl w:ilvl="8" w:tplc="EB3051EE">
      <w:numFmt w:val="bullet"/>
      <w:lvlText w:val="•"/>
      <w:lvlJc w:val="left"/>
      <w:pPr>
        <w:ind w:left="3394" w:hanging="246"/>
      </w:pPr>
    </w:lvl>
  </w:abstractNum>
  <w:abstractNum w:abstractNumId="1">
    <w:nsid w:val="16B261C6"/>
    <w:multiLevelType w:val="multilevel"/>
    <w:tmpl w:val="504CE9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" w:hanging="1440"/>
      </w:pPr>
      <w:rPr>
        <w:rFonts w:hint="default"/>
      </w:rPr>
    </w:lvl>
  </w:abstractNum>
  <w:abstractNum w:abstractNumId="2">
    <w:nsid w:val="1D6F4F51"/>
    <w:multiLevelType w:val="multilevel"/>
    <w:tmpl w:val="1D6AD1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  <w:b w:val="0"/>
      </w:rPr>
    </w:lvl>
  </w:abstractNum>
  <w:abstractNum w:abstractNumId="3">
    <w:nsid w:val="36A52503"/>
    <w:multiLevelType w:val="multilevel"/>
    <w:tmpl w:val="2C3446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440"/>
      </w:pPr>
      <w:rPr>
        <w:rFonts w:hint="default"/>
      </w:rPr>
    </w:lvl>
  </w:abstractNum>
  <w:abstractNum w:abstractNumId="4">
    <w:nsid w:val="36BA39B5"/>
    <w:multiLevelType w:val="multilevel"/>
    <w:tmpl w:val="379E25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A171C"/>
        <w:w w:val="90"/>
        <w:sz w:val="17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1A171C"/>
        <w:w w:val="90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1A171C"/>
        <w:w w:val="90"/>
        <w:sz w:val="17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1A171C"/>
        <w:w w:val="90"/>
        <w:sz w:val="17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1A171C"/>
        <w:w w:val="90"/>
        <w:sz w:val="17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A171C"/>
        <w:w w:val="90"/>
        <w:sz w:val="17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1A171C"/>
        <w:w w:val="90"/>
        <w:sz w:val="17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ІГНАТЬЄВА Тетяна Анатоліївна">
    <w15:presenceInfo w15:providerId="AD" w15:userId="S-1-5-21-3661715301-172841279-98041422-226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A6"/>
    <w:rsid w:val="000E2499"/>
    <w:rsid w:val="00135371"/>
    <w:rsid w:val="00162BA9"/>
    <w:rsid w:val="001B384F"/>
    <w:rsid w:val="003119A6"/>
    <w:rsid w:val="003B3574"/>
    <w:rsid w:val="003F29ED"/>
    <w:rsid w:val="00420A1F"/>
    <w:rsid w:val="006E1FB4"/>
    <w:rsid w:val="008B0237"/>
    <w:rsid w:val="00F6332C"/>
    <w:rsid w:val="00FC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CC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FC1111"/>
    <w:pPr>
      <w:ind w:left="720"/>
      <w:contextualSpacing/>
    </w:pPr>
  </w:style>
  <w:style w:type="table" w:styleId="a5">
    <w:name w:val="Table Grid"/>
    <w:basedOn w:val="a1"/>
    <w:uiPriority w:val="39"/>
    <w:rsid w:val="00FC11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FC111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C1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0E2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499"/>
    <w:rPr>
      <w:lang w:val="ru-RU"/>
    </w:rPr>
  </w:style>
  <w:style w:type="paragraph" w:styleId="a9">
    <w:name w:val="footer"/>
    <w:basedOn w:val="a"/>
    <w:link w:val="aa"/>
    <w:uiPriority w:val="99"/>
    <w:unhideWhenUsed/>
    <w:rsid w:val="000E2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499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3F29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29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29ED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29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29ED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F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29ED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1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1"/>
    <w:qFormat/>
    <w:rsid w:val="00FC1111"/>
    <w:pPr>
      <w:ind w:left="720"/>
      <w:contextualSpacing/>
    </w:pPr>
  </w:style>
  <w:style w:type="table" w:styleId="a5">
    <w:name w:val="Table Grid"/>
    <w:basedOn w:val="a1"/>
    <w:uiPriority w:val="39"/>
    <w:rsid w:val="00FC111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C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4">
    <w:name w:val="Абзац списка Знак"/>
    <w:aliases w:val="List Paragraph1 Знак,lp1 Знак,List Paragraph11 Знак,IN2 List Paragraph Знак"/>
    <w:link w:val="a3"/>
    <w:uiPriority w:val="1"/>
    <w:locked/>
    <w:rsid w:val="00FC1111"/>
    <w:rPr>
      <w:lang w:val="ru-RU"/>
    </w:rPr>
  </w:style>
  <w:style w:type="paragraph" w:customStyle="1" w:styleId="TableParagraph">
    <w:name w:val="Table Paragraph"/>
    <w:basedOn w:val="a"/>
    <w:uiPriority w:val="1"/>
    <w:qFormat/>
    <w:rsid w:val="00FC11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header"/>
    <w:basedOn w:val="a"/>
    <w:link w:val="a8"/>
    <w:uiPriority w:val="99"/>
    <w:unhideWhenUsed/>
    <w:rsid w:val="000E2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E2499"/>
    <w:rPr>
      <w:lang w:val="ru-RU"/>
    </w:rPr>
  </w:style>
  <w:style w:type="paragraph" w:styleId="a9">
    <w:name w:val="footer"/>
    <w:basedOn w:val="a"/>
    <w:link w:val="aa"/>
    <w:uiPriority w:val="99"/>
    <w:unhideWhenUsed/>
    <w:rsid w:val="000E249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2499"/>
    <w:rPr>
      <w:lang w:val="ru-RU"/>
    </w:rPr>
  </w:style>
  <w:style w:type="character" w:styleId="ab">
    <w:name w:val="annotation reference"/>
    <w:basedOn w:val="a0"/>
    <w:uiPriority w:val="99"/>
    <w:semiHidden/>
    <w:unhideWhenUsed/>
    <w:rsid w:val="003F29E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F29E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F29ED"/>
    <w:rPr>
      <w:sz w:val="20"/>
      <w:szCs w:val="20"/>
      <w:lang w:val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F29E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F29ED"/>
    <w:rPr>
      <w:b/>
      <w:bCs/>
      <w:sz w:val="20"/>
      <w:szCs w:val="20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3F2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29E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4753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Філоненко Роман Степанович</dc:creator>
  <cp:keywords/>
  <dc:description/>
  <cp:lastModifiedBy>Семенова Наталія Ігорівна</cp:lastModifiedBy>
  <cp:revision>3</cp:revision>
  <dcterms:created xsi:type="dcterms:W3CDTF">2023-03-16T10:51:00Z</dcterms:created>
  <dcterms:modified xsi:type="dcterms:W3CDTF">2023-03-16T12:23:00Z</dcterms:modified>
</cp:coreProperties>
</file>