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0C" w:rsidRPr="0027166E" w:rsidRDefault="00EB3E0C" w:rsidP="00EB3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66E">
        <w:rPr>
          <w:rFonts w:ascii="Times New Roman" w:hAnsi="Times New Roman"/>
          <w:b/>
          <w:sz w:val="28"/>
          <w:szCs w:val="28"/>
        </w:rPr>
        <w:t>ПОРІВНЯЛЬНА ТАБЛИЦЯ</w:t>
      </w:r>
    </w:p>
    <w:p w:rsidR="009827C8" w:rsidRPr="0027166E" w:rsidRDefault="00EB3E0C" w:rsidP="00EB3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66E">
        <w:rPr>
          <w:rFonts w:ascii="Times New Roman" w:hAnsi="Times New Roman"/>
          <w:b/>
          <w:sz w:val="28"/>
          <w:szCs w:val="28"/>
        </w:rPr>
        <w:t>до проекту постанови Кабінету Міністрів України «</w:t>
      </w:r>
      <w:r w:rsidR="00BE49D2" w:rsidRPr="0027166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Про затвердження Порядку </w:t>
      </w:r>
      <w:r w:rsidR="00BE49D2" w:rsidRPr="0027166E">
        <w:rPr>
          <w:rFonts w:ascii="Times New Roman" w:hAnsi="Times New Roman"/>
          <w:b/>
          <w:sz w:val="28"/>
          <w:szCs w:val="28"/>
        </w:rPr>
        <w:t>уповноваження підприємств, установ</w:t>
      </w:r>
      <w:r w:rsidR="0027166E" w:rsidRPr="0027166E">
        <w:rPr>
          <w:rFonts w:ascii="Times New Roman" w:hAnsi="Times New Roman"/>
          <w:b/>
          <w:sz w:val="28"/>
          <w:szCs w:val="28"/>
        </w:rPr>
        <w:t>,</w:t>
      </w:r>
      <w:r w:rsidR="00BE49D2" w:rsidRPr="0027166E">
        <w:rPr>
          <w:rFonts w:ascii="Times New Roman" w:hAnsi="Times New Roman"/>
          <w:b/>
          <w:sz w:val="28"/>
          <w:szCs w:val="28"/>
        </w:rPr>
        <w:t xml:space="preserve"> організацій на здійснення державних випробувань з метою біологічної, екологічної та </w:t>
      </w:r>
      <w:proofErr w:type="spellStart"/>
      <w:r w:rsidR="00BE49D2" w:rsidRPr="0027166E">
        <w:rPr>
          <w:rFonts w:ascii="Times New Roman" w:hAnsi="Times New Roman"/>
          <w:b/>
          <w:sz w:val="28"/>
          <w:szCs w:val="28"/>
        </w:rPr>
        <w:t>токсиколого-гігієнічної</w:t>
      </w:r>
      <w:proofErr w:type="spellEnd"/>
      <w:r w:rsidR="00BE49D2" w:rsidRPr="0027166E">
        <w:rPr>
          <w:rFonts w:ascii="Times New Roman" w:hAnsi="Times New Roman"/>
          <w:b/>
          <w:sz w:val="28"/>
          <w:szCs w:val="28"/>
        </w:rPr>
        <w:t xml:space="preserve"> оцінки для цілей державної реєстрації пестицидів і агрохімікатів та внесення змін</w:t>
      </w:r>
      <w:r w:rsidR="004B6004" w:rsidRPr="0027166E">
        <w:rPr>
          <w:rFonts w:ascii="Times New Roman" w:hAnsi="Times New Roman"/>
          <w:b/>
          <w:sz w:val="28"/>
          <w:szCs w:val="28"/>
        </w:rPr>
        <w:t xml:space="preserve"> до</w:t>
      </w:r>
      <w:r w:rsidR="00BE49D2" w:rsidRPr="0027166E">
        <w:rPr>
          <w:rFonts w:ascii="Times New Roman" w:hAnsi="Times New Roman"/>
          <w:b/>
          <w:sz w:val="28"/>
          <w:szCs w:val="28"/>
        </w:rPr>
        <w:t xml:space="preserve"> постанови Кабінету Міністрів України від 4 березня 1996 р. № 295</w:t>
      </w:r>
      <w:r w:rsidRPr="0027166E">
        <w:rPr>
          <w:rFonts w:ascii="Times New Roman" w:hAnsi="Times New Roman"/>
          <w:b/>
          <w:sz w:val="28"/>
          <w:szCs w:val="28"/>
        </w:rPr>
        <w:t>»</w:t>
      </w:r>
    </w:p>
    <w:p w:rsidR="00AF1344" w:rsidRPr="0027166E" w:rsidRDefault="00AF1344" w:rsidP="00EB3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807" w:rsidRPr="0027166E" w:rsidRDefault="00E13807" w:rsidP="00EB3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393"/>
        <w:gridCol w:w="7393"/>
      </w:tblGrid>
      <w:tr w:rsidR="00205C68" w:rsidRPr="0027166E" w:rsidTr="00D92463">
        <w:tc>
          <w:tcPr>
            <w:tcW w:w="2500" w:type="pct"/>
          </w:tcPr>
          <w:p w:rsidR="006F0A01" w:rsidRPr="0027166E" w:rsidRDefault="00205C68" w:rsidP="00BF4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/>
                <w:b/>
                <w:sz w:val="28"/>
                <w:szCs w:val="28"/>
              </w:rPr>
              <w:t>Зміст положення акта законодавства</w:t>
            </w:r>
          </w:p>
        </w:tc>
        <w:tc>
          <w:tcPr>
            <w:tcW w:w="2500" w:type="pct"/>
          </w:tcPr>
          <w:p w:rsidR="00205C68" w:rsidRPr="0027166E" w:rsidRDefault="00205C68" w:rsidP="00BF4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/>
                <w:b/>
                <w:sz w:val="28"/>
                <w:szCs w:val="28"/>
              </w:rPr>
              <w:t>Зміст відповідного положення проекту акта</w:t>
            </w:r>
          </w:p>
        </w:tc>
      </w:tr>
      <w:tr w:rsidR="00205C68" w:rsidRPr="0027166E" w:rsidTr="00D92463">
        <w:tc>
          <w:tcPr>
            <w:tcW w:w="5000" w:type="pct"/>
            <w:gridSpan w:val="2"/>
          </w:tcPr>
          <w:p w:rsidR="00205C68" w:rsidRPr="0027166E" w:rsidRDefault="000C46C2" w:rsidP="00BF4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Постанова Кабінету Міністрів України </w:t>
            </w:r>
            <w:r w:rsidRPr="0027166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від 4 березня 1996 р. № 295</w:t>
            </w:r>
            <w:r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«Про затвердження Порядку проведення державних випробувань, державної реєстрації та перереєстрації, видання переліків пестицидів і агрохімікатів, дозволених до використання в Україні»</w:t>
            </w:r>
          </w:p>
        </w:tc>
      </w:tr>
      <w:tr w:rsidR="00E010DB" w:rsidRPr="0027166E" w:rsidTr="00EA47B3">
        <w:tc>
          <w:tcPr>
            <w:tcW w:w="2500" w:type="pct"/>
          </w:tcPr>
          <w:p w:rsidR="00E010DB" w:rsidRPr="0027166E" w:rsidRDefault="00E010DB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 затвердження Порядку проведення державних випробувань, державної реєстрації та перереєстрації</w:t>
            </w:r>
            <w:r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, видання переліків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пестицидів і агрохімікатів, дозволених до використання в Україні</w:t>
            </w:r>
          </w:p>
        </w:tc>
        <w:tc>
          <w:tcPr>
            <w:tcW w:w="2500" w:type="pct"/>
          </w:tcPr>
          <w:p w:rsidR="00E010DB" w:rsidRPr="0027166E" w:rsidRDefault="00E010DB" w:rsidP="00E010DB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 затвердження Порядку проведення державних випробувань, державної реєстрації та перереєстрації пестицидів і агрохімікатів, дозволених до використання в Україні</w:t>
            </w:r>
          </w:p>
        </w:tc>
      </w:tr>
      <w:tr w:rsidR="00EB3E0C" w:rsidRPr="0027166E" w:rsidTr="00EA47B3">
        <w:tc>
          <w:tcPr>
            <w:tcW w:w="2500" w:type="pct"/>
          </w:tcPr>
          <w:p w:rsidR="00DB6854" w:rsidRPr="0027166E" w:rsidRDefault="00DB6854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Затвердити Порядок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випробувань, державної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перереєстрації,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переліків пестицидів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агрохімікатів,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дозволених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в Україні (додається). </w:t>
            </w:r>
          </w:p>
          <w:p w:rsidR="001E28DB" w:rsidRPr="0027166E" w:rsidRDefault="00DB6854" w:rsidP="00BF4FD2">
            <w:pPr>
              <w:pStyle w:val="HTML"/>
              <w:shd w:val="clear" w:color="auto" w:fill="FFFFFF"/>
              <w:ind w:firstLine="567"/>
              <w:jc w:val="both"/>
              <w:rPr>
                <w:rStyle w:val="rvts15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o9"/>
            <w:bookmarkEnd w:id="0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Установити,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 час воєнного стану та протягом 90 днів з 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дати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його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припинення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або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скасування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експертиза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реєстраційних 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здійснюється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Міністерством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захисту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довкілля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природних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ресурсів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без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подання на санітарно-епідеміологічну 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експертизу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Державної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служби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03F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итань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безпечності харчових продуктів та захисту споживачів</w:t>
            </w:r>
          </w:p>
        </w:tc>
        <w:tc>
          <w:tcPr>
            <w:tcW w:w="2500" w:type="pct"/>
          </w:tcPr>
          <w:p w:rsidR="00AB5EA7" w:rsidRPr="0027166E" w:rsidRDefault="00AB5EA7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Затвердити Порядок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випробувань, державної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перереєстрації,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переліків пестицидів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агрохімікатів,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дозволених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в Україні (додається). </w:t>
            </w:r>
          </w:p>
          <w:p w:rsidR="00B56B34" w:rsidRPr="0027166E" w:rsidRDefault="00240017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03C73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иключено</w:t>
            </w:r>
          </w:p>
          <w:p w:rsidR="00D92463" w:rsidRPr="0027166E" w:rsidRDefault="00D92463" w:rsidP="00BF4FD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95AD8" w:rsidRPr="0027166E" w:rsidTr="00495AD8">
        <w:tc>
          <w:tcPr>
            <w:tcW w:w="5000" w:type="pct"/>
            <w:gridSpan w:val="2"/>
          </w:tcPr>
          <w:p w:rsidR="00495AD8" w:rsidRPr="0027166E" w:rsidRDefault="00495AD8" w:rsidP="00BF4FD2">
            <w:pPr>
              <w:pStyle w:val="HTML"/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Порядок проведення державних випробувань, державної реєстрації та перереєстрації, видання переліків пестицидів і агрохімікатів, дозволених до використання в Україні</w:t>
            </w:r>
          </w:p>
        </w:tc>
      </w:tr>
      <w:tr w:rsidR="00BE49D2" w:rsidRPr="0027166E" w:rsidTr="00EA47B3">
        <w:tc>
          <w:tcPr>
            <w:tcW w:w="2500" w:type="pct"/>
          </w:tcPr>
          <w:p w:rsidR="00BE49D2" w:rsidRPr="0027166E" w:rsidRDefault="00BE49D2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Порядок проведення державних випробувань, державної реєстрації та перереєстрації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видання переліків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пестицидів і агрохімікатів, дозволених до використання в Україні</w:t>
            </w:r>
          </w:p>
        </w:tc>
        <w:tc>
          <w:tcPr>
            <w:tcW w:w="2500" w:type="pct"/>
          </w:tcPr>
          <w:p w:rsidR="00BE49D2" w:rsidRPr="0027166E" w:rsidRDefault="00BE49D2" w:rsidP="00BF4FD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Порядок проведення державних випробувань, державної реєстрації та перереєстрації пестицидів і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агрохімікатів, дозволених до використання в Україні</w:t>
            </w:r>
          </w:p>
        </w:tc>
      </w:tr>
      <w:tr w:rsidR="00DB6854" w:rsidRPr="0027166E" w:rsidTr="00EA47B3">
        <w:tc>
          <w:tcPr>
            <w:tcW w:w="2500" w:type="pct"/>
          </w:tcPr>
          <w:p w:rsidR="00731827" w:rsidRPr="0027166E" w:rsidRDefault="00731827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Державні випробування нових препаратів проводяться з метою </w:t>
            </w:r>
            <w:r w:rsidR="00A103F4" w:rsidRPr="002716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іологічної,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токсиколого-гігієнічної</w:t>
            </w:r>
            <w:proofErr w:type="spellEnd"/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і розроблення нормативів та регламентів їх безпечного застосування. </w:t>
            </w:r>
          </w:p>
          <w:p w:rsidR="007560B8" w:rsidRPr="0027166E" w:rsidRDefault="00B56B34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o23"/>
            <w:bookmarkEnd w:id="1"/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827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Державні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1827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випробування препаратів проводяться в уповноважених </w:t>
            </w:r>
            <w:proofErr w:type="spellStart"/>
            <w:r w:rsidR="00731827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Міндовкілля</w:t>
            </w:r>
            <w:proofErr w:type="spellEnd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1827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науково-дослідних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1827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установах,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1827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підприємствах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1827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r w:rsidR="007560B8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1827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організаціях, при цьому </w:t>
            </w:r>
            <w:proofErr w:type="spellStart"/>
            <w:r w:rsidR="00731827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токсиколого-гігієнічні</w:t>
            </w:r>
            <w:proofErr w:type="spellEnd"/>
            <w:r w:rsidR="00731827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731827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медико-біологічні</w:t>
            </w:r>
            <w:proofErr w:type="spellEnd"/>
            <w:r w:rsidR="00731827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) дослідження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1827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- за затвердженими методиками в установах, ви</w:t>
            </w:r>
            <w:r w:rsidR="00BF4FD2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значених </w:t>
            </w:r>
            <w:proofErr w:type="spellStart"/>
            <w:r w:rsidR="00BF4FD2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Держпродспоживслужбою</w:t>
            </w:r>
            <w:proofErr w:type="spellEnd"/>
            <w:r w:rsidR="00BF4FD2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60B8" w:rsidRPr="0027166E" w:rsidRDefault="00731827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уповноваження науково-дослідних установ, підприємств </w:t>
            </w:r>
            <w:r w:rsidR="007560B8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державних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випробувань препаратів </w:t>
            </w:r>
            <w:r w:rsidR="007560B8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затверджується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Міндовкілля</w:t>
            </w:r>
            <w:proofErr w:type="spellEnd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6854" w:rsidRPr="0027166E" w:rsidRDefault="00DB6854" w:rsidP="00BF4FD2">
            <w:pPr>
              <w:pStyle w:val="HTML"/>
              <w:shd w:val="clear" w:color="auto" w:fill="FFFFFF"/>
              <w:ind w:firstLine="567"/>
              <w:jc w:val="both"/>
              <w:rPr>
                <w:rStyle w:val="rvts15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DB6854" w:rsidRPr="0027166E" w:rsidRDefault="00731827" w:rsidP="00BF4FD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6E">
              <w:rPr>
                <w:rFonts w:ascii="Times New Roman" w:hAnsi="Times New Roman"/>
                <w:sz w:val="28"/>
                <w:szCs w:val="28"/>
              </w:rPr>
              <w:t>2. Державні випробування нових препаратів проводяться з метою біологічної,</w:t>
            </w:r>
            <w:r w:rsidR="00B56B34" w:rsidRPr="00271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166E">
              <w:rPr>
                <w:rFonts w:ascii="Times New Roman" w:hAnsi="Times New Roman"/>
                <w:sz w:val="28"/>
                <w:szCs w:val="28"/>
              </w:rPr>
              <w:t>токсиколого-гігієнічної</w:t>
            </w:r>
            <w:proofErr w:type="spellEnd"/>
            <w:r w:rsidR="00B56B34" w:rsidRPr="00271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</w:rPr>
              <w:t>та</w:t>
            </w:r>
            <w:r w:rsidR="00B56B34" w:rsidRPr="00271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</w:rPr>
              <w:t>екологічної</w:t>
            </w:r>
            <w:r w:rsidR="00B56B34" w:rsidRPr="00271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</w:rPr>
              <w:t>оцінки</w:t>
            </w:r>
            <w:r w:rsidR="00B56B34" w:rsidRPr="00271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</w:rPr>
              <w:t>і розроблення нормативів та регламентів їх безпечного застосування.</w:t>
            </w:r>
          </w:p>
          <w:p w:rsidR="00731827" w:rsidRPr="0027166E" w:rsidRDefault="00731827" w:rsidP="00BF4FD2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/>
                <w:b/>
                <w:sz w:val="28"/>
                <w:szCs w:val="28"/>
              </w:rPr>
              <w:t xml:space="preserve">Державні випробування з метою біологічної, екологічної та </w:t>
            </w:r>
            <w:proofErr w:type="spellStart"/>
            <w:r w:rsidRPr="0027166E">
              <w:rPr>
                <w:rFonts w:ascii="Times New Roman" w:hAnsi="Times New Roman"/>
                <w:b/>
                <w:sz w:val="28"/>
                <w:szCs w:val="28"/>
              </w:rPr>
              <w:t>токсиколого-гігієнічної</w:t>
            </w:r>
            <w:proofErr w:type="spellEnd"/>
            <w:r w:rsidRPr="0027166E">
              <w:rPr>
                <w:rFonts w:ascii="Times New Roman" w:hAnsi="Times New Roman"/>
                <w:b/>
                <w:sz w:val="28"/>
                <w:szCs w:val="28"/>
              </w:rPr>
              <w:t xml:space="preserve"> оцінки для цілей державної реєстрації пестицидів і агрохімікатів здійснюються підприємствами, установами, організаціями, уповноваженими центральним органом виконавчої влади, що забезпечує формування та реалізує державну політику у сфері охорони навколишнього природного середовища</w:t>
            </w:r>
            <w:r w:rsidR="00C315CF" w:rsidRPr="0027166E">
              <w:rPr>
                <w:rFonts w:ascii="Times New Roman" w:hAnsi="Times New Roman"/>
                <w:b/>
                <w:sz w:val="28"/>
                <w:szCs w:val="28"/>
              </w:rPr>
              <w:t xml:space="preserve"> в порядку, затвердженому Кабінетом Міністрів України.</w:t>
            </w:r>
            <w:r w:rsidRPr="002716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315CF" w:rsidRPr="0027166E" w:rsidTr="00EA47B3">
        <w:tc>
          <w:tcPr>
            <w:tcW w:w="2500" w:type="pct"/>
          </w:tcPr>
          <w:p w:rsidR="007560B8" w:rsidRPr="0027166E" w:rsidRDefault="00F96339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Державні випробування препаратів з новою діючою речовиною проводяться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повних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вегетаційних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періодів.</w:t>
            </w:r>
            <w:r w:rsidR="00240017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Дослідження нових препаратів, які не включалися до плану державних випробувань,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були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проведені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науково-дослідними установами,</w:t>
            </w:r>
            <w:r w:rsidR="00240017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підприємствами і організаціями, зазначеними у пункті 2, є початком державних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випробувань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(за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умови позитивних висновків зазначених науково-дослідних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установ,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організацій).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Такі препарати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включаються до плану державних випробувань на наступний календарний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рік.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339" w:rsidRPr="0027166E" w:rsidRDefault="00F96339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результатами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польових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випробувань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Міндовкілля</w:t>
            </w:r>
            <w:proofErr w:type="spellEnd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визначає обсяги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державних випробувань, а у разі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невстановлення</w:t>
            </w:r>
            <w:proofErr w:type="spellEnd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або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непідтвердження</w:t>
            </w:r>
            <w:proofErr w:type="spellEnd"/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біологічної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ефективності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нового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препарату порівняно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тими,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вже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застосовуються,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приймає рішення про зняття препарату з подальших державних випробувань. </w:t>
            </w:r>
          </w:p>
          <w:p w:rsidR="00C315CF" w:rsidRPr="0027166E" w:rsidRDefault="00C315CF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382CB4" w:rsidRPr="0027166E" w:rsidRDefault="00382CB4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Державні випробування препаратів з новою діючою речовиною проводяться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повних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вегетаційних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періодів. Дослідження нових препаратів, які не включалися до плану державних випробувань,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були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проведені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науково-дослідними установами, підприємствами і організаціями, зазначеними у пункті 2, є початком державних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випробувань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(за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умови позитивних висновків зазначених науково-дослідних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установ,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організацій).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Такі препарати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включаються до плану державних випробувань на наступний календарний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рік.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339" w:rsidRPr="0027166E" w:rsidRDefault="00F96339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Державні випробування пестицидів і агрохімікатів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проводяться у два етапи: польові і виробничі.</w:t>
            </w:r>
          </w:p>
          <w:p w:rsidR="00F96339" w:rsidRPr="0027166E" w:rsidRDefault="00F96339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n58"/>
            <w:bookmarkEnd w:id="2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Метою польових випробувань є встановлення або підтвердження біологічної ефективності нових пестицидів і агрохімікатів порівняно з тими, що застосовуються, розроблення тимчасових регламентів їх застосування та поглиблене вивчення препаративних форм.</w:t>
            </w:r>
          </w:p>
          <w:p w:rsidR="00C315CF" w:rsidRPr="0027166E" w:rsidRDefault="00F96339" w:rsidP="00240017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Виробничі випробування проводяться з метою підтвердження біологічної ефективності пестицидів і агрохімікатів у різних зонах України, уточнення та обґрунтування регламентів, їх застосування, гігієнічних і екологічних нормативів, розроблення та модифікації методик визначення залишкових кількостей цих пестицидів і агрохімікатів та їх небезпечних метаболітів.</w:t>
            </w:r>
          </w:p>
        </w:tc>
      </w:tr>
      <w:tr w:rsidR="00C315CF" w:rsidRPr="0027166E" w:rsidTr="00EA47B3">
        <w:tc>
          <w:tcPr>
            <w:tcW w:w="2500" w:type="pct"/>
          </w:tcPr>
          <w:p w:rsidR="00750988" w:rsidRPr="0027166E" w:rsidRDefault="00750988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 Дозвіл на виготовлення та застосування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дослідних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партій</w:t>
            </w:r>
            <w:r w:rsidR="007560B8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вітчизняних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препаратів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Міндовкілля</w:t>
            </w:r>
            <w:proofErr w:type="spellEnd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надає після затвердження плану</w:t>
            </w:r>
            <w:r w:rsidR="007560B8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державних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випробувань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технічних умов на виробництво дослідної </w:t>
            </w:r>
            <w:r w:rsidR="007560B8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партії. </w:t>
            </w:r>
          </w:p>
          <w:p w:rsidR="00750988" w:rsidRPr="0027166E" w:rsidRDefault="00750988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o57"/>
            <w:bookmarkEnd w:id="3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Обсяги дослідних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партій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визначаються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Міндовкілля</w:t>
            </w:r>
            <w:proofErr w:type="spellEnd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межах науково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обґрунтованої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кількості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препаратів,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необхідної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проведення державних випробувань, науково-технологічних досліджень </w:t>
            </w:r>
            <w:r w:rsidR="007560B8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випробувань. </w:t>
            </w:r>
          </w:p>
          <w:p w:rsidR="00C315CF" w:rsidRPr="0027166E" w:rsidRDefault="00750988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58"/>
            <w:bookmarkEnd w:id="4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Реалізація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дослідних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партій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вітчизняних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препаратів забороняється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державної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реєстрації.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C315CF" w:rsidRPr="0027166E" w:rsidRDefault="00750988" w:rsidP="00BF4FD2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/>
                <w:b/>
                <w:sz w:val="28"/>
                <w:szCs w:val="28"/>
              </w:rPr>
              <w:t>Виключ</w:t>
            </w:r>
            <w:r w:rsidR="0028348E" w:rsidRPr="0027166E">
              <w:rPr>
                <w:rFonts w:ascii="Times New Roman" w:hAnsi="Times New Roman"/>
                <w:b/>
                <w:sz w:val="28"/>
                <w:szCs w:val="28"/>
              </w:rPr>
              <w:t>ено</w:t>
            </w:r>
          </w:p>
        </w:tc>
      </w:tr>
      <w:tr w:rsidR="00C315CF" w:rsidRPr="0027166E" w:rsidTr="00EA47B3">
        <w:tc>
          <w:tcPr>
            <w:tcW w:w="2500" w:type="pct"/>
          </w:tcPr>
          <w:p w:rsidR="00C315CF" w:rsidRPr="0027166E" w:rsidRDefault="00B51DF5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 Державній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реєстрації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підлягають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препаративні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 пестицидів і агрохімікатів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вітчизняного та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іноземного виробництва,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яких розроблені регламенти застосування,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включаючи гігієнічні нормативи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контролю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їх дотриманням.</w:t>
            </w:r>
          </w:p>
        </w:tc>
        <w:tc>
          <w:tcPr>
            <w:tcW w:w="2500" w:type="pct"/>
          </w:tcPr>
          <w:p w:rsidR="00C315CF" w:rsidRPr="0027166E" w:rsidRDefault="00B51DF5" w:rsidP="00BF4FD2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19.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Державній</w:t>
            </w:r>
            <w:r w:rsidR="00B56B34"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реєстрації</w:t>
            </w:r>
            <w:r w:rsidR="00B56B34"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підлягають</w:t>
            </w:r>
            <w:r w:rsidR="00B56B34"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препаративні</w:t>
            </w:r>
            <w:r w:rsidR="00B56B34"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форми </w:t>
            </w:r>
            <w:r w:rsidR="007560B8"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пестицидів і агрохімікатів</w:t>
            </w:r>
            <w:r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для</w:t>
            </w:r>
            <w:r w:rsidR="00B56B34"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яких розроблені </w:t>
            </w:r>
            <w:r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регламенти застосування, включаючи гігієнічні </w:t>
            </w:r>
            <w:r w:rsidRPr="0027166E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нормативи</w:t>
            </w:r>
            <w:r w:rsidR="00B56B34"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</w:t>
            </w:r>
            <w:r w:rsidR="00B56B34"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методи</w:t>
            </w:r>
            <w:r w:rsidR="00B56B34"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контролю</w:t>
            </w:r>
            <w:r w:rsidR="00B56B34"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</w:t>
            </w:r>
            <w:r w:rsidR="00B56B34"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їх дотриманням</w:t>
            </w:r>
            <w:r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B6854" w:rsidRPr="0027166E" w:rsidTr="00EA47B3">
        <w:tc>
          <w:tcPr>
            <w:tcW w:w="2500" w:type="pct"/>
          </w:tcPr>
          <w:p w:rsidR="00E207FD" w:rsidRPr="0027166E" w:rsidRDefault="00E207FD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препаратів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заявник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подає </w:t>
            </w:r>
            <w:proofErr w:type="spellStart"/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такі документи (далі - реєстраційні документи): </w:t>
            </w:r>
          </w:p>
          <w:p w:rsidR="007560B8" w:rsidRPr="0027166E" w:rsidRDefault="00A103F4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o66"/>
            <w:bookmarkEnd w:id="5"/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207FD" w:rsidRPr="0027166E">
              <w:rPr>
                <w:rFonts w:ascii="Times New Roman" w:hAnsi="Times New Roman" w:cs="Times New Roman"/>
                <w:sz w:val="28"/>
                <w:szCs w:val="28"/>
              </w:rPr>
              <w:t>аявку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7FD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на державну реєстрацію препарату українською мовою за </w:t>
            </w:r>
            <w:r w:rsidR="007560B8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7FD" w:rsidRPr="0027166E">
              <w:rPr>
                <w:rFonts w:ascii="Times New Roman" w:hAnsi="Times New Roman" w:cs="Times New Roman"/>
                <w:sz w:val="28"/>
                <w:szCs w:val="28"/>
              </w:rPr>
              <w:t>формою,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7FD" w:rsidRPr="0027166E">
              <w:rPr>
                <w:rFonts w:ascii="Times New Roman" w:hAnsi="Times New Roman" w:cs="Times New Roman"/>
                <w:sz w:val="28"/>
                <w:szCs w:val="28"/>
              </w:rPr>
              <w:t>затвердженою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07FD" w:rsidRPr="0027166E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 w:rsidR="00E207FD" w:rsidRPr="002716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7FD" w:rsidRPr="002716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7FD" w:rsidRPr="0027166E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7FD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примірниках; </w:t>
            </w:r>
          </w:p>
          <w:p w:rsidR="00E207FD" w:rsidRPr="0027166E" w:rsidRDefault="00E207FD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(досьє) на діючу речовину і препаративну форму, на підставі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складається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реєстрацію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препарату, що комплектуються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розділами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пунктами заявки, українською або англійською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російською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мовами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примірниках; </w:t>
            </w:r>
          </w:p>
          <w:p w:rsidR="00DB6854" w:rsidRPr="0027166E" w:rsidRDefault="00CB64FB" w:rsidP="00BF4FD2">
            <w:pPr>
              <w:pStyle w:val="HTML"/>
              <w:shd w:val="clear" w:color="auto" w:fill="FFFFFF"/>
              <w:ind w:firstLine="567"/>
              <w:jc w:val="both"/>
              <w:rPr>
                <w:rStyle w:val="rvts15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66E">
              <w:rPr>
                <w:rStyle w:val="rvts15"/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  <w:p w:rsidR="00CB64FB" w:rsidRPr="0027166E" w:rsidRDefault="00CB64FB" w:rsidP="00BF4FD2">
            <w:pPr>
              <w:pStyle w:val="HTML"/>
              <w:shd w:val="clear" w:color="auto" w:fill="FFFFFF"/>
              <w:ind w:firstLine="567"/>
              <w:jc w:val="both"/>
              <w:rPr>
                <w:rStyle w:val="rvts15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зразок етикетки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інструкцію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безпечного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застосування препарату у двох примірниках;</w:t>
            </w:r>
          </w:p>
        </w:tc>
        <w:tc>
          <w:tcPr>
            <w:tcW w:w="2500" w:type="pct"/>
          </w:tcPr>
          <w:p w:rsidR="00CB64FB" w:rsidRPr="0027166E" w:rsidRDefault="00CB64FB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препаратів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заявник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подає </w:t>
            </w:r>
            <w:proofErr w:type="spellStart"/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такі документи (далі - реєстраційні документи): </w:t>
            </w:r>
          </w:p>
          <w:p w:rsidR="000752CA" w:rsidRPr="0027166E" w:rsidRDefault="00CB64FB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заявку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на державну реєстрацію препарату українською мовою за формою,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затвердженою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примірниках; </w:t>
            </w:r>
          </w:p>
          <w:p w:rsidR="00CB64FB" w:rsidRPr="0027166E" w:rsidRDefault="00CB64FB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(досьє) на діючу речовину і препаративну форму, на підставі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складається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реєстрацію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препарату, що комплектуються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розділами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пунктами заявки, українською або англійською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мовами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примірниках; </w:t>
            </w:r>
          </w:p>
          <w:p w:rsidR="00DB6854" w:rsidRPr="0027166E" w:rsidRDefault="00CB64FB" w:rsidP="00BF4FD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</w:t>
            </w:r>
          </w:p>
          <w:p w:rsidR="00CB64FB" w:rsidRPr="0027166E" w:rsidRDefault="00CB64FB" w:rsidP="00BF4FD2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7166E">
              <w:rPr>
                <w:rFonts w:ascii="Times New Roman" w:hAnsi="Times New Roman"/>
                <w:b/>
                <w:sz w:val="28"/>
                <w:szCs w:val="28"/>
              </w:rPr>
              <w:t>проект етикетки із зазначенням інформації передбаченої частиною другою статті 10 Закону України «Про пестициди і агрохімікати</w:t>
            </w:r>
          </w:p>
        </w:tc>
      </w:tr>
      <w:tr w:rsidR="00C315CF" w:rsidRPr="0027166E" w:rsidTr="00EA47B3">
        <w:tc>
          <w:tcPr>
            <w:tcW w:w="2500" w:type="pct"/>
          </w:tcPr>
          <w:p w:rsidR="00C315CF" w:rsidRPr="0027166E" w:rsidRDefault="00B11F42" w:rsidP="00BF4FD2">
            <w:pPr>
              <w:pStyle w:val="HTML"/>
              <w:shd w:val="clear" w:color="auto" w:fill="FFFFFF"/>
              <w:ind w:firstLine="567"/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Після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прийняття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розгляд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реєстраційних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документів заявникові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протягом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днів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видається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оплати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рахунок за</w:t>
            </w:r>
            <w:r w:rsidR="000752CA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експертизи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препарату.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11F42" w:rsidRPr="0027166E" w:rsidRDefault="00B11F42" w:rsidP="00BF4FD2">
            <w:pPr>
              <w:pStyle w:val="HTML"/>
              <w:shd w:val="clear" w:color="auto" w:fill="FFFFFF"/>
              <w:ind w:firstLine="567"/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7166E">
              <w:rPr>
                <w:rStyle w:val="af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…</w:t>
            </w:r>
          </w:p>
          <w:p w:rsidR="000752CA" w:rsidRPr="0027166E" w:rsidRDefault="00833329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Після одержання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Укрдежхімкомісією</w:t>
            </w:r>
            <w:proofErr w:type="spellEnd"/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підтвердження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оплати рахунку за проведення експертизи препарату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, реєстраційні документи подаються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санітарно-гігієнічну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експертизу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Держпродспоживслужби</w:t>
            </w:r>
            <w:proofErr w:type="spellEnd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еколого-експертної</w:t>
            </w:r>
            <w:proofErr w:type="spellEnd"/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оцінки матеріалів,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поданих для реєстрації пестицидів та агрохімікатів, - до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Міндовкілля</w:t>
            </w:r>
            <w:proofErr w:type="spellEnd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. Термін проведення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зазначених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експертиз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встановлюється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не більш як 30 днів з дня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надходження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реєстраційних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до відповідних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установ,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разі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потреби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погодженням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Міндовкілля</w:t>
            </w:r>
            <w:proofErr w:type="spellEnd"/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він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може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бути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продовжений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днів.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3329" w:rsidRPr="0027166E" w:rsidRDefault="00833329" w:rsidP="00BF4FD2">
            <w:pPr>
              <w:pStyle w:val="HTML"/>
              <w:shd w:val="clear" w:color="auto" w:fill="FFFFFF"/>
              <w:ind w:firstLine="567"/>
              <w:jc w:val="both"/>
              <w:rPr>
                <w:rStyle w:val="rvts15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експертиз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азотних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добрив,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містять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діючу речовину, яка входить до складу вже зареєстрованого препарату того ж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 і для тієї ж групи культур, встановлюється не більш як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днів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надходження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реєстраційних документів до відповідних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установ,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разі потреби за погодженням з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Міндовкілля</w:t>
            </w:r>
            <w:proofErr w:type="spellEnd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він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може бути продовжений до 25 днів.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Термін розгляду реєстраційних документів від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оплати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рахунку за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проведення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експертизи препарату до прийняття рішення про його державну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реєстрацію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повинен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перевищувати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90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днів.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Термін </w:t>
            </w:r>
            <w:r w:rsidR="000752CA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розгляду реєстраційних документів від оплати рахунка за проведення </w:t>
            </w:r>
            <w:r w:rsidR="000752CA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експертизи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препарату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прийняття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рішення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його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державну </w:t>
            </w:r>
            <w:r w:rsidR="000752CA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реєстрацію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азотних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добрив,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які містять діючу речовину, яка </w:t>
            </w:r>
            <w:r w:rsidR="000752CA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входить до складу вже зареєстрованого препарату того ж призначення </w:t>
            </w:r>
            <w:r w:rsidR="000752CA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і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для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тієї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групи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культур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F75C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повинен перевищувати 40 днів.</w:t>
            </w:r>
          </w:p>
        </w:tc>
        <w:tc>
          <w:tcPr>
            <w:tcW w:w="2500" w:type="pct"/>
          </w:tcPr>
          <w:p w:rsidR="00B11F42" w:rsidRPr="0027166E" w:rsidRDefault="00B11F42" w:rsidP="00BF4FD2">
            <w:pPr>
              <w:pStyle w:val="HTML"/>
              <w:shd w:val="clear" w:color="auto" w:fill="FFFFFF"/>
              <w:ind w:firstLine="567"/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21.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Після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прийняття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розгляд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реєстраційних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документів заявникові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протягом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днів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видається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оплати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рахунок за проведення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експертизи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препарату.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5CF" w:rsidRPr="0027166E" w:rsidRDefault="00B11F42" w:rsidP="00BF4FD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</w:t>
            </w:r>
          </w:p>
          <w:p w:rsidR="00833329" w:rsidRPr="0027166E" w:rsidRDefault="00833329" w:rsidP="00BF4FD2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Після одержання</w:t>
            </w:r>
            <w:r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Міндовкіллям</w:t>
            </w:r>
            <w:proofErr w:type="spellEnd"/>
            <w:r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підтвердження</w:t>
            </w:r>
            <w:r w:rsidR="002F5BAB"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оплати рахунку за проведення експертизи препарату</w:t>
            </w:r>
            <w:r w:rsidR="000F66F2"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0F66F2"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Міндовкіллям</w:t>
            </w:r>
            <w:proofErr w:type="spellEnd"/>
            <w:r w:rsidR="000F66F2"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забезпечується проведення </w:t>
            </w:r>
            <w:proofErr w:type="spellStart"/>
            <w:r w:rsidR="000F66F2" w:rsidRPr="0027166E">
              <w:rPr>
                <w:rFonts w:ascii="Times New Roman" w:hAnsi="Times New Roman"/>
                <w:b/>
                <w:sz w:val="28"/>
                <w:szCs w:val="28"/>
              </w:rPr>
              <w:t>еколого-експертної</w:t>
            </w:r>
            <w:proofErr w:type="spellEnd"/>
            <w:r w:rsidR="000F66F2" w:rsidRPr="0027166E">
              <w:rPr>
                <w:rFonts w:ascii="Times New Roman" w:hAnsi="Times New Roman"/>
                <w:b/>
                <w:sz w:val="28"/>
                <w:szCs w:val="28"/>
              </w:rPr>
              <w:t xml:space="preserve"> оцінки матеріалів, поданих для реєстрації препарату.</w:t>
            </w:r>
          </w:p>
          <w:p w:rsidR="00B11F42" w:rsidRPr="0027166E" w:rsidRDefault="00C97BA5" w:rsidP="00BF4FD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Строк розгляду реєстраційних документів від оплати</w:t>
            </w:r>
            <w:r w:rsidR="00B56B34"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рахунку за</w:t>
            </w:r>
            <w:r w:rsidR="00B56B34"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проведення</w:t>
            </w:r>
            <w:r w:rsidR="00B56B34"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експертизи препарату до </w:t>
            </w:r>
            <w:r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прийняття рішення про його</w:t>
            </w:r>
            <w:r w:rsidR="000752CA" w:rsidRPr="0027166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державну</w:t>
            </w:r>
            <w:r w:rsidR="00B56B34"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реєстрацію</w:t>
            </w:r>
            <w:r w:rsidR="00B56B34"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</w:t>
            </w:r>
            <w:r w:rsidR="00B56B34"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повинен</w:t>
            </w:r>
            <w:r w:rsidR="00B56B34"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перевищувати</w:t>
            </w:r>
            <w:r w:rsidR="00B56B34"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</w:t>
            </w:r>
            <w:r w:rsidR="00B56B34"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днів.</w:t>
            </w:r>
          </w:p>
        </w:tc>
      </w:tr>
      <w:tr w:rsidR="007F75CE" w:rsidRPr="0027166E" w:rsidTr="00EA47B3">
        <w:tc>
          <w:tcPr>
            <w:tcW w:w="2500" w:type="pct"/>
          </w:tcPr>
          <w:p w:rsidR="005A1C3F" w:rsidRPr="0027166E" w:rsidRDefault="006A20CA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державної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санітарно-гігієнічної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експертизи препарату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затверджуються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головним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державним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санітарним лікарем України,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еколого-експертної</w:t>
            </w:r>
            <w:proofErr w:type="spellEnd"/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матеріалів,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поданих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для реєстрації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пестицидів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агрохімікатів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заступником Міністра захисту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та природних ресурсів.</w:t>
            </w:r>
            <w:bookmarkStart w:id="6" w:name="o88"/>
            <w:bookmarkEnd w:id="6"/>
          </w:p>
          <w:p w:rsidR="007F75CE" w:rsidRPr="0027166E" w:rsidRDefault="004573C3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2500" w:type="pct"/>
          </w:tcPr>
          <w:p w:rsidR="005A1C3F" w:rsidRPr="0027166E" w:rsidRDefault="00CD5E77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</w:t>
            </w:r>
            <w:proofErr w:type="spellStart"/>
            <w:r w:rsidR="006A20CA" w:rsidRPr="0027166E">
              <w:rPr>
                <w:rFonts w:ascii="Times New Roman" w:hAnsi="Times New Roman" w:cs="Times New Roman"/>
                <w:sz w:val="28"/>
                <w:szCs w:val="28"/>
              </w:rPr>
              <w:t>еколого-експертної</w:t>
            </w:r>
            <w:proofErr w:type="spellEnd"/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0CA" w:rsidRPr="0027166E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0CA" w:rsidRPr="0027166E">
              <w:rPr>
                <w:rFonts w:ascii="Times New Roman" w:hAnsi="Times New Roman" w:cs="Times New Roman"/>
                <w:sz w:val="28"/>
                <w:szCs w:val="28"/>
              </w:rPr>
              <w:t>матеріалів,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0CA" w:rsidRPr="0027166E">
              <w:rPr>
                <w:rFonts w:ascii="Times New Roman" w:hAnsi="Times New Roman" w:cs="Times New Roman"/>
                <w:sz w:val="28"/>
                <w:szCs w:val="28"/>
              </w:rPr>
              <w:t>поданих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0CA" w:rsidRPr="0027166E">
              <w:rPr>
                <w:rFonts w:ascii="Times New Roman" w:hAnsi="Times New Roman" w:cs="Times New Roman"/>
                <w:sz w:val="28"/>
                <w:szCs w:val="28"/>
              </w:rPr>
              <w:t>для реєстрації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0CA" w:rsidRPr="0027166E">
              <w:rPr>
                <w:rFonts w:ascii="Times New Roman" w:hAnsi="Times New Roman" w:cs="Times New Roman"/>
                <w:sz w:val="28"/>
                <w:szCs w:val="28"/>
              </w:rPr>
              <w:t>пестицидів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0CA" w:rsidRPr="0027166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0CA" w:rsidRPr="0027166E">
              <w:rPr>
                <w:rFonts w:ascii="Times New Roman" w:hAnsi="Times New Roman" w:cs="Times New Roman"/>
                <w:sz w:val="28"/>
                <w:szCs w:val="28"/>
              </w:rPr>
              <w:t>агрохімікатів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затверджуються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0CA" w:rsidRPr="0027166E">
              <w:rPr>
                <w:rFonts w:ascii="Times New Roman" w:hAnsi="Times New Roman" w:cs="Times New Roman"/>
                <w:sz w:val="28"/>
                <w:szCs w:val="28"/>
              </w:rPr>
              <w:t>заступником Міністра захисту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0CA" w:rsidRPr="0027166E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0CA" w:rsidRPr="0027166E">
              <w:rPr>
                <w:rFonts w:ascii="Times New Roman" w:hAnsi="Times New Roman" w:cs="Times New Roman"/>
                <w:sz w:val="28"/>
                <w:szCs w:val="28"/>
              </w:rPr>
              <w:t>та природних ресурсів.</w:t>
            </w:r>
          </w:p>
          <w:p w:rsidR="006A20CA" w:rsidRPr="0027166E" w:rsidRDefault="004573C3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7F75CE" w:rsidRPr="0027166E" w:rsidRDefault="007F75CE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F75CE" w:rsidRPr="0027166E" w:rsidTr="00EA47B3">
        <w:tc>
          <w:tcPr>
            <w:tcW w:w="2500" w:type="pct"/>
          </w:tcPr>
          <w:p w:rsidR="00370485" w:rsidRPr="0027166E" w:rsidRDefault="00370485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 У разі позитивних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експертиз,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зазначених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у пункті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цього Порядку та рекомендацій науково-експертної ради, </w:t>
            </w:r>
            <w:proofErr w:type="spellStart"/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приймає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реєстрацію препарату, після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чого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заявникові видається рахунок на сплату реєстраційного внеску.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5CE" w:rsidRPr="0027166E" w:rsidRDefault="00B56B34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o92"/>
            <w:bookmarkEnd w:id="7"/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485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Про негативні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0485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0485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зазначених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0485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експертиз </w:t>
            </w:r>
            <w:proofErr w:type="spellStart"/>
            <w:r w:rsidR="00370485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Міндовкілля</w:t>
            </w:r>
            <w:proofErr w:type="spellEnd"/>
            <w:r w:rsidR="00370485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протягом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0485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0485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днів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0485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повідомляє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0485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заявника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0485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0485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письмовій формі з роз’ясненням підстав. </w:t>
            </w:r>
          </w:p>
          <w:p w:rsidR="00923087" w:rsidRPr="0027166E" w:rsidRDefault="00923087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Підставою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відмову у реєстрації (перереєстрації) препарату може бути: </w:t>
            </w:r>
          </w:p>
          <w:p w:rsidR="000752CA" w:rsidRPr="0027166E" w:rsidRDefault="00923087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невідповідність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поданих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вимогам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цього Порядку; </w:t>
            </w:r>
          </w:p>
          <w:p w:rsidR="00923087" w:rsidRPr="0027166E" w:rsidRDefault="00923087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негативний висновок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державної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санітарно-епідеміологічної експертизи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роз’ясненням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підстав;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7F75CE" w:rsidRPr="0027166E" w:rsidRDefault="00370485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23 Рішення </w:t>
            </w:r>
            <w:proofErr w:type="spellStart"/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Міндовкілля</w:t>
            </w:r>
            <w:proofErr w:type="spellEnd"/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 державну реєстрацію препарату </w:t>
            </w:r>
            <w:r w:rsidR="00FB1AC5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приймається з урахуванням результату експертизи реєстраційних документів та рекомендацій </w:t>
            </w:r>
            <w:r w:rsidR="00FB1AC5" w:rsidRPr="0027166E">
              <w:rPr>
                <w:rFonts w:ascii="Times New Roman" w:hAnsi="Times New Roman" w:cs="Times New Roman"/>
                <w:sz w:val="28"/>
                <w:szCs w:val="28"/>
              </w:rPr>
              <w:t>науково-експертної ради</w:t>
            </w:r>
          </w:p>
          <w:p w:rsidR="00923087" w:rsidRPr="0027166E" w:rsidRDefault="00923087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2FE" w:rsidRPr="0027166E" w:rsidRDefault="00A312FE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Виключено</w:t>
            </w:r>
          </w:p>
          <w:p w:rsidR="00923087" w:rsidRPr="0027166E" w:rsidRDefault="00923087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86C" w:rsidRPr="0027166E" w:rsidRDefault="0039486C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087" w:rsidRPr="0027166E" w:rsidRDefault="00923087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Підставою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відмову у реєстрації (перереєстрації) препарату може бути: </w:t>
            </w:r>
          </w:p>
          <w:p w:rsidR="0066027F" w:rsidRPr="0027166E" w:rsidRDefault="00923087" w:rsidP="0066027F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o94"/>
            <w:bookmarkEnd w:id="8"/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невідповідність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поданих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>вимогам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</w:rPr>
              <w:t xml:space="preserve">цього Порядку; </w:t>
            </w:r>
            <w:bookmarkStart w:id="9" w:name="o95"/>
            <w:bookmarkEnd w:id="9"/>
          </w:p>
          <w:p w:rsidR="00A312FE" w:rsidRPr="0027166E" w:rsidRDefault="0066027F" w:rsidP="0066027F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</w:t>
            </w:r>
            <w:r w:rsidR="006567BF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</w:t>
            </w:r>
            <w:r w:rsidR="00A312F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ключено</w:t>
            </w:r>
          </w:p>
        </w:tc>
      </w:tr>
      <w:tr w:rsidR="007F75CE" w:rsidRPr="0027166E" w:rsidTr="00EA47B3">
        <w:tc>
          <w:tcPr>
            <w:tcW w:w="2500" w:type="pct"/>
          </w:tcPr>
          <w:p w:rsidR="007F75CE" w:rsidRPr="0027166E" w:rsidRDefault="00253D45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24.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Після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сплати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реєстраційного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внеску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протягом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днів затверджується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зразок етикетки, препарат заноситься до Державного реєстру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пестицидів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агрохімікатів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(далі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6027F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Державний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реєстр</w:t>
            </w:r>
            <w:r w:rsidR="00621561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препаратів),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заявнику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письмово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повідомляється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державну</w:t>
            </w:r>
            <w:r w:rsidR="00621561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реєстрацію</w:t>
            </w:r>
            <w:r w:rsidR="00B56B34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препарату.</w:t>
            </w:r>
          </w:p>
        </w:tc>
        <w:tc>
          <w:tcPr>
            <w:tcW w:w="2500" w:type="pct"/>
          </w:tcPr>
          <w:p w:rsidR="00E126B5" w:rsidRPr="0027166E" w:rsidRDefault="00253D45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24. </w:t>
            </w:r>
            <w:r w:rsidR="00E126B5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Протягом</w:t>
            </w:r>
            <w:r w:rsidR="00E126B5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126B5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5 робочих днів з дня надходження до </w:t>
            </w:r>
            <w:proofErr w:type="spellStart"/>
            <w:r w:rsidR="00E126B5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Мідовкілля</w:t>
            </w:r>
            <w:proofErr w:type="spellEnd"/>
            <w:r w:rsidR="00E126B5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оплати реєстраційного внеску затверджується тарна етикетка препарату</w:t>
            </w:r>
            <w:r w:rsidR="00E126B5" w:rsidRPr="002716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126B5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та до Державного реєстру пестицидів і агрохімікатів дозволених до використання в Україні</w:t>
            </w:r>
            <w:r w:rsidR="005971B0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(далі – Державний реєстр препаратів)</w:t>
            </w:r>
            <w:r w:rsidR="00E126B5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5971B0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включаються відомості про пестициди і агрохімікати, щодо яких прийнято рішення про державну реєстрацію</w:t>
            </w:r>
          </w:p>
          <w:p w:rsidR="007F75CE" w:rsidRPr="0027166E" w:rsidRDefault="007F75CE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F7A3B" w:rsidRPr="0027166E" w:rsidTr="00EA47B3">
        <w:tc>
          <w:tcPr>
            <w:tcW w:w="2500" w:type="pct"/>
          </w:tcPr>
          <w:p w:rsidR="00DF7A3B" w:rsidRPr="0027166E" w:rsidRDefault="00DF7A3B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Видання Переліку пестицидів і агрохімікатів, </w:t>
            </w:r>
            <w:r w:rsidR="00621561" w:rsidRPr="00271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56B34" w:rsidRPr="00271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дозволених до використання в Україні </w:t>
            </w:r>
          </w:p>
          <w:p w:rsidR="00DF7A3B" w:rsidRPr="0027166E" w:rsidRDefault="00DF7A3B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o161"/>
            <w:bookmarkEnd w:id="10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підставі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Державного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реєстру препаратів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Міндовкілля</w:t>
            </w:r>
            <w:proofErr w:type="spellEnd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розробляє,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погоджує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МОЗ та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Мінагрополітики</w:t>
            </w:r>
            <w:proofErr w:type="spellEnd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готує до друку та </w:t>
            </w:r>
            <w:r w:rsidR="00621561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видає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один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два роки Перелік пестицидів і агрохімікатів, </w:t>
            </w:r>
            <w:r w:rsidR="00621561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дозволених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використання в Україні (далі - Перелік), з щорічним </w:t>
            </w:r>
            <w:r w:rsidR="00621561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виданням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доповнень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нього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нові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зареєстровані,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також </w:t>
            </w:r>
            <w:r w:rsidR="00621561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заборонені до використання препарати. </w:t>
            </w:r>
          </w:p>
          <w:p w:rsidR="00621561" w:rsidRPr="0027166E" w:rsidRDefault="00DF7A3B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o162"/>
            <w:bookmarkEnd w:id="11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разі наявності технічних помилок у Переліку та доповненнях до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нього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Міндовкілля</w:t>
            </w:r>
            <w:proofErr w:type="spellEnd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надсилає суб’єктам господарювання офіційного листа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повідомленнями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щодо таких помилок. </w:t>
            </w:r>
          </w:p>
          <w:p w:rsidR="00DF7A3B" w:rsidRPr="0027166E" w:rsidRDefault="00DF7A3B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Тираж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Переліку визначається за попередніми замовленнями </w:t>
            </w:r>
            <w:r w:rsidR="00621561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Мінагрополітики</w:t>
            </w:r>
            <w:proofErr w:type="spellEnd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МОЗ,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Міндовкілля</w:t>
            </w:r>
            <w:proofErr w:type="spellEnd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Держлісагентства</w:t>
            </w:r>
            <w:proofErr w:type="spellEnd"/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інших заінтересованих міністерств, відомств, установ та організацій.</w:t>
            </w:r>
          </w:p>
          <w:p w:rsidR="00DF7A3B" w:rsidRPr="0027166E" w:rsidRDefault="00DF7A3B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o164"/>
            <w:bookmarkEnd w:id="12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Примірники</w:t>
            </w:r>
            <w:r w:rsidR="00B56B34"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Переліку та доповнення до нього надсилаються МОЗ,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Міндовкілля</w:t>
            </w:r>
            <w:proofErr w:type="spellEnd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>Мінагрополітики</w:t>
            </w:r>
            <w:proofErr w:type="spellEnd"/>
            <w:r w:rsidRPr="002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Держмитслужби. </w:t>
            </w:r>
          </w:p>
          <w:p w:rsidR="00DF7A3B" w:rsidRPr="0027166E" w:rsidRDefault="00DF7A3B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0" w:type="pct"/>
          </w:tcPr>
          <w:p w:rsidR="00DF7A3B" w:rsidRPr="0027166E" w:rsidRDefault="00DF7A3B" w:rsidP="00BF4FD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Виключ</w:t>
            </w:r>
            <w:r w:rsidR="0028348E" w:rsidRPr="002716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ено</w:t>
            </w:r>
          </w:p>
        </w:tc>
      </w:tr>
    </w:tbl>
    <w:p w:rsidR="006F0A01" w:rsidRPr="0027166E" w:rsidRDefault="006F0A01" w:rsidP="00EB3E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807" w:rsidRPr="0027166E" w:rsidRDefault="00E13807" w:rsidP="00EB3E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8"/>
        <w:gridCol w:w="8668"/>
      </w:tblGrid>
      <w:tr w:rsidR="00557488" w:rsidRPr="0027166E" w:rsidTr="00B56B34">
        <w:trPr>
          <w:trHeight w:val="746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</w:tcPr>
          <w:p w:rsidR="0066027F" w:rsidRPr="0027166E" w:rsidRDefault="0066027F" w:rsidP="005574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/>
                <w:b/>
                <w:sz w:val="28"/>
                <w:szCs w:val="28"/>
              </w:rPr>
              <w:t xml:space="preserve">Міністр захисту довкілля </w:t>
            </w:r>
          </w:p>
          <w:p w:rsidR="00557488" w:rsidRPr="0027166E" w:rsidRDefault="0066027F" w:rsidP="005574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/>
                <w:b/>
                <w:sz w:val="28"/>
                <w:szCs w:val="28"/>
              </w:rPr>
              <w:t>та природних ресурсів України</w:t>
            </w:r>
          </w:p>
        </w:tc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</w:tcPr>
          <w:p w:rsidR="00557488" w:rsidRPr="0027166E" w:rsidRDefault="00557488" w:rsidP="00557488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027F" w:rsidRPr="0027166E" w:rsidRDefault="0066027F" w:rsidP="00557488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E">
              <w:rPr>
                <w:rFonts w:ascii="Times New Roman" w:hAnsi="Times New Roman"/>
                <w:b/>
                <w:sz w:val="28"/>
                <w:szCs w:val="28"/>
              </w:rPr>
              <w:t>Руслан СТРІЛЕЦЬ</w:t>
            </w:r>
          </w:p>
        </w:tc>
      </w:tr>
    </w:tbl>
    <w:p w:rsidR="00557488" w:rsidRPr="0027166E" w:rsidRDefault="00557488" w:rsidP="00EB3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A01" w:rsidRPr="0027166E" w:rsidRDefault="00EB1B8A" w:rsidP="00EB3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66E">
        <w:rPr>
          <w:rFonts w:ascii="Times New Roman" w:hAnsi="Times New Roman"/>
          <w:sz w:val="28"/>
          <w:szCs w:val="28"/>
        </w:rPr>
        <w:t>______________ 202</w:t>
      </w:r>
      <w:r w:rsidR="00621561" w:rsidRPr="0027166E">
        <w:rPr>
          <w:rFonts w:ascii="Times New Roman" w:hAnsi="Times New Roman"/>
          <w:sz w:val="28"/>
          <w:szCs w:val="28"/>
        </w:rPr>
        <w:t>3</w:t>
      </w:r>
      <w:r w:rsidRPr="0027166E">
        <w:rPr>
          <w:rFonts w:ascii="Times New Roman" w:hAnsi="Times New Roman"/>
          <w:sz w:val="28"/>
          <w:szCs w:val="28"/>
        </w:rPr>
        <w:t xml:space="preserve"> року</w:t>
      </w:r>
    </w:p>
    <w:sectPr w:rsidR="006F0A01" w:rsidRPr="0027166E" w:rsidSect="00EB1B8A">
      <w:headerReference w:type="default" r:id="rId7"/>
      <w:pgSz w:w="16838" w:h="11906" w:orient="landscape"/>
      <w:pgMar w:top="85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38" w:rsidRDefault="00993838" w:rsidP="007D4927">
      <w:pPr>
        <w:spacing w:after="0" w:line="240" w:lineRule="auto"/>
      </w:pPr>
      <w:r>
        <w:separator/>
      </w:r>
    </w:p>
  </w:endnote>
  <w:endnote w:type="continuationSeparator" w:id="0">
    <w:p w:rsidR="00993838" w:rsidRDefault="00993838" w:rsidP="007D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38" w:rsidRDefault="00993838" w:rsidP="007D4927">
      <w:pPr>
        <w:spacing w:after="0" w:line="240" w:lineRule="auto"/>
      </w:pPr>
      <w:r>
        <w:separator/>
      </w:r>
    </w:p>
  </w:footnote>
  <w:footnote w:type="continuationSeparator" w:id="0">
    <w:p w:rsidR="00993838" w:rsidRDefault="00993838" w:rsidP="007D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34" w:rsidRPr="007D4927" w:rsidRDefault="00EF15B3">
    <w:pPr>
      <w:pStyle w:val="a4"/>
      <w:jc w:val="center"/>
      <w:rPr>
        <w:rFonts w:ascii="Times New Roman" w:hAnsi="Times New Roman"/>
        <w:sz w:val="24"/>
        <w:szCs w:val="24"/>
      </w:rPr>
    </w:pPr>
    <w:r w:rsidRPr="007D4927">
      <w:rPr>
        <w:rFonts w:ascii="Times New Roman" w:hAnsi="Times New Roman"/>
        <w:sz w:val="24"/>
        <w:szCs w:val="24"/>
      </w:rPr>
      <w:fldChar w:fldCharType="begin"/>
    </w:r>
    <w:r w:rsidR="00B56B34" w:rsidRPr="007D4927">
      <w:rPr>
        <w:rFonts w:ascii="Times New Roman" w:hAnsi="Times New Roman"/>
        <w:sz w:val="24"/>
        <w:szCs w:val="24"/>
      </w:rPr>
      <w:instrText>PAGE   \* MERGEFORMAT</w:instrText>
    </w:r>
    <w:r w:rsidRPr="007D4927">
      <w:rPr>
        <w:rFonts w:ascii="Times New Roman" w:hAnsi="Times New Roman"/>
        <w:sz w:val="24"/>
        <w:szCs w:val="24"/>
      </w:rPr>
      <w:fldChar w:fldCharType="separate"/>
    </w:r>
    <w:r w:rsidR="0027166E">
      <w:rPr>
        <w:rFonts w:ascii="Times New Roman" w:hAnsi="Times New Roman"/>
        <w:noProof/>
        <w:sz w:val="24"/>
        <w:szCs w:val="24"/>
      </w:rPr>
      <w:t>7</w:t>
    </w:r>
    <w:r w:rsidRPr="007D4927">
      <w:rPr>
        <w:rFonts w:ascii="Times New Roman" w:hAnsi="Times New Roman"/>
        <w:sz w:val="24"/>
        <w:szCs w:val="24"/>
      </w:rPr>
      <w:fldChar w:fldCharType="end"/>
    </w:r>
  </w:p>
  <w:p w:rsidR="00B56B34" w:rsidRDefault="00B56B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45"/>
    <w:rsid w:val="00013C48"/>
    <w:rsid w:val="00034D05"/>
    <w:rsid w:val="00042FD8"/>
    <w:rsid w:val="000530F2"/>
    <w:rsid w:val="00066B02"/>
    <w:rsid w:val="000752CA"/>
    <w:rsid w:val="000779A4"/>
    <w:rsid w:val="00081263"/>
    <w:rsid w:val="00086263"/>
    <w:rsid w:val="000A7855"/>
    <w:rsid w:val="000C46C2"/>
    <w:rsid w:val="000C5798"/>
    <w:rsid w:val="000C677E"/>
    <w:rsid w:val="000D2EE7"/>
    <w:rsid w:val="000E0239"/>
    <w:rsid w:val="000E163A"/>
    <w:rsid w:val="000E6C1F"/>
    <w:rsid w:val="000F26E3"/>
    <w:rsid w:val="000F494E"/>
    <w:rsid w:val="000F66F2"/>
    <w:rsid w:val="000F6C7E"/>
    <w:rsid w:val="00102652"/>
    <w:rsid w:val="00104513"/>
    <w:rsid w:val="00111FD3"/>
    <w:rsid w:val="00117063"/>
    <w:rsid w:val="00117BB6"/>
    <w:rsid w:val="00122F16"/>
    <w:rsid w:val="0012376D"/>
    <w:rsid w:val="0013288C"/>
    <w:rsid w:val="00136E8C"/>
    <w:rsid w:val="00144918"/>
    <w:rsid w:val="00151715"/>
    <w:rsid w:val="00176E99"/>
    <w:rsid w:val="00182CC4"/>
    <w:rsid w:val="00183F7F"/>
    <w:rsid w:val="001854BC"/>
    <w:rsid w:val="00186C5F"/>
    <w:rsid w:val="00187CB3"/>
    <w:rsid w:val="00191A86"/>
    <w:rsid w:val="001A4611"/>
    <w:rsid w:val="001B612F"/>
    <w:rsid w:val="001B6ACD"/>
    <w:rsid w:val="001D73E0"/>
    <w:rsid w:val="001E18C9"/>
    <w:rsid w:val="001E21F8"/>
    <w:rsid w:val="001E2405"/>
    <w:rsid w:val="001E28DB"/>
    <w:rsid w:val="001E3068"/>
    <w:rsid w:val="001F17E4"/>
    <w:rsid w:val="002005D7"/>
    <w:rsid w:val="00205C68"/>
    <w:rsid w:val="00231FCB"/>
    <w:rsid w:val="00240017"/>
    <w:rsid w:val="002401FD"/>
    <w:rsid w:val="00240E2E"/>
    <w:rsid w:val="002417EA"/>
    <w:rsid w:val="00241FDE"/>
    <w:rsid w:val="00245A83"/>
    <w:rsid w:val="00246938"/>
    <w:rsid w:val="00247914"/>
    <w:rsid w:val="002508F7"/>
    <w:rsid w:val="00253D45"/>
    <w:rsid w:val="00262CDF"/>
    <w:rsid w:val="002702AD"/>
    <w:rsid w:val="0027166E"/>
    <w:rsid w:val="0028348E"/>
    <w:rsid w:val="0028452F"/>
    <w:rsid w:val="002851EE"/>
    <w:rsid w:val="00285A1F"/>
    <w:rsid w:val="00291C7E"/>
    <w:rsid w:val="00296C99"/>
    <w:rsid w:val="002971A5"/>
    <w:rsid w:val="002A01EE"/>
    <w:rsid w:val="002A0681"/>
    <w:rsid w:val="002A3FF1"/>
    <w:rsid w:val="002A414A"/>
    <w:rsid w:val="002A4217"/>
    <w:rsid w:val="002B4920"/>
    <w:rsid w:val="002B52DA"/>
    <w:rsid w:val="002B7363"/>
    <w:rsid w:val="002C2A5E"/>
    <w:rsid w:val="002C6AD9"/>
    <w:rsid w:val="002F5BAB"/>
    <w:rsid w:val="00304425"/>
    <w:rsid w:val="00317D7C"/>
    <w:rsid w:val="0032210B"/>
    <w:rsid w:val="00327A11"/>
    <w:rsid w:val="00333B25"/>
    <w:rsid w:val="003367BF"/>
    <w:rsid w:val="00354ED4"/>
    <w:rsid w:val="00366D06"/>
    <w:rsid w:val="00366FD9"/>
    <w:rsid w:val="003676A7"/>
    <w:rsid w:val="00367F23"/>
    <w:rsid w:val="00370485"/>
    <w:rsid w:val="00376B0F"/>
    <w:rsid w:val="00382CB4"/>
    <w:rsid w:val="00392DCC"/>
    <w:rsid w:val="0039486C"/>
    <w:rsid w:val="003A2DDC"/>
    <w:rsid w:val="003A44D3"/>
    <w:rsid w:val="003A4DD3"/>
    <w:rsid w:val="003B1AC5"/>
    <w:rsid w:val="003B286F"/>
    <w:rsid w:val="003B68BB"/>
    <w:rsid w:val="003C1004"/>
    <w:rsid w:val="003E6643"/>
    <w:rsid w:val="003F1DA9"/>
    <w:rsid w:val="003F5651"/>
    <w:rsid w:val="003F7D93"/>
    <w:rsid w:val="0040160B"/>
    <w:rsid w:val="0040264E"/>
    <w:rsid w:val="00411E89"/>
    <w:rsid w:val="00413D6A"/>
    <w:rsid w:val="00417FEA"/>
    <w:rsid w:val="00423216"/>
    <w:rsid w:val="00425EA5"/>
    <w:rsid w:val="004377E5"/>
    <w:rsid w:val="00440D55"/>
    <w:rsid w:val="004529B4"/>
    <w:rsid w:val="00453D72"/>
    <w:rsid w:val="004573C3"/>
    <w:rsid w:val="00482379"/>
    <w:rsid w:val="0049383B"/>
    <w:rsid w:val="00495AD8"/>
    <w:rsid w:val="004A6D31"/>
    <w:rsid w:val="004A6DB0"/>
    <w:rsid w:val="004B1405"/>
    <w:rsid w:val="004B424D"/>
    <w:rsid w:val="004B6004"/>
    <w:rsid w:val="004B6FCD"/>
    <w:rsid w:val="004C18B7"/>
    <w:rsid w:val="004C18C8"/>
    <w:rsid w:val="004C1C35"/>
    <w:rsid w:val="004F07A0"/>
    <w:rsid w:val="004F397E"/>
    <w:rsid w:val="004F6D06"/>
    <w:rsid w:val="005062B5"/>
    <w:rsid w:val="005069C0"/>
    <w:rsid w:val="00513360"/>
    <w:rsid w:val="005212CF"/>
    <w:rsid w:val="00557488"/>
    <w:rsid w:val="00571F10"/>
    <w:rsid w:val="005763CE"/>
    <w:rsid w:val="005860A0"/>
    <w:rsid w:val="0059002A"/>
    <w:rsid w:val="005971B0"/>
    <w:rsid w:val="005A1C3F"/>
    <w:rsid w:val="005B216D"/>
    <w:rsid w:val="005C304E"/>
    <w:rsid w:val="005E6875"/>
    <w:rsid w:val="0061567A"/>
    <w:rsid w:val="00616767"/>
    <w:rsid w:val="00621561"/>
    <w:rsid w:val="00631470"/>
    <w:rsid w:val="00633285"/>
    <w:rsid w:val="00633ECD"/>
    <w:rsid w:val="006553EF"/>
    <w:rsid w:val="006567BF"/>
    <w:rsid w:val="0066027F"/>
    <w:rsid w:val="006605AD"/>
    <w:rsid w:val="006757C1"/>
    <w:rsid w:val="00680B80"/>
    <w:rsid w:val="00680F95"/>
    <w:rsid w:val="00684A2E"/>
    <w:rsid w:val="0068588A"/>
    <w:rsid w:val="00685EC9"/>
    <w:rsid w:val="006A173C"/>
    <w:rsid w:val="006A20CA"/>
    <w:rsid w:val="006A4597"/>
    <w:rsid w:val="006A6D63"/>
    <w:rsid w:val="006A7C19"/>
    <w:rsid w:val="006C485C"/>
    <w:rsid w:val="006D47BF"/>
    <w:rsid w:val="006D59C6"/>
    <w:rsid w:val="006D6807"/>
    <w:rsid w:val="006E6C39"/>
    <w:rsid w:val="006F0A01"/>
    <w:rsid w:val="006F5530"/>
    <w:rsid w:val="006F57B2"/>
    <w:rsid w:val="006F7BA0"/>
    <w:rsid w:val="00713D59"/>
    <w:rsid w:val="00720DE8"/>
    <w:rsid w:val="00731827"/>
    <w:rsid w:val="007341C4"/>
    <w:rsid w:val="00743277"/>
    <w:rsid w:val="00745977"/>
    <w:rsid w:val="007463B0"/>
    <w:rsid w:val="00750662"/>
    <w:rsid w:val="00750988"/>
    <w:rsid w:val="007560B8"/>
    <w:rsid w:val="00756E1E"/>
    <w:rsid w:val="0076178E"/>
    <w:rsid w:val="00762BA1"/>
    <w:rsid w:val="00780D6C"/>
    <w:rsid w:val="007A6417"/>
    <w:rsid w:val="007B5B22"/>
    <w:rsid w:val="007B7709"/>
    <w:rsid w:val="007C00B4"/>
    <w:rsid w:val="007C45D8"/>
    <w:rsid w:val="007C655E"/>
    <w:rsid w:val="007C6FDA"/>
    <w:rsid w:val="007D4927"/>
    <w:rsid w:val="007D5699"/>
    <w:rsid w:val="007E1B0D"/>
    <w:rsid w:val="007F0360"/>
    <w:rsid w:val="007F3C12"/>
    <w:rsid w:val="007F75CE"/>
    <w:rsid w:val="00800479"/>
    <w:rsid w:val="008013EE"/>
    <w:rsid w:val="008057DE"/>
    <w:rsid w:val="00813E37"/>
    <w:rsid w:val="0082122A"/>
    <w:rsid w:val="00833329"/>
    <w:rsid w:val="0084055C"/>
    <w:rsid w:val="0084475D"/>
    <w:rsid w:val="0085151C"/>
    <w:rsid w:val="00851C3D"/>
    <w:rsid w:val="00860890"/>
    <w:rsid w:val="0086277B"/>
    <w:rsid w:val="00874D57"/>
    <w:rsid w:val="00884DF3"/>
    <w:rsid w:val="008927AF"/>
    <w:rsid w:val="00897DED"/>
    <w:rsid w:val="008A0376"/>
    <w:rsid w:val="008A1D0C"/>
    <w:rsid w:val="008A3814"/>
    <w:rsid w:val="008A50E4"/>
    <w:rsid w:val="008B1B39"/>
    <w:rsid w:val="008B1C63"/>
    <w:rsid w:val="008C0EAE"/>
    <w:rsid w:val="008C7350"/>
    <w:rsid w:val="008D4935"/>
    <w:rsid w:val="008D7AB1"/>
    <w:rsid w:val="008E4983"/>
    <w:rsid w:val="008F4B53"/>
    <w:rsid w:val="008F4F09"/>
    <w:rsid w:val="008F69C9"/>
    <w:rsid w:val="00910FCB"/>
    <w:rsid w:val="00913034"/>
    <w:rsid w:val="00923087"/>
    <w:rsid w:val="00926820"/>
    <w:rsid w:val="00945CDE"/>
    <w:rsid w:val="009461A7"/>
    <w:rsid w:val="00966481"/>
    <w:rsid w:val="00976FFB"/>
    <w:rsid w:val="00980A19"/>
    <w:rsid w:val="009827C8"/>
    <w:rsid w:val="0099233A"/>
    <w:rsid w:val="00993838"/>
    <w:rsid w:val="009953DA"/>
    <w:rsid w:val="009A4E7B"/>
    <w:rsid w:val="009A60C7"/>
    <w:rsid w:val="009A6543"/>
    <w:rsid w:val="009B63A0"/>
    <w:rsid w:val="009C1FBC"/>
    <w:rsid w:val="009C4718"/>
    <w:rsid w:val="009C5616"/>
    <w:rsid w:val="009C66D4"/>
    <w:rsid w:val="009D447E"/>
    <w:rsid w:val="009D51B9"/>
    <w:rsid w:val="009E4785"/>
    <w:rsid w:val="009F2792"/>
    <w:rsid w:val="00A03CD5"/>
    <w:rsid w:val="00A103F4"/>
    <w:rsid w:val="00A1145C"/>
    <w:rsid w:val="00A11951"/>
    <w:rsid w:val="00A12B87"/>
    <w:rsid w:val="00A16C69"/>
    <w:rsid w:val="00A21E37"/>
    <w:rsid w:val="00A229EE"/>
    <w:rsid w:val="00A237D3"/>
    <w:rsid w:val="00A30BD9"/>
    <w:rsid w:val="00A312FE"/>
    <w:rsid w:val="00A321D1"/>
    <w:rsid w:val="00A43182"/>
    <w:rsid w:val="00A456E3"/>
    <w:rsid w:val="00A63BD0"/>
    <w:rsid w:val="00A8270D"/>
    <w:rsid w:val="00A96C5E"/>
    <w:rsid w:val="00AA52A8"/>
    <w:rsid w:val="00AA53E9"/>
    <w:rsid w:val="00AB1225"/>
    <w:rsid w:val="00AB135D"/>
    <w:rsid w:val="00AB2CF1"/>
    <w:rsid w:val="00AB5EA7"/>
    <w:rsid w:val="00AD06CF"/>
    <w:rsid w:val="00AD4725"/>
    <w:rsid w:val="00AD7BEE"/>
    <w:rsid w:val="00AE2AB3"/>
    <w:rsid w:val="00AF1344"/>
    <w:rsid w:val="00B009DB"/>
    <w:rsid w:val="00B11F42"/>
    <w:rsid w:val="00B1328C"/>
    <w:rsid w:val="00B132C3"/>
    <w:rsid w:val="00B17586"/>
    <w:rsid w:val="00B17AB8"/>
    <w:rsid w:val="00B32CDF"/>
    <w:rsid w:val="00B36D92"/>
    <w:rsid w:val="00B41DAD"/>
    <w:rsid w:val="00B4311D"/>
    <w:rsid w:val="00B46E5D"/>
    <w:rsid w:val="00B50052"/>
    <w:rsid w:val="00B51B92"/>
    <w:rsid w:val="00B51DF5"/>
    <w:rsid w:val="00B56B34"/>
    <w:rsid w:val="00B56C53"/>
    <w:rsid w:val="00B719D4"/>
    <w:rsid w:val="00B74F2B"/>
    <w:rsid w:val="00B77E83"/>
    <w:rsid w:val="00B8427D"/>
    <w:rsid w:val="00B86F0F"/>
    <w:rsid w:val="00B90337"/>
    <w:rsid w:val="00B9034C"/>
    <w:rsid w:val="00B9269F"/>
    <w:rsid w:val="00BA43A5"/>
    <w:rsid w:val="00BB262A"/>
    <w:rsid w:val="00BC49F5"/>
    <w:rsid w:val="00BC7F22"/>
    <w:rsid w:val="00BE04FE"/>
    <w:rsid w:val="00BE49D2"/>
    <w:rsid w:val="00BE7D09"/>
    <w:rsid w:val="00BF4FD2"/>
    <w:rsid w:val="00C04C34"/>
    <w:rsid w:val="00C1092B"/>
    <w:rsid w:val="00C13E8C"/>
    <w:rsid w:val="00C15F0E"/>
    <w:rsid w:val="00C238E8"/>
    <w:rsid w:val="00C25EB2"/>
    <w:rsid w:val="00C315CF"/>
    <w:rsid w:val="00C37A6C"/>
    <w:rsid w:val="00C40704"/>
    <w:rsid w:val="00C40987"/>
    <w:rsid w:val="00C5251E"/>
    <w:rsid w:val="00C52FAC"/>
    <w:rsid w:val="00C63E22"/>
    <w:rsid w:val="00C724AA"/>
    <w:rsid w:val="00C74C0B"/>
    <w:rsid w:val="00C91165"/>
    <w:rsid w:val="00C92250"/>
    <w:rsid w:val="00C9741A"/>
    <w:rsid w:val="00C97BA5"/>
    <w:rsid w:val="00CA3F53"/>
    <w:rsid w:val="00CA7099"/>
    <w:rsid w:val="00CB64FB"/>
    <w:rsid w:val="00CC1A56"/>
    <w:rsid w:val="00CC49B4"/>
    <w:rsid w:val="00CD501A"/>
    <w:rsid w:val="00CD5E77"/>
    <w:rsid w:val="00CE1EFB"/>
    <w:rsid w:val="00CF15E3"/>
    <w:rsid w:val="00CF1604"/>
    <w:rsid w:val="00D000B0"/>
    <w:rsid w:val="00D01980"/>
    <w:rsid w:val="00D043FA"/>
    <w:rsid w:val="00D05253"/>
    <w:rsid w:val="00D10008"/>
    <w:rsid w:val="00D139B0"/>
    <w:rsid w:val="00D218C8"/>
    <w:rsid w:val="00D35BFA"/>
    <w:rsid w:val="00D52C61"/>
    <w:rsid w:val="00D56B48"/>
    <w:rsid w:val="00D623A0"/>
    <w:rsid w:val="00D65CDB"/>
    <w:rsid w:val="00D7226F"/>
    <w:rsid w:val="00D7524D"/>
    <w:rsid w:val="00D815DB"/>
    <w:rsid w:val="00D92463"/>
    <w:rsid w:val="00D928D8"/>
    <w:rsid w:val="00D94970"/>
    <w:rsid w:val="00D95E36"/>
    <w:rsid w:val="00DA1F8B"/>
    <w:rsid w:val="00DB0B7C"/>
    <w:rsid w:val="00DB6854"/>
    <w:rsid w:val="00DB6E6F"/>
    <w:rsid w:val="00DC1D4B"/>
    <w:rsid w:val="00DC6713"/>
    <w:rsid w:val="00DD549A"/>
    <w:rsid w:val="00DF041B"/>
    <w:rsid w:val="00DF1407"/>
    <w:rsid w:val="00DF65A5"/>
    <w:rsid w:val="00DF7A3B"/>
    <w:rsid w:val="00E00997"/>
    <w:rsid w:val="00E010DB"/>
    <w:rsid w:val="00E03C73"/>
    <w:rsid w:val="00E04D37"/>
    <w:rsid w:val="00E11076"/>
    <w:rsid w:val="00E119D3"/>
    <w:rsid w:val="00E11A18"/>
    <w:rsid w:val="00E122F3"/>
    <w:rsid w:val="00E126B5"/>
    <w:rsid w:val="00E13807"/>
    <w:rsid w:val="00E207FD"/>
    <w:rsid w:val="00E21C45"/>
    <w:rsid w:val="00E27B76"/>
    <w:rsid w:val="00E341CB"/>
    <w:rsid w:val="00E404E0"/>
    <w:rsid w:val="00E47DAA"/>
    <w:rsid w:val="00E516B0"/>
    <w:rsid w:val="00E57F32"/>
    <w:rsid w:val="00E60550"/>
    <w:rsid w:val="00E73C50"/>
    <w:rsid w:val="00E821A4"/>
    <w:rsid w:val="00E874B1"/>
    <w:rsid w:val="00E966EB"/>
    <w:rsid w:val="00EA289C"/>
    <w:rsid w:val="00EA4202"/>
    <w:rsid w:val="00EA47B3"/>
    <w:rsid w:val="00EA4C84"/>
    <w:rsid w:val="00EA713F"/>
    <w:rsid w:val="00EA7C8D"/>
    <w:rsid w:val="00EB13FC"/>
    <w:rsid w:val="00EB1B8A"/>
    <w:rsid w:val="00EB1CF0"/>
    <w:rsid w:val="00EB3E0C"/>
    <w:rsid w:val="00EB7E5F"/>
    <w:rsid w:val="00EC6A87"/>
    <w:rsid w:val="00ED3C4E"/>
    <w:rsid w:val="00EE2526"/>
    <w:rsid w:val="00EF0890"/>
    <w:rsid w:val="00EF15B3"/>
    <w:rsid w:val="00F02088"/>
    <w:rsid w:val="00F05C1A"/>
    <w:rsid w:val="00F10A18"/>
    <w:rsid w:val="00F16C6D"/>
    <w:rsid w:val="00F17140"/>
    <w:rsid w:val="00F251A2"/>
    <w:rsid w:val="00F27B00"/>
    <w:rsid w:val="00F3029A"/>
    <w:rsid w:val="00F34BB8"/>
    <w:rsid w:val="00F35412"/>
    <w:rsid w:val="00F3626C"/>
    <w:rsid w:val="00F478FC"/>
    <w:rsid w:val="00F52CA2"/>
    <w:rsid w:val="00F53D25"/>
    <w:rsid w:val="00F55810"/>
    <w:rsid w:val="00F64D15"/>
    <w:rsid w:val="00F877D7"/>
    <w:rsid w:val="00F87833"/>
    <w:rsid w:val="00F96339"/>
    <w:rsid w:val="00FB1AC5"/>
    <w:rsid w:val="00FC0725"/>
    <w:rsid w:val="00FC6068"/>
    <w:rsid w:val="00FD135F"/>
    <w:rsid w:val="00FD23B9"/>
    <w:rsid w:val="00FE01A1"/>
    <w:rsid w:val="00FF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470"/>
    <w:rPr>
      <w:rFonts w:cs="Times New Roman"/>
    </w:rPr>
  </w:style>
  <w:style w:type="paragraph" w:styleId="3">
    <w:name w:val="heading 3"/>
    <w:basedOn w:val="a"/>
    <w:next w:val="a"/>
    <w:link w:val="30"/>
    <w:uiPriority w:val="9"/>
    <w:qFormat/>
    <w:rsid w:val="00CA7099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CA7099"/>
    <w:rPr>
      <w:rFonts w:ascii="Antiqua" w:hAnsi="Antiqua" w:cs="Times New Roman"/>
      <w:b/>
      <w:i/>
      <w:sz w:val="20"/>
      <w:szCs w:val="20"/>
      <w:lang w:eastAsia="ru-RU"/>
    </w:rPr>
  </w:style>
  <w:style w:type="table" w:styleId="a3">
    <w:name w:val="Table Grid"/>
    <w:basedOn w:val="a1"/>
    <w:uiPriority w:val="59"/>
    <w:rsid w:val="00EB3E0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B3E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rsid w:val="00EB3E0C"/>
  </w:style>
  <w:style w:type="character" w:customStyle="1" w:styleId="rvts15">
    <w:name w:val="rvts15"/>
    <w:rsid w:val="00EB3E0C"/>
  </w:style>
  <w:style w:type="paragraph" w:customStyle="1" w:styleId="rvps7">
    <w:name w:val="rvps7"/>
    <w:basedOn w:val="a"/>
    <w:rsid w:val="002A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D49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7D492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D49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7D4927"/>
    <w:rPr>
      <w:rFonts w:cs="Times New Roman"/>
    </w:rPr>
  </w:style>
  <w:style w:type="paragraph" w:customStyle="1" w:styleId="a8">
    <w:name w:val="Нормальний текст"/>
    <w:basedOn w:val="a"/>
    <w:link w:val="a9"/>
    <w:rsid w:val="007D4927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8"/>
    <w:rsid w:val="007D4927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D4927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a9">
    <w:name w:val="Нормальний текст Знак"/>
    <w:link w:val="a8"/>
    <w:locked/>
    <w:rsid w:val="007D4927"/>
    <w:rPr>
      <w:rFonts w:ascii="Antiqua" w:hAnsi="Antiqua"/>
      <w:sz w:val="20"/>
      <w:lang w:eastAsia="ru-RU"/>
    </w:rPr>
  </w:style>
  <w:style w:type="character" w:customStyle="1" w:styleId="st42">
    <w:name w:val="st42"/>
    <w:uiPriority w:val="99"/>
    <w:rsid w:val="007D4927"/>
    <w:rPr>
      <w:color w:val="000000"/>
    </w:rPr>
  </w:style>
  <w:style w:type="character" w:customStyle="1" w:styleId="st910">
    <w:name w:val="st910"/>
    <w:uiPriority w:val="99"/>
    <w:rsid w:val="007D4927"/>
    <w:rPr>
      <w:color w:val="0000FF"/>
    </w:rPr>
  </w:style>
  <w:style w:type="character" w:styleId="ab">
    <w:name w:val="Hyperlink"/>
    <w:basedOn w:val="a0"/>
    <w:uiPriority w:val="99"/>
    <w:semiHidden/>
    <w:unhideWhenUsed/>
    <w:rsid w:val="00F16C6D"/>
    <w:rPr>
      <w:rFonts w:cs="Times New Roman"/>
      <w:color w:val="0000FF"/>
      <w:u w:val="single"/>
    </w:rPr>
  </w:style>
  <w:style w:type="character" w:customStyle="1" w:styleId="rvts46">
    <w:name w:val="rvts46"/>
    <w:basedOn w:val="a0"/>
    <w:rsid w:val="000F6C7E"/>
    <w:rPr>
      <w:rFonts w:cs="Times New Roman"/>
    </w:rPr>
  </w:style>
  <w:style w:type="paragraph" w:customStyle="1" w:styleId="ac">
    <w:name w:val="Шапка документу"/>
    <w:basedOn w:val="a"/>
    <w:rsid w:val="00E122F3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4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0C46C2"/>
    <w:rPr>
      <w:rFonts w:ascii="Courier New" w:hAnsi="Courier New" w:cs="Courier New"/>
      <w:sz w:val="20"/>
      <w:szCs w:val="20"/>
      <w:lang w:eastAsia="uk-UA"/>
    </w:rPr>
  </w:style>
  <w:style w:type="paragraph" w:styleId="ad">
    <w:name w:val="Title"/>
    <w:basedOn w:val="a"/>
    <w:next w:val="a"/>
    <w:link w:val="ae"/>
    <w:qFormat/>
    <w:rsid w:val="00D9246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e">
    <w:name w:val="Назва Знак"/>
    <w:basedOn w:val="a0"/>
    <w:link w:val="ad"/>
    <w:rsid w:val="00D92463"/>
    <w:rPr>
      <w:rFonts w:ascii="Calibri" w:eastAsia="Calibri" w:hAnsi="Calibri" w:cs="Calibri"/>
      <w:b/>
      <w:sz w:val="72"/>
      <w:szCs w:val="72"/>
      <w:lang w:eastAsia="uk-UA"/>
    </w:rPr>
  </w:style>
  <w:style w:type="character" w:styleId="af">
    <w:name w:val="Emphasis"/>
    <w:basedOn w:val="a0"/>
    <w:uiPriority w:val="20"/>
    <w:qFormat/>
    <w:rsid w:val="00DB6854"/>
    <w:rPr>
      <w:i/>
      <w:iCs/>
    </w:rPr>
  </w:style>
  <w:style w:type="paragraph" w:styleId="af0">
    <w:name w:val="List Paragraph"/>
    <w:basedOn w:val="a"/>
    <w:uiPriority w:val="34"/>
    <w:qFormat/>
    <w:rsid w:val="00F96339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7FD1-FBE6-434E-938A-DE914852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8175</Words>
  <Characters>4661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yu_bondarenko</cp:lastModifiedBy>
  <cp:revision>5</cp:revision>
  <cp:lastPrinted>2022-06-20T06:26:00Z</cp:lastPrinted>
  <dcterms:created xsi:type="dcterms:W3CDTF">2023-05-12T08:41:00Z</dcterms:created>
  <dcterms:modified xsi:type="dcterms:W3CDTF">2023-05-15T12:13:00Z</dcterms:modified>
</cp:coreProperties>
</file>