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D6E5B" w14:textId="77777777" w:rsidR="00DA4B20" w:rsidRPr="00AA450A" w:rsidRDefault="00DA4B20" w:rsidP="00DA4B2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45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Таблиця врахування коментарів та зауважень підприємств та громадських організацій,</w:t>
      </w:r>
    </w:p>
    <w:p w14:paraId="67EF58AC" w14:textId="3D2BB21B" w:rsidR="0043735A" w:rsidRPr="00AA450A" w:rsidRDefault="00DA4B20" w:rsidP="00DA4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які надійшли до Міністерства захисту довкілля та природних ресурсів України</w:t>
      </w:r>
      <w:r w:rsidR="006130A8" w:rsidRPr="00AA45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</w:t>
      </w:r>
      <w:r w:rsidR="006C17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 w:rsidRPr="00AA450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3735A" w:rsidRPr="00AA450A">
        <w:rPr>
          <w:rFonts w:ascii="Times New Roman" w:hAnsi="Times New Roman" w:cs="Times New Roman"/>
          <w:b/>
          <w:sz w:val="28"/>
          <w:szCs w:val="28"/>
        </w:rPr>
        <w:t xml:space="preserve">проєкту </w:t>
      </w:r>
      <w:r w:rsidR="00181B7D">
        <w:rPr>
          <w:rFonts w:ascii="Times New Roman" w:hAnsi="Times New Roman" w:cs="Times New Roman"/>
          <w:b/>
          <w:sz w:val="28"/>
          <w:szCs w:val="28"/>
        </w:rPr>
        <w:t>постанови Кабінету Міністрів</w:t>
      </w:r>
      <w:r w:rsidR="006C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35A" w:rsidRPr="00AA450A">
        <w:rPr>
          <w:rFonts w:ascii="Times New Roman" w:hAnsi="Times New Roman" w:cs="Times New Roman"/>
          <w:b/>
          <w:sz w:val="28"/>
          <w:szCs w:val="28"/>
        </w:rPr>
        <w:t>України «</w:t>
      </w:r>
      <w:r w:rsidR="00181B7D" w:rsidRPr="00181B7D">
        <w:rPr>
          <w:rFonts w:ascii="Times New Roman" w:hAnsi="Times New Roman" w:cs="Times New Roman"/>
          <w:b/>
          <w:sz w:val="28"/>
          <w:szCs w:val="28"/>
        </w:rPr>
        <w:t>Про затвердження Порядку ведення Національного реєстру викидів та перенесення забруднювачів</w:t>
      </w:r>
      <w:r w:rsidR="0043735A" w:rsidRPr="00AA450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98" w:type="dxa"/>
        <w:tblLook w:val="04A0" w:firstRow="1" w:lastRow="0" w:firstColumn="1" w:lastColumn="0" w:noHBand="0" w:noVBand="1"/>
      </w:tblPr>
      <w:tblGrid>
        <w:gridCol w:w="615"/>
        <w:gridCol w:w="4738"/>
        <w:gridCol w:w="4745"/>
        <w:gridCol w:w="5400"/>
      </w:tblGrid>
      <w:tr w:rsidR="00EB4EDF" w:rsidRPr="00AA450A" w14:paraId="70EEC2AD" w14:textId="77777777" w:rsidTr="00B23627">
        <w:trPr>
          <w:trHeight w:val="990"/>
          <w:tblHeader/>
        </w:trPr>
        <w:tc>
          <w:tcPr>
            <w:tcW w:w="615" w:type="dxa"/>
            <w:shd w:val="clear" w:color="auto" w:fill="E7E6E6" w:themeFill="background2"/>
          </w:tcPr>
          <w:p w14:paraId="6429A07D" w14:textId="77777777" w:rsidR="00EB4EDF" w:rsidRPr="00AA450A" w:rsidRDefault="00613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8" w:type="dxa"/>
            <w:shd w:val="clear" w:color="auto" w:fill="E7E6E6" w:themeFill="background2"/>
            <w:vAlign w:val="center"/>
          </w:tcPr>
          <w:p w14:paraId="2BFECBBB" w14:textId="77777777" w:rsidR="00EB4EDF" w:rsidRPr="00AA450A" w:rsidRDefault="009B0A34" w:rsidP="009B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Пропозиція</w:t>
            </w:r>
          </w:p>
        </w:tc>
        <w:tc>
          <w:tcPr>
            <w:tcW w:w="4745" w:type="dxa"/>
            <w:shd w:val="clear" w:color="auto" w:fill="E7E6E6" w:themeFill="background2"/>
            <w:vAlign w:val="center"/>
          </w:tcPr>
          <w:p w14:paraId="68DA831F" w14:textId="77777777" w:rsidR="00EB4EDF" w:rsidRPr="00AA450A" w:rsidRDefault="009B0A34" w:rsidP="001E5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Оприлюднено в редакції</w:t>
            </w:r>
          </w:p>
        </w:tc>
        <w:tc>
          <w:tcPr>
            <w:tcW w:w="5400" w:type="dxa"/>
            <w:shd w:val="clear" w:color="auto" w:fill="E7E6E6" w:themeFill="background2"/>
            <w:vAlign w:val="center"/>
          </w:tcPr>
          <w:p w14:paraId="21E53353" w14:textId="77777777" w:rsidR="00EB4EDF" w:rsidRPr="00AA450A" w:rsidRDefault="009B0A34" w:rsidP="00FD3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Враховано/враховано частково/</w:t>
            </w:r>
            <w:r w:rsidR="00D904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/враховано в інший спосіб/ </w:t>
            </w:r>
            <w:proofErr w:type="spellStart"/>
            <w:r w:rsidRPr="00AA45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відхилено</w:t>
            </w:r>
            <w:proofErr w:type="spellEnd"/>
          </w:p>
        </w:tc>
      </w:tr>
      <w:tr w:rsidR="00EB4EDF" w:rsidRPr="00AA450A" w14:paraId="5468DAA0" w14:textId="77777777" w:rsidTr="00B23627">
        <w:trPr>
          <w:trHeight w:val="54"/>
        </w:trPr>
        <w:tc>
          <w:tcPr>
            <w:tcW w:w="15498" w:type="dxa"/>
            <w:gridSpan w:val="4"/>
            <w:shd w:val="clear" w:color="auto" w:fill="E7E6E6" w:themeFill="background2"/>
          </w:tcPr>
          <w:p w14:paraId="12AF6AA6" w14:textId="77777777" w:rsidR="00D81FB1" w:rsidRDefault="00D81FB1" w:rsidP="00613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4123030"/>
          </w:p>
          <w:p w14:paraId="518AC9B4" w14:textId="29D0E2B5" w:rsidR="00D81FB1" w:rsidRPr="00AA450A" w:rsidRDefault="00181B7D" w:rsidP="00613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B7D">
              <w:rPr>
                <w:rFonts w:ascii="Times New Roman" w:hAnsi="Times New Roman" w:cs="Times New Roman"/>
                <w:b/>
                <w:sz w:val="24"/>
                <w:szCs w:val="24"/>
              </w:rPr>
              <w:t>Міжнародна благодійна організація «Екологія-Право-Людина»</w:t>
            </w:r>
          </w:p>
        </w:tc>
      </w:tr>
      <w:bookmarkEnd w:id="0"/>
      <w:tr w:rsidR="00EB4EDF" w:rsidRPr="00AA450A" w14:paraId="7E951911" w14:textId="77777777" w:rsidTr="003B633A">
        <w:tc>
          <w:tcPr>
            <w:tcW w:w="615" w:type="dxa"/>
          </w:tcPr>
          <w:p w14:paraId="55981CF7" w14:textId="3E55897C" w:rsidR="00EB4EDF" w:rsidRPr="00AA450A" w:rsidRDefault="006E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8" w:type="dxa"/>
          </w:tcPr>
          <w:p w14:paraId="55AE77A2" w14:textId="76101B64" w:rsidR="00C52DBF" w:rsidRPr="00C52DBF" w:rsidRDefault="00C52DBF" w:rsidP="00C52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арто звернути увагу на терміни «об’єкт Реєстру» та «</w:t>
            </w:r>
            <w:proofErr w:type="spellStart"/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обʼєкт</w:t>
            </w:r>
            <w:proofErr w:type="spellEnd"/>
            <w:r w:rsidRPr="00C52DBF">
              <w:rPr>
                <w:rFonts w:ascii="Times New Roman" w:hAnsi="Times New Roman" w:cs="Times New Roman"/>
                <w:sz w:val="24"/>
                <w:szCs w:val="24"/>
              </w:rPr>
              <w:t xml:space="preserve">» у Порядку та ЗУ «Про </w:t>
            </w:r>
          </w:p>
          <w:p w14:paraId="4C3955A8" w14:textId="0271ABD6" w:rsidR="00EB4EDF" w:rsidRPr="007A4827" w:rsidRDefault="00C52DBF" w:rsidP="00C52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реєстр викидів та перенесення забруднювачів». Відповідно до тексту Порядку, </w:t>
            </w:r>
            <w:proofErr w:type="spellStart"/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обʼєкт</w:t>
            </w:r>
            <w:proofErr w:type="spellEnd"/>
            <w:r w:rsidRPr="00C52DBF">
              <w:rPr>
                <w:rFonts w:ascii="Times New Roman" w:hAnsi="Times New Roman" w:cs="Times New Roman"/>
                <w:sz w:val="24"/>
                <w:szCs w:val="24"/>
              </w:rPr>
              <w:t xml:space="preserve"> Реєстру визначається як дані, про викиди та перенесення забруднювачів і відходів, </w:t>
            </w:r>
            <w:proofErr w:type="spellStart"/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обʼєкти</w:t>
            </w:r>
            <w:proofErr w:type="spellEnd"/>
            <w:r w:rsidRPr="00C52DBF">
              <w:rPr>
                <w:rFonts w:ascii="Times New Roman" w:hAnsi="Times New Roman" w:cs="Times New Roman"/>
                <w:sz w:val="24"/>
                <w:szCs w:val="24"/>
              </w:rPr>
              <w:t xml:space="preserve"> та дифузні джерела, зазначені в частині сьомій статті 13 Закону. Натомість у п. 15 ч. 1 ст. 1 ЗУ «Про Національний реєстр викидів та перенесення забруднювачів» (далі- Закон) </w:t>
            </w:r>
            <w:proofErr w:type="spellStart"/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обʼєкт</w:t>
            </w:r>
            <w:proofErr w:type="spellEnd"/>
            <w:r w:rsidRPr="00C52DBF">
              <w:rPr>
                <w:rFonts w:ascii="Times New Roman" w:hAnsi="Times New Roman" w:cs="Times New Roman"/>
                <w:sz w:val="24"/>
                <w:szCs w:val="24"/>
              </w:rPr>
              <w:t xml:space="preserve"> – це одна або кілька установок, на яких провадиться один або більше видів діяльності відповідно до переліку видів діяльності, визначених додатком 1 до цього Закону, що розташовані на одному промисловому майданчику та експлуатуються одним оператором. Даний термін в Порядку визначається, але вживається лише раз, натомість термін об’єкт у Законі вживається досить часто. На нашу думку, такі відмінності у розумінні даних термінів можуть породжувати плутанину. У </w:t>
            </w:r>
            <w:proofErr w:type="spellStart"/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звʼязку</w:t>
            </w:r>
            <w:proofErr w:type="spellEnd"/>
            <w:r w:rsidRPr="00C52DBF">
              <w:rPr>
                <w:rFonts w:ascii="Times New Roman" w:hAnsi="Times New Roman" w:cs="Times New Roman"/>
                <w:sz w:val="24"/>
                <w:szCs w:val="24"/>
              </w:rPr>
              <w:t xml:space="preserve"> із цим, пропонуємо в тексті Порядку згадати, що термін «</w:t>
            </w:r>
            <w:proofErr w:type="spellStart"/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обʼєкт</w:t>
            </w:r>
            <w:proofErr w:type="spellEnd"/>
            <w:r w:rsidRPr="00C52DBF">
              <w:rPr>
                <w:rFonts w:ascii="Times New Roman" w:hAnsi="Times New Roman" w:cs="Times New Roman"/>
                <w:sz w:val="24"/>
                <w:szCs w:val="24"/>
              </w:rPr>
              <w:t xml:space="preserve">» вживається у значенні </w:t>
            </w:r>
            <w:r w:rsidRPr="00C52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наведеному в Законі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5" w:type="dxa"/>
          </w:tcPr>
          <w:p w14:paraId="45A6F3CF" w14:textId="77777777" w:rsidR="00BC3BD1" w:rsidRPr="00BC3BD1" w:rsidRDefault="00BC3BD1" w:rsidP="00B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BC3BD1">
              <w:rPr>
                <w:rFonts w:ascii="Times New Roman" w:hAnsi="Times New Roman" w:cs="Times New Roman"/>
                <w:sz w:val="24"/>
                <w:szCs w:val="24"/>
              </w:rPr>
              <w:tab/>
              <w:t>Терміни, що вживаються у цьому Порядку, мають таке значення:</w:t>
            </w:r>
          </w:p>
          <w:p w14:paraId="30E41CD3" w14:textId="77777777" w:rsidR="00BC3BD1" w:rsidRPr="00BC3BD1" w:rsidRDefault="00BC3BD1" w:rsidP="00B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C3BD1">
              <w:rPr>
                <w:rFonts w:ascii="Times New Roman" w:hAnsi="Times New Roman" w:cs="Times New Roman"/>
                <w:sz w:val="24"/>
                <w:szCs w:val="24"/>
              </w:rPr>
              <w:tab/>
              <w:t>об’єкт Реєстру – дані про викиди та перенесення забруднювачів і відходів, об’єкти та дифузні джерела, зазначені в частині сьомій статті 13 Закону;</w:t>
            </w:r>
          </w:p>
          <w:p w14:paraId="3A328F36" w14:textId="77777777" w:rsidR="00BC3BD1" w:rsidRPr="00BC3BD1" w:rsidRDefault="00BC3BD1" w:rsidP="00B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C3B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реєстраційний номер документа в Реєстрі – унікальне цифрове позначення, що автоматично присвоюється програмними засобами Реєстру документу під час його подання до Реєстру; </w:t>
            </w:r>
          </w:p>
          <w:p w14:paraId="40ACEC2D" w14:textId="77777777" w:rsidR="00BC3BD1" w:rsidRPr="00BC3BD1" w:rsidRDefault="00BC3BD1" w:rsidP="00B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C3BD1">
              <w:rPr>
                <w:rFonts w:ascii="Times New Roman" w:hAnsi="Times New Roman" w:cs="Times New Roman"/>
                <w:sz w:val="24"/>
                <w:szCs w:val="24"/>
              </w:rPr>
              <w:tab/>
              <w:t>реєстраційний номер об’єкта в Реєстрі – унікальне цифрове позначення, яке складається з цифр, що утворюють числа натурального ряду, що автоматично присвоюється програмними засобами Реєстру об’єкту під час його державної реєстрації у Реєстрі та є його ідентифікатором у Реєстрі.</w:t>
            </w:r>
          </w:p>
          <w:p w14:paraId="3426F7A8" w14:textId="3BE9FC72" w:rsidR="00141F16" w:rsidRPr="00AA450A" w:rsidRDefault="00BC3BD1" w:rsidP="00B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1">
              <w:rPr>
                <w:rFonts w:ascii="Times New Roman" w:hAnsi="Times New Roman" w:cs="Times New Roman"/>
                <w:sz w:val="24"/>
                <w:szCs w:val="24"/>
              </w:rPr>
              <w:t>Інші терміни у цьому Порядку вживаються у значенні, наведеному в Законах України "Про публічні електронні реєстри", "Про Національний реєстр викидів та перенесення забруднювачів", "Про управління відходами", Положенні про Єдину екологічну платформу "</w:t>
            </w:r>
            <w:proofErr w:type="spellStart"/>
            <w:r w:rsidRPr="00BC3BD1">
              <w:rPr>
                <w:rFonts w:ascii="Times New Roman" w:hAnsi="Times New Roman" w:cs="Times New Roman"/>
                <w:sz w:val="24"/>
                <w:szCs w:val="24"/>
              </w:rPr>
              <w:t>ЕкоСистема</w:t>
            </w:r>
            <w:proofErr w:type="spellEnd"/>
            <w:r w:rsidRPr="00BC3BD1">
              <w:rPr>
                <w:rFonts w:ascii="Times New Roman" w:hAnsi="Times New Roman" w:cs="Times New Roman"/>
                <w:sz w:val="24"/>
                <w:szCs w:val="24"/>
              </w:rPr>
              <w:t xml:space="preserve">" затвердженому постановою Кабінету </w:t>
            </w:r>
            <w:r w:rsidRPr="00BC3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Міністрів України від 11 жовтня 2021 року № 1065 (Офіційний вісник України, 2021 р., № 82, ст. 5264).</w:t>
            </w:r>
          </w:p>
        </w:tc>
        <w:tc>
          <w:tcPr>
            <w:tcW w:w="5400" w:type="dxa"/>
          </w:tcPr>
          <w:p w14:paraId="547934B4" w14:textId="55F888C7" w:rsidR="00BC3BD1" w:rsidRPr="00BC3BD1" w:rsidRDefault="00BC3BD1" w:rsidP="00BC3BD1">
            <w:pPr>
              <w:pStyle w:val="ac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</w:rPr>
            </w:pPr>
            <w:r w:rsidRPr="001C72F0">
              <w:rPr>
                <w:b/>
                <w:bCs/>
                <w:color w:val="000000"/>
              </w:rPr>
              <w:lastRenderedPageBreak/>
              <w:t xml:space="preserve">Враховано в </w:t>
            </w:r>
            <w:r w:rsidR="00141F16">
              <w:rPr>
                <w:b/>
                <w:bCs/>
                <w:color w:val="000000"/>
              </w:rPr>
              <w:t xml:space="preserve">такий </w:t>
            </w:r>
            <w:r w:rsidRPr="001C72F0">
              <w:rPr>
                <w:b/>
                <w:bCs/>
                <w:color w:val="000000"/>
              </w:rPr>
              <w:t>спосіб</w:t>
            </w:r>
          </w:p>
          <w:p w14:paraId="065259D3" w14:textId="77777777" w:rsidR="00BC3BD1" w:rsidRDefault="00BC3BD1" w:rsidP="00BC3BD1">
            <w:pPr>
              <w:pStyle w:val="ac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Визначення терміну «об</w:t>
            </w:r>
            <w:r w:rsidRPr="00141F16">
              <w:rPr>
                <w:color w:val="000000"/>
                <w:lang w:val="ru-RU"/>
              </w:rPr>
              <w:t>’</w:t>
            </w:r>
            <w:proofErr w:type="spellStart"/>
            <w:r>
              <w:rPr>
                <w:color w:val="000000"/>
              </w:rPr>
              <w:t>єкт</w:t>
            </w:r>
            <w:proofErr w:type="spellEnd"/>
            <w:r>
              <w:rPr>
                <w:color w:val="000000"/>
              </w:rPr>
              <w:t xml:space="preserve"> Реєстру» виключено. </w:t>
            </w:r>
          </w:p>
          <w:p w14:paraId="0C32EBB9" w14:textId="77777777" w:rsidR="00BC3BD1" w:rsidRDefault="00BC3BD1" w:rsidP="00BC3BD1">
            <w:pPr>
              <w:pStyle w:val="ac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перший пункту 19 викладено в такій редакції:</w:t>
            </w:r>
          </w:p>
          <w:p w14:paraId="275B8F4C" w14:textId="39C412FA" w:rsidR="00BC3BD1" w:rsidRPr="00BC3BD1" w:rsidRDefault="00BC3BD1" w:rsidP="00BC3BD1">
            <w:pPr>
              <w:pStyle w:val="ac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C3BD1">
              <w:rPr>
                <w:color w:val="000000"/>
              </w:rPr>
              <w:t>19.</w:t>
            </w:r>
            <w:r w:rsidRPr="00BC3BD1">
              <w:rPr>
                <w:color w:val="000000"/>
              </w:rPr>
              <w:tab/>
              <w:t xml:space="preserve">Для забезпечення уніфікованої ідентифікації </w:t>
            </w:r>
            <w:r w:rsidRPr="00BC3BD1">
              <w:rPr>
                <w:strike/>
                <w:color w:val="000000"/>
              </w:rPr>
              <w:t>об’єктів</w:t>
            </w:r>
            <w:r>
              <w:rPr>
                <w:strike/>
                <w:color w:val="000000"/>
              </w:rPr>
              <w:t xml:space="preserve"> </w:t>
            </w:r>
            <w:r>
              <w:rPr>
                <w:color w:val="000000"/>
              </w:rPr>
              <w:t>даних (інформації)</w:t>
            </w:r>
            <w:r w:rsidRPr="00BC3BD1">
              <w:rPr>
                <w:color w:val="000000"/>
              </w:rPr>
              <w:t xml:space="preserve"> Реєстру та </w:t>
            </w:r>
            <w:proofErr w:type="spellStart"/>
            <w:r w:rsidRPr="00BC3BD1">
              <w:rPr>
                <w:color w:val="000000"/>
              </w:rPr>
              <w:t>інтероперабельності</w:t>
            </w:r>
            <w:proofErr w:type="spellEnd"/>
            <w:r w:rsidRPr="00BC3BD1">
              <w:rPr>
                <w:color w:val="000000"/>
              </w:rPr>
              <w:t xml:space="preserve"> реєстрових даних при їх створенні та здійсненні відповідних реєстраційних дій обов’язковим є використання таких класифікаторів, довідників, технічних специфікацій тощо</w:t>
            </w:r>
            <w:r>
              <w:rPr>
                <w:color w:val="000000"/>
              </w:rPr>
              <w:t>…</w:t>
            </w:r>
          </w:p>
        </w:tc>
      </w:tr>
      <w:tr w:rsidR="00181B7D" w:rsidRPr="00AA450A" w14:paraId="7870F7E8" w14:textId="77777777" w:rsidTr="003B633A">
        <w:tc>
          <w:tcPr>
            <w:tcW w:w="615" w:type="dxa"/>
          </w:tcPr>
          <w:p w14:paraId="63D6EE4D" w14:textId="29AE5AC0" w:rsidR="00181B7D" w:rsidRPr="00AA450A" w:rsidRDefault="006E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38" w:type="dxa"/>
          </w:tcPr>
          <w:p w14:paraId="4780FB87" w14:textId="27BE217D" w:rsidR="00181B7D" w:rsidRPr="007A4827" w:rsidRDefault="00C52DBF" w:rsidP="00C52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BF35C4" w:rsidRPr="00BF35C4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="00BF35C4" w:rsidRPr="00BF35C4">
              <w:rPr>
                <w:rFonts w:ascii="Times New Roman" w:hAnsi="Times New Roman" w:cs="Times New Roman"/>
                <w:sz w:val="24"/>
                <w:szCs w:val="24"/>
              </w:rPr>
              <w:t>. 3 п. 4 проєкту Порядку назви органів державної влади зазначено одразу у їх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5C4" w:rsidRPr="00BF35C4">
              <w:rPr>
                <w:rFonts w:ascii="Times New Roman" w:hAnsi="Times New Roman" w:cs="Times New Roman"/>
                <w:sz w:val="24"/>
                <w:szCs w:val="24"/>
              </w:rPr>
              <w:t>скороченій версії, що видається не зовсім коректним з точки зору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35C4" w:rsidRPr="00BF35C4">
              <w:rPr>
                <w:rFonts w:ascii="Times New Roman" w:hAnsi="Times New Roman" w:cs="Times New Roman"/>
                <w:sz w:val="24"/>
                <w:szCs w:val="24"/>
              </w:rPr>
              <w:t>проектувальної техніки, пропонуємо спершу вказувати повну назву органів.</w:t>
            </w:r>
          </w:p>
        </w:tc>
        <w:tc>
          <w:tcPr>
            <w:tcW w:w="4745" w:type="dxa"/>
          </w:tcPr>
          <w:p w14:paraId="4F3AC4F5" w14:textId="4F18DB8D" w:rsidR="00BC3BD1" w:rsidRDefault="00BC3BD1" w:rsidP="0072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3 пункту 4</w:t>
            </w:r>
          </w:p>
          <w:p w14:paraId="3A3E580A" w14:textId="65177044" w:rsidR="00181B7D" w:rsidRPr="00AA450A" w:rsidRDefault="00181B7D" w:rsidP="0072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D">
              <w:rPr>
                <w:rFonts w:ascii="Times New Roman" w:hAnsi="Times New Roman" w:cs="Times New Roman"/>
                <w:sz w:val="24"/>
                <w:szCs w:val="24"/>
              </w:rPr>
              <w:t xml:space="preserve">Залученими органами Реєстру є МВС, </w:t>
            </w:r>
            <w:proofErr w:type="spellStart"/>
            <w:r w:rsidRPr="00181B7D">
              <w:rPr>
                <w:rFonts w:ascii="Times New Roman" w:hAnsi="Times New Roman" w:cs="Times New Roman"/>
                <w:sz w:val="24"/>
                <w:szCs w:val="24"/>
              </w:rPr>
              <w:t>Мінінфраструктури</w:t>
            </w:r>
            <w:proofErr w:type="spellEnd"/>
            <w:r w:rsidRPr="00181B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B7D">
              <w:rPr>
                <w:rFonts w:ascii="Times New Roman" w:hAnsi="Times New Roman" w:cs="Times New Roman"/>
                <w:sz w:val="24"/>
                <w:szCs w:val="24"/>
              </w:rPr>
              <w:t>Державіаслужба</w:t>
            </w:r>
            <w:proofErr w:type="spellEnd"/>
            <w:r w:rsidRPr="00181B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B7D">
              <w:rPr>
                <w:rFonts w:ascii="Times New Roman" w:hAnsi="Times New Roman" w:cs="Times New Roman"/>
                <w:sz w:val="24"/>
                <w:szCs w:val="24"/>
              </w:rPr>
              <w:t>Держпродспоживслужба</w:t>
            </w:r>
            <w:proofErr w:type="spellEnd"/>
            <w:r w:rsidRPr="00181B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B7D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181B7D">
              <w:rPr>
                <w:rFonts w:ascii="Times New Roman" w:hAnsi="Times New Roman" w:cs="Times New Roman"/>
                <w:sz w:val="24"/>
                <w:szCs w:val="24"/>
              </w:rPr>
              <w:t>, Мінагрополітики, Міненерго.</w:t>
            </w:r>
          </w:p>
        </w:tc>
        <w:tc>
          <w:tcPr>
            <w:tcW w:w="5400" w:type="dxa"/>
          </w:tcPr>
          <w:p w14:paraId="3D8B77C4" w14:textId="76185E0C" w:rsidR="00181B7D" w:rsidRPr="00181B7D" w:rsidRDefault="00BC3BD1" w:rsidP="00181B7D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Відхилено</w:t>
            </w:r>
            <w:proofErr w:type="spellEnd"/>
          </w:p>
          <w:p w14:paraId="04C443FD" w14:textId="7007D17F" w:rsidR="00181B7D" w:rsidRPr="00FD1EEE" w:rsidRDefault="00181B7D" w:rsidP="00181B7D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Відповідно до підпункту 3 пункту 20 </w:t>
            </w:r>
            <w:r w:rsidRPr="00181B7D">
              <w:rPr>
                <w:color w:val="000000"/>
              </w:rPr>
              <w:t>Правил   підготовки   проектів   актів   Кабінету</w:t>
            </w:r>
            <w:r>
              <w:rPr>
                <w:color w:val="000000"/>
              </w:rPr>
              <w:t xml:space="preserve"> </w:t>
            </w:r>
            <w:r w:rsidRPr="00181B7D">
              <w:rPr>
                <w:color w:val="000000"/>
              </w:rPr>
              <w:t>Міністрів України</w:t>
            </w:r>
            <w:r>
              <w:rPr>
                <w:color w:val="000000"/>
              </w:rPr>
              <w:t xml:space="preserve">, затверджених </w:t>
            </w:r>
            <w:r w:rsidRPr="00181B7D">
              <w:rPr>
                <w:color w:val="000000"/>
              </w:rPr>
              <w:t xml:space="preserve">постановою Кабінету Міністрів України </w:t>
            </w:r>
            <w:r>
              <w:rPr>
                <w:color w:val="000000"/>
              </w:rPr>
              <w:t>в</w:t>
            </w:r>
            <w:r w:rsidRPr="00181B7D">
              <w:rPr>
                <w:color w:val="000000"/>
              </w:rPr>
              <w:t xml:space="preserve">ід 6 вересня 2005 р. </w:t>
            </w:r>
            <w:r>
              <w:rPr>
                <w:color w:val="000000"/>
              </w:rPr>
              <w:t>№ </w:t>
            </w:r>
            <w:r w:rsidRPr="00181B7D">
              <w:rPr>
                <w:color w:val="000000"/>
              </w:rPr>
              <w:t>870</w:t>
            </w:r>
            <w:r>
              <w:rPr>
                <w:color w:val="000000"/>
              </w:rPr>
              <w:t xml:space="preserve">, </w:t>
            </w:r>
            <w:r w:rsidRPr="00181B7D">
              <w:rPr>
                <w:color w:val="000000"/>
              </w:rPr>
              <w:t xml:space="preserve">у  тексті проектів постанови і розпорядження вживаються повні </w:t>
            </w:r>
            <w:r w:rsidRPr="00181B7D">
              <w:rPr>
                <w:color w:val="000000"/>
              </w:rPr>
              <w:br/>
              <w:t xml:space="preserve">офіційні  найменування  органів  державної  влади, інших державних </w:t>
            </w:r>
            <w:r w:rsidRPr="00181B7D">
              <w:rPr>
                <w:color w:val="000000"/>
              </w:rPr>
              <w:br/>
              <w:t xml:space="preserve">органів,   підприємств,   установ   та  організацій,  а  </w:t>
            </w:r>
            <w:r w:rsidR="008005A4">
              <w:rPr>
                <w:i/>
                <w:iCs/>
                <w:color w:val="000000"/>
              </w:rPr>
              <w:t xml:space="preserve">в  тексті </w:t>
            </w:r>
            <w:r w:rsidRPr="00181B7D">
              <w:rPr>
                <w:i/>
                <w:iCs/>
                <w:color w:val="000000"/>
              </w:rPr>
              <w:t xml:space="preserve">документів,  що  затверджуються  постановами і розпорядженнями, та </w:t>
            </w:r>
            <w:r w:rsidRPr="00181B7D">
              <w:rPr>
                <w:i/>
                <w:iCs/>
                <w:color w:val="000000"/>
              </w:rPr>
              <w:br/>
              <w:t xml:space="preserve">додатків  </w:t>
            </w:r>
            <w:r w:rsidRPr="00181B7D">
              <w:rPr>
                <w:i/>
                <w:iCs/>
              </w:rPr>
              <w:t xml:space="preserve">- </w:t>
            </w:r>
            <w:bookmarkStart w:id="1" w:name="w1_1"/>
            <w:r w:rsidRPr="00181B7D">
              <w:rPr>
                <w:i/>
                <w:iCs/>
              </w:rPr>
              <w:fldChar w:fldCharType="begin"/>
            </w:r>
            <w:r w:rsidRPr="00181B7D">
              <w:rPr>
                <w:i/>
                <w:iCs/>
              </w:rPr>
              <w:instrText xml:space="preserve"> HYPERLINK "https://zakon.rada.gov.ua/laws/show/870-2005-%D0%BF?find=1&amp;text=%D1%81%D0%BA%D0%BE%D1%80%D0%BE%D1%87" \l "w1_2" </w:instrText>
            </w:r>
            <w:r w:rsidRPr="00181B7D">
              <w:rPr>
                <w:i/>
                <w:iCs/>
              </w:rPr>
              <w:fldChar w:fldCharType="separate"/>
            </w:r>
            <w:r w:rsidRPr="00181B7D">
              <w:rPr>
                <w:rStyle w:val="a5"/>
                <w:i/>
                <w:iCs/>
                <w:color w:val="auto"/>
                <w:u w:val="none"/>
              </w:rPr>
              <w:t>скороч</w:t>
            </w:r>
            <w:r w:rsidRPr="00181B7D">
              <w:rPr>
                <w:i/>
                <w:iCs/>
              </w:rPr>
              <w:fldChar w:fldCharType="end"/>
            </w:r>
            <w:bookmarkEnd w:id="1"/>
            <w:r w:rsidRPr="00181B7D">
              <w:rPr>
                <w:i/>
                <w:iCs/>
              </w:rPr>
              <w:t>ені</w:t>
            </w:r>
            <w:r w:rsidRPr="00181B7D">
              <w:rPr>
                <w:color w:val="000000"/>
              </w:rPr>
              <w:t>. Слово "Україн</w:t>
            </w:r>
            <w:r w:rsidR="008005A4">
              <w:rPr>
                <w:color w:val="000000"/>
              </w:rPr>
              <w:t xml:space="preserve">и" у найменуваннях центральних </w:t>
            </w:r>
            <w:r w:rsidRPr="00181B7D">
              <w:rPr>
                <w:color w:val="000000"/>
              </w:rPr>
              <w:t>органів виконавчої влади не зазначається</w:t>
            </w:r>
            <w:r>
              <w:rPr>
                <w:color w:val="000000"/>
              </w:rPr>
              <w:t>.</w:t>
            </w:r>
          </w:p>
        </w:tc>
      </w:tr>
      <w:tr w:rsidR="00181B7D" w:rsidRPr="00AA450A" w14:paraId="444BA848" w14:textId="77777777" w:rsidTr="003B633A">
        <w:tc>
          <w:tcPr>
            <w:tcW w:w="615" w:type="dxa"/>
          </w:tcPr>
          <w:p w14:paraId="5DC38176" w14:textId="62D1E8E6" w:rsidR="00181B7D" w:rsidRPr="00AA450A" w:rsidRDefault="006E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38" w:type="dxa"/>
          </w:tcPr>
          <w:p w14:paraId="31DF0188" w14:textId="77777777" w:rsidR="00181B7D" w:rsidRPr="00181B7D" w:rsidRDefault="00181B7D" w:rsidP="0018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D">
              <w:rPr>
                <w:rFonts w:ascii="Times New Roman" w:hAnsi="Times New Roman" w:cs="Times New Roman"/>
                <w:sz w:val="24"/>
                <w:szCs w:val="24"/>
              </w:rPr>
              <w:t xml:space="preserve">Згідно із п. 4 ч. 1 ст. 9 Закону, одним із суб’єктів правовідносин у сфері реєстрації </w:t>
            </w:r>
          </w:p>
          <w:p w14:paraId="304A748B" w14:textId="555CA20F" w:rsidR="00181B7D" w:rsidRPr="007A4827" w:rsidRDefault="00181B7D" w:rsidP="0018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D">
              <w:rPr>
                <w:rFonts w:ascii="Times New Roman" w:hAnsi="Times New Roman" w:cs="Times New Roman"/>
                <w:sz w:val="24"/>
                <w:szCs w:val="24"/>
              </w:rPr>
              <w:t xml:space="preserve">викидів та перенесення забруднювачів і відходів є громадськість. Втім, місце і можливості такого </w:t>
            </w:r>
            <w:proofErr w:type="spellStart"/>
            <w:r w:rsidRPr="00181B7D">
              <w:rPr>
                <w:rFonts w:ascii="Times New Roman" w:hAnsi="Times New Roman" w:cs="Times New Roman"/>
                <w:sz w:val="24"/>
                <w:szCs w:val="24"/>
              </w:rPr>
              <w:t>субʼєкта</w:t>
            </w:r>
            <w:proofErr w:type="spellEnd"/>
            <w:r w:rsidRPr="00181B7D">
              <w:rPr>
                <w:rFonts w:ascii="Times New Roman" w:hAnsi="Times New Roman" w:cs="Times New Roman"/>
                <w:sz w:val="24"/>
                <w:szCs w:val="24"/>
              </w:rPr>
              <w:t xml:space="preserve">, які мали б забезпечуватись веденням Реєстру – цілковито упущені у </w:t>
            </w:r>
            <w:proofErr w:type="spellStart"/>
            <w:r w:rsidRPr="00181B7D">
              <w:rPr>
                <w:rFonts w:ascii="Times New Roman" w:hAnsi="Times New Roman" w:cs="Times New Roman"/>
                <w:sz w:val="24"/>
                <w:szCs w:val="24"/>
              </w:rPr>
              <w:t>проєкті</w:t>
            </w:r>
            <w:proofErr w:type="spellEnd"/>
            <w:r w:rsidRPr="00181B7D">
              <w:rPr>
                <w:rFonts w:ascii="Times New Roman" w:hAnsi="Times New Roman" w:cs="Times New Roman"/>
                <w:sz w:val="24"/>
                <w:szCs w:val="24"/>
              </w:rPr>
              <w:t xml:space="preserve"> Порядку. Відповідно до ст. 14 Закону під назвою «Ведення Реєстру», серед іншого, Реєстр надає послуги з надання доступу громадськості та інших користувачів Реєстру до інформації про викиди та перенесення забруднювачів і відходів. Втім, частина функцій Реєстру, </w:t>
            </w:r>
            <w:proofErr w:type="spellStart"/>
            <w:r w:rsidRPr="00181B7D">
              <w:rPr>
                <w:rFonts w:ascii="Times New Roman" w:hAnsi="Times New Roman" w:cs="Times New Roman"/>
                <w:sz w:val="24"/>
                <w:szCs w:val="24"/>
              </w:rPr>
              <w:t>повʼязана</w:t>
            </w:r>
            <w:proofErr w:type="spellEnd"/>
            <w:r w:rsidRPr="00181B7D"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r w:rsidRPr="00181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неавторизованим доступом до інформації, що у ньому міститься – відсутня у </w:t>
            </w:r>
            <w:proofErr w:type="spellStart"/>
            <w:r w:rsidRPr="00181B7D">
              <w:rPr>
                <w:rFonts w:ascii="Times New Roman" w:hAnsi="Times New Roman" w:cs="Times New Roman"/>
                <w:sz w:val="24"/>
                <w:szCs w:val="24"/>
              </w:rPr>
              <w:t>проєкті</w:t>
            </w:r>
            <w:proofErr w:type="spellEnd"/>
            <w:r w:rsidRPr="00181B7D">
              <w:rPr>
                <w:rFonts w:ascii="Times New Roman" w:hAnsi="Times New Roman" w:cs="Times New Roman"/>
                <w:sz w:val="24"/>
                <w:szCs w:val="24"/>
              </w:rPr>
              <w:t xml:space="preserve"> Порядку. На підставі зазначеного пропонуємо включити до тексту Порядку положення про місце громадськості та її права, шляхи їх забезпечення в ході ведення Реєстру. Також, пропонуємо додати до тексту Порядку регулювання неавторизованого доступу до інформації, що міститься у Реєстрі.</w:t>
            </w:r>
          </w:p>
        </w:tc>
        <w:tc>
          <w:tcPr>
            <w:tcW w:w="4745" w:type="dxa"/>
          </w:tcPr>
          <w:p w14:paraId="3365C8D2" w14:textId="511E5A4B" w:rsidR="001C72F0" w:rsidRPr="00AA450A" w:rsidRDefault="001C72F0" w:rsidP="00656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1320E7A" w14:textId="77777777" w:rsidR="00656F79" w:rsidRPr="00181B7D" w:rsidRDefault="00656F79" w:rsidP="00656F79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Враховано</w:t>
            </w:r>
          </w:p>
          <w:p w14:paraId="2A0A5CDD" w14:textId="6A4F28A2" w:rsidR="006E2363" w:rsidRDefault="002D379B" w:rsidP="006E2363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 Порядку доповнено новим пунктом 7</w:t>
            </w:r>
            <w:r w:rsidR="00656F79">
              <w:rPr>
                <w:color w:val="000000"/>
              </w:rPr>
              <w:t>:</w:t>
            </w:r>
          </w:p>
          <w:p w14:paraId="16449819" w14:textId="6C97A3E7" w:rsidR="00656F79" w:rsidRPr="001C72F0" w:rsidRDefault="00656F79" w:rsidP="00656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379B" w:rsidRPr="002D37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D379B" w:rsidRPr="002D37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2D379B" w:rsidRPr="002D379B">
              <w:rPr>
                <w:rFonts w:ascii="Times New Roman" w:hAnsi="Times New Roman" w:cs="Times New Roman"/>
                <w:sz w:val="24"/>
                <w:szCs w:val="24"/>
              </w:rPr>
              <w:t>Міндовкілля</w:t>
            </w:r>
            <w:proofErr w:type="spellEnd"/>
            <w:r w:rsidR="002D379B" w:rsidRPr="002D379B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забезпечує необмежений у часі та неавторизований доступ громадськості до даних, що містяться в Реєстрі, та їх використання відповідно до </w:t>
            </w:r>
            <w:proofErr w:type="spellStart"/>
            <w:r w:rsidR="002D379B" w:rsidRPr="002D379B">
              <w:rPr>
                <w:rFonts w:ascii="Times New Roman" w:hAnsi="Times New Roman" w:cs="Times New Roman"/>
                <w:sz w:val="24"/>
                <w:szCs w:val="24"/>
              </w:rPr>
              <w:t>статтей</w:t>
            </w:r>
            <w:proofErr w:type="spellEnd"/>
            <w:r w:rsidR="002D379B" w:rsidRPr="002D379B">
              <w:rPr>
                <w:rFonts w:ascii="Times New Roman" w:hAnsi="Times New Roman" w:cs="Times New Roman"/>
                <w:sz w:val="24"/>
                <w:szCs w:val="24"/>
              </w:rPr>
              <w:t xml:space="preserve"> 12, 14 Закону</w:t>
            </w:r>
            <w:r w:rsidR="002D379B">
              <w:rPr>
                <w:rFonts w:ascii="Times New Roman" w:hAnsi="Times New Roman" w:cs="Times New Roman"/>
                <w:sz w:val="24"/>
                <w:szCs w:val="24"/>
              </w:rPr>
              <w:t xml:space="preserve"> за допомогою</w:t>
            </w:r>
            <w:r w:rsidR="002D379B" w:rsidRPr="002D37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програмни</w:t>
            </w:r>
            <w:r w:rsidR="002D37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D379B" w:rsidRPr="002D379B">
              <w:rPr>
                <w:rFonts w:ascii="Times New Roman" w:hAnsi="Times New Roman" w:cs="Times New Roman"/>
                <w:sz w:val="24"/>
                <w:szCs w:val="24"/>
              </w:rPr>
              <w:t xml:space="preserve"> засоб</w:t>
            </w:r>
            <w:r w:rsidR="002D379B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2D379B" w:rsidRPr="002D379B">
              <w:rPr>
                <w:rFonts w:ascii="Times New Roman" w:hAnsi="Times New Roman" w:cs="Times New Roman"/>
                <w:sz w:val="24"/>
                <w:szCs w:val="24"/>
              </w:rPr>
              <w:t xml:space="preserve"> Реєстру </w:t>
            </w:r>
            <w:r w:rsidR="006900A3" w:rsidRPr="006900A3">
              <w:rPr>
                <w:rFonts w:ascii="Times New Roman" w:hAnsi="Times New Roman" w:cs="Times New Roman"/>
                <w:sz w:val="24"/>
                <w:szCs w:val="24"/>
              </w:rPr>
              <w:t xml:space="preserve">без застосування електронного кабінету користувача Екосистеми </w:t>
            </w:r>
            <w:r w:rsidR="002D379B" w:rsidRPr="002D379B">
              <w:rPr>
                <w:rFonts w:ascii="Times New Roman" w:hAnsi="Times New Roman" w:cs="Times New Roman"/>
                <w:sz w:val="24"/>
                <w:szCs w:val="24"/>
              </w:rPr>
              <w:t xml:space="preserve">та в приміщеннях </w:t>
            </w:r>
            <w:proofErr w:type="spellStart"/>
            <w:r w:rsidR="002D379B" w:rsidRPr="002D379B">
              <w:rPr>
                <w:rFonts w:ascii="Times New Roman" w:hAnsi="Times New Roman" w:cs="Times New Roman"/>
                <w:sz w:val="24"/>
                <w:szCs w:val="24"/>
              </w:rPr>
              <w:t>Міндовкілля</w:t>
            </w:r>
            <w:proofErr w:type="spellEnd"/>
            <w:r w:rsidR="002D379B" w:rsidRPr="002D379B">
              <w:rPr>
                <w:rFonts w:ascii="Times New Roman" w:hAnsi="Times New Roman" w:cs="Times New Roman"/>
                <w:sz w:val="24"/>
                <w:szCs w:val="24"/>
              </w:rPr>
              <w:t xml:space="preserve"> з можливістю перегляду, копіювання та збереження таких даних</w:t>
            </w:r>
            <w:r w:rsidRPr="001C7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D5EF56" w14:textId="10B5D072" w:rsidR="00656F79" w:rsidRPr="00FD1EEE" w:rsidRDefault="00656F79" w:rsidP="006E2363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81B7D" w:rsidRPr="00AA450A" w14:paraId="108A247E" w14:textId="77777777" w:rsidTr="003B633A">
        <w:tc>
          <w:tcPr>
            <w:tcW w:w="615" w:type="dxa"/>
          </w:tcPr>
          <w:p w14:paraId="316C2F3A" w14:textId="3F6A1E9D" w:rsidR="00181B7D" w:rsidRPr="00AA450A" w:rsidRDefault="006E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38" w:type="dxa"/>
          </w:tcPr>
          <w:p w14:paraId="1E5C9C30" w14:textId="13C7C7AF" w:rsidR="00181B7D" w:rsidRPr="007A4827" w:rsidRDefault="003F2C7D" w:rsidP="003F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2363" w:rsidRPr="006E2363">
              <w:rPr>
                <w:rFonts w:ascii="Times New Roman" w:hAnsi="Times New Roman" w:cs="Times New Roman"/>
                <w:sz w:val="24"/>
                <w:szCs w:val="24"/>
              </w:rPr>
              <w:t xml:space="preserve">акож, проєкт Порядку не передбачає, яким чином в ході ведення Реєстру може бути забезпечено практичну реалізацію права громадськості, гарантованого п. 2 ч. 1 ст. 12 Закону, на використання даних, що містяться в Реєстрі, звітах операторів, довідках про дифузні джерела, опублікованих на офіційних веб-сайтах, для моделювання та інших досліджень стану довкілля, динаміки його змін, джерел викидів та перенесення забруднювачів і відходів та характеру впливу екологічних факторів на здоров’я людей, а також для інших цілей. Як і не передбачено, яким чином Уповноважений орган має виконати свій </w:t>
            </w:r>
            <w:proofErr w:type="spellStart"/>
            <w:r w:rsidR="006E2363" w:rsidRPr="006E2363">
              <w:rPr>
                <w:rFonts w:ascii="Times New Roman" w:hAnsi="Times New Roman" w:cs="Times New Roman"/>
                <w:sz w:val="24"/>
                <w:szCs w:val="24"/>
              </w:rPr>
              <w:t>обовʼязок</w:t>
            </w:r>
            <w:proofErr w:type="spellEnd"/>
            <w:r w:rsidR="006E2363" w:rsidRPr="006E2363">
              <w:rPr>
                <w:rFonts w:ascii="Times New Roman" w:hAnsi="Times New Roman" w:cs="Times New Roman"/>
                <w:sz w:val="24"/>
                <w:szCs w:val="24"/>
              </w:rPr>
              <w:t xml:space="preserve"> із забезпечення безоплатного загального доступу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363" w:rsidRPr="006E2363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громадськості та інших користувачів Реєстру до даних про викиди та перенесення забруднювачів і відходів, крім інформації з обмеженим доступом, на Єдиному державному веб-порталі </w:t>
            </w:r>
            <w:r w:rsidR="006E2363" w:rsidRPr="006E2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відкритих даних та на своєму офіційному веб-сайті, у тому числі можливість перегляду, копіювання та збереження даних, а також регулярне опублікування даних Реєстру у формі відкритих даних - набору даних (електронного документа) у форматі, що дає змогу здійснювати автоматизовану обробку електронними засобами даних Реєстру з метою їх повторного використання (абз.2 ч. 11 ст. 14 Закону). У </w:t>
            </w:r>
            <w:proofErr w:type="spellStart"/>
            <w:r w:rsidR="006E2363" w:rsidRPr="006E2363">
              <w:rPr>
                <w:rFonts w:ascii="Times New Roman" w:hAnsi="Times New Roman" w:cs="Times New Roman"/>
                <w:sz w:val="24"/>
                <w:szCs w:val="24"/>
              </w:rPr>
              <w:t>звʼязку</w:t>
            </w:r>
            <w:proofErr w:type="spellEnd"/>
            <w:r w:rsidR="006E2363" w:rsidRPr="006E2363">
              <w:rPr>
                <w:rFonts w:ascii="Times New Roman" w:hAnsi="Times New Roman" w:cs="Times New Roman"/>
                <w:sz w:val="24"/>
                <w:szCs w:val="24"/>
              </w:rPr>
              <w:t xml:space="preserve"> із зазначеним пропонуємо включити до Порядку положення, що усуватимуть зазначені прогалини.</w:t>
            </w:r>
          </w:p>
        </w:tc>
        <w:tc>
          <w:tcPr>
            <w:tcW w:w="4745" w:type="dxa"/>
          </w:tcPr>
          <w:p w14:paraId="61E0A84A" w14:textId="0CE45BE7" w:rsidR="00181B7D" w:rsidRPr="00AA450A" w:rsidRDefault="00181B7D" w:rsidP="0072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5ECA3B2A" w14:textId="77777777" w:rsidR="00656F79" w:rsidRPr="00181B7D" w:rsidRDefault="00656F79" w:rsidP="00656F79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Враховано</w:t>
            </w:r>
          </w:p>
          <w:p w14:paraId="5DBADA6C" w14:textId="77777777" w:rsidR="002D379B" w:rsidRDefault="002D379B" w:rsidP="002D379B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 Порядку доповнено новим пунктом 7:</w:t>
            </w:r>
          </w:p>
          <w:p w14:paraId="645A4A82" w14:textId="11918E74" w:rsidR="002D379B" w:rsidRPr="001C72F0" w:rsidRDefault="002D379B" w:rsidP="002D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37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D37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D379B">
              <w:rPr>
                <w:rFonts w:ascii="Times New Roman" w:hAnsi="Times New Roman" w:cs="Times New Roman"/>
                <w:sz w:val="24"/>
                <w:szCs w:val="24"/>
              </w:rPr>
              <w:t>Міндовкілля</w:t>
            </w:r>
            <w:proofErr w:type="spellEnd"/>
            <w:r w:rsidRPr="002D379B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забезпечує необмежений у часі та неавторизований доступ громадськості до даних, що містяться в Реєстрі, та їх використання відповідно до </w:t>
            </w:r>
            <w:proofErr w:type="spellStart"/>
            <w:r w:rsidRPr="002D379B">
              <w:rPr>
                <w:rFonts w:ascii="Times New Roman" w:hAnsi="Times New Roman" w:cs="Times New Roman"/>
                <w:sz w:val="24"/>
                <w:szCs w:val="24"/>
              </w:rPr>
              <w:t>статтей</w:t>
            </w:r>
            <w:proofErr w:type="spellEnd"/>
            <w:r w:rsidRPr="002D379B">
              <w:rPr>
                <w:rFonts w:ascii="Times New Roman" w:hAnsi="Times New Roman" w:cs="Times New Roman"/>
                <w:sz w:val="24"/>
                <w:szCs w:val="24"/>
              </w:rPr>
              <w:t xml:space="preserve"> 12, 14 Закону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допомогою</w:t>
            </w:r>
            <w:r w:rsidRPr="002D37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379B">
              <w:rPr>
                <w:rFonts w:ascii="Times New Roman" w:hAnsi="Times New Roman" w:cs="Times New Roman"/>
                <w:sz w:val="24"/>
                <w:szCs w:val="24"/>
              </w:rPr>
              <w:t xml:space="preserve"> засоб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2D379B">
              <w:rPr>
                <w:rFonts w:ascii="Times New Roman" w:hAnsi="Times New Roman" w:cs="Times New Roman"/>
                <w:sz w:val="24"/>
                <w:szCs w:val="24"/>
              </w:rPr>
              <w:t xml:space="preserve"> Реєстру </w:t>
            </w:r>
            <w:r w:rsidR="00445AFF" w:rsidRPr="00445AFF">
              <w:rPr>
                <w:rFonts w:ascii="Times New Roman" w:hAnsi="Times New Roman" w:cs="Times New Roman"/>
                <w:sz w:val="24"/>
                <w:szCs w:val="24"/>
              </w:rPr>
              <w:t xml:space="preserve">без застосування електронного кабінету користувача Екосистеми </w:t>
            </w:r>
            <w:r w:rsidRPr="002D379B">
              <w:rPr>
                <w:rFonts w:ascii="Times New Roman" w:hAnsi="Times New Roman" w:cs="Times New Roman"/>
                <w:sz w:val="24"/>
                <w:szCs w:val="24"/>
              </w:rPr>
              <w:t xml:space="preserve">та в приміщеннях </w:t>
            </w:r>
            <w:proofErr w:type="spellStart"/>
            <w:r w:rsidRPr="002D379B">
              <w:rPr>
                <w:rFonts w:ascii="Times New Roman" w:hAnsi="Times New Roman" w:cs="Times New Roman"/>
                <w:sz w:val="24"/>
                <w:szCs w:val="24"/>
              </w:rPr>
              <w:t>Міндовкілля</w:t>
            </w:r>
            <w:proofErr w:type="spellEnd"/>
            <w:r w:rsidRPr="002D379B">
              <w:rPr>
                <w:rFonts w:ascii="Times New Roman" w:hAnsi="Times New Roman" w:cs="Times New Roman"/>
                <w:sz w:val="24"/>
                <w:szCs w:val="24"/>
              </w:rPr>
              <w:t xml:space="preserve"> з можливістю перегляду, копіювання та збереження таких даних</w:t>
            </w:r>
            <w:r w:rsidRPr="001C7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A50A56" w14:textId="3E6C60CC" w:rsidR="00E10BDD" w:rsidRPr="00FD1EEE" w:rsidRDefault="00E10BDD" w:rsidP="00E10BDD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10BDD" w:rsidRPr="00AA450A" w14:paraId="5A5547E5" w14:textId="77777777" w:rsidTr="003B633A">
        <w:tc>
          <w:tcPr>
            <w:tcW w:w="615" w:type="dxa"/>
          </w:tcPr>
          <w:p w14:paraId="3E2F5EEC" w14:textId="3E962DC0" w:rsidR="00E10BDD" w:rsidRDefault="00E1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38" w:type="dxa"/>
          </w:tcPr>
          <w:p w14:paraId="08FE5C5D" w14:textId="654EA176" w:rsidR="00E10BDD" w:rsidRPr="00E10BDD" w:rsidRDefault="00E10BDD" w:rsidP="00E10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DD">
              <w:rPr>
                <w:rFonts w:ascii="Times New Roman" w:hAnsi="Times New Roman" w:cs="Times New Roman"/>
                <w:sz w:val="24"/>
                <w:szCs w:val="24"/>
              </w:rPr>
              <w:t>Відповідно до ч. 7 ст. 14 Закону, Реєстр має забезпечувати зберігання всіх даних, зібраних щонайменше за останні 10 звітних років. Текст проєкту Порядку не містить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5963A5" w14:textId="1495155F" w:rsidR="00E10BDD" w:rsidRDefault="00E10BDD" w:rsidP="00E10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DD">
              <w:rPr>
                <w:rFonts w:ascii="Times New Roman" w:hAnsi="Times New Roman" w:cs="Times New Roman"/>
                <w:sz w:val="24"/>
                <w:szCs w:val="24"/>
              </w:rPr>
              <w:t>алгоритму, який забезпечував би збереження всіх даних у строки, визначені Законом, а тому, в цій частині Порядок має бути допрацьовано та доповнено.</w:t>
            </w:r>
          </w:p>
        </w:tc>
        <w:tc>
          <w:tcPr>
            <w:tcW w:w="4745" w:type="dxa"/>
          </w:tcPr>
          <w:p w14:paraId="6332BB3D" w14:textId="77777777" w:rsidR="00656F79" w:rsidRPr="001C72F0" w:rsidRDefault="00656F79" w:rsidP="00656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1C72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Програмне забезпечення Реєстру забезпечує розподільне зберігання даних (інформації), метаданих документів та відомостей, що внесені до Реєстру, з метою підтвердження їх походження, цілісності та достовірності. </w:t>
            </w:r>
          </w:p>
          <w:p w14:paraId="1250779A" w14:textId="32899555" w:rsidR="00E10BDD" w:rsidRPr="00AA450A" w:rsidRDefault="00E10BDD" w:rsidP="0072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A6FF35F" w14:textId="77777777" w:rsidR="00656F79" w:rsidRPr="00656F79" w:rsidRDefault="00656F79" w:rsidP="00656F79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656F79">
              <w:rPr>
                <w:b/>
                <w:bCs/>
                <w:color w:val="000000"/>
              </w:rPr>
              <w:t>Враховано</w:t>
            </w:r>
          </w:p>
          <w:p w14:paraId="0FDBB308" w14:textId="33AA7F7E" w:rsidR="00656F79" w:rsidRPr="00656F79" w:rsidRDefault="00656F79" w:rsidP="00656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</w:t>
            </w:r>
            <w:r w:rsidR="002D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56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проєкту Порядку доповнено новим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абзацом.</w:t>
            </w:r>
          </w:p>
          <w:p w14:paraId="454A79C9" w14:textId="5CD85ABC" w:rsidR="002D379B" w:rsidRPr="002D379B" w:rsidRDefault="00656F79" w:rsidP="002D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379B" w:rsidRPr="002D379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D379B" w:rsidRPr="002D37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Програмні засоби Реєстру забезпечують розподільне зберігання даних (інформації), метаданих документів та відомостей, що внесені до Реєстру, з метою підтвердження їх походження, цілісності та достовірності. </w:t>
            </w:r>
          </w:p>
          <w:p w14:paraId="1ABE52A6" w14:textId="552EE7B7" w:rsidR="00656F79" w:rsidRPr="001C72F0" w:rsidRDefault="002D379B" w:rsidP="002D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79B">
              <w:rPr>
                <w:rFonts w:ascii="Times New Roman" w:hAnsi="Times New Roman" w:cs="Times New Roman"/>
                <w:sz w:val="24"/>
                <w:szCs w:val="24"/>
              </w:rPr>
              <w:t>Міндовкілля</w:t>
            </w:r>
            <w:proofErr w:type="spellEnd"/>
            <w:r w:rsidRPr="002D379B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забезпечує зберігання даних, що містяться в Реєстрі, щонайменше 10 років.</w:t>
            </w:r>
            <w:r w:rsidR="00656F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090D70" w14:textId="323491D8" w:rsidR="000F70E4" w:rsidRPr="00E10BDD" w:rsidRDefault="000F70E4" w:rsidP="00E10BDD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10BDD" w:rsidRPr="00AA450A" w14:paraId="259C8AC8" w14:textId="77777777" w:rsidTr="003B633A">
        <w:tc>
          <w:tcPr>
            <w:tcW w:w="615" w:type="dxa"/>
          </w:tcPr>
          <w:p w14:paraId="2C62C7D9" w14:textId="78EF3D17" w:rsidR="00E10BDD" w:rsidRDefault="000F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38" w:type="dxa"/>
          </w:tcPr>
          <w:p w14:paraId="328C6BF1" w14:textId="77777777" w:rsidR="000F70E4" w:rsidRPr="000F70E4" w:rsidRDefault="000F70E4" w:rsidP="000F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0E4">
              <w:rPr>
                <w:rFonts w:ascii="Times New Roman" w:hAnsi="Times New Roman" w:cs="Times New Roman"/>
                <w:sz w:val="24"/>
                <w:szCs w:val="24"/>
              </w:rPr>
              <w:t xml:space="preserve">У відповідності до статті 14 Закону, що присвячена веденню Реєстру, Реєстр має </w:t>
            </w:r>
          </w:p>
          <w:p w14:paraId="5015BCEA" w14:textId="77777777" w:rsidR="000F70E4" w:rsidRPr="000F70E4" w:rsidRDefault="000F70E4" w:rsidP="000F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0E4">
              <w:rPr>
                <w:rFonts w:ascii="Times New Roman" w:hAnsi="Times New Roman" w:cs="Times New Roman"/>
                <w:sz w:val="24"/>
                <w:szCs w:val="24"/>
              </w:rPr>
              <w:t xml:space="preserve">передбачати можливість подальшого розширення та вдосконалення. У </w:t>
            </w:r>
            <w:proofErr w:type="spellStart"/>
            <w:r w:rsidRPr="000F70E4">
              <w:rPr>
                <w:rFonts w:ascii="Times New Roman" w:hAnsi="Times New Roman" w:cs="Times New Roman"/>
                <w:sz w:val="24"/>
                <w:szCs w:val="24"/>
              </w:rPr>
              <w:t>проєкті</w:t>
            </w:r>
            <w:proofErr w:type="spellEnd"/>
            <w:r w:rsidRPr="000F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FD37F8" w14:textId="77777777" w:rsidR="000F70E4" w:rsidRPr="000F70E4" w:rsidRDefault="000F70E4" w:rsidP="000F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0E4">
              <w:rPr>
                <w:rFonts w:ascii="Times New Roman" w:hAnsi="Times New Roman" w:cs="Times New Roman"/>
                <w:sz w:val="24"/>
                <w:szCs w:val="24"/>
              </w:rPr>
              <w:t>Порядку норм, присвячених можливостям подальшого розширення та вдосконалення</w:t>
            </w:r>
          </w:p>
          <w:p w14:paraId="64999D62" w14:textId="41526670" w:rsidR="00E10BDD" w:rsidRDefault="000F70E4" w:rsidP="00391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0E4">
              <w:rPr>
                <w:rFonts w:ascii="Times New Roman" w:hAnsi="Times New Roman" w:cs="Times New Roman"/>
                <w:sz w:val="24"/>
                <w:szCs w:val="24"/>
              </w:rPr>
              <w:t xml:space="preserve">Реєстру – не міститься. Таким чином </w:t>
            </w:r>
            <w:r w:rsidRPr="000F7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порушується і право громадськості, гарантоване п. 6 ч. 1 ст. 12 Закону, на сприяння відкритості, прозорості, ефективному функціонуванню та постійному вдосконаленню Реєстру, а також розвитку відносин у</w:t>
            </w:r>
            <w:r w:rsidR="00391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0E4">
              <w:rPr>
                <w:rFonts w:ascii="Times New Roman" w:hAnsi="Times New Roman" w:cs="Times New Roman"/>
                <w:sz w:val="24"/>
                <w:szCs w:val="24"/>
              </w:rPr>
              <w:t xml:space="preserve">сфері реєстрації викидів та перенесення забруднювачів і відходів. У </w:t>
            </w:r>
            <w:proofErr w:type="spellStart"/>
            <w:r w:rsidRPr="000F70E4">
              <w:rPr>
                <w:rFonts w:ascii="Times New Roman" w:hAnsi="Times New Roman" w:cs="Times New Roman"/>
                <w:sz w:val="24"/>
                <w:szCs w:val="24"/>
              </w:rPr>
              <w:t>звʼязку</w:t>
            </w:r>
            <w:proofErr w:type="spellEnd"/>
            <w:r w:rsidRPr="000F70E4">
              <w:rPr>
                <w:rFonts w:ascii="Times New Roman" w:hAnsi="Times New Roman" w:cs="Times New Roman"/>
                <w:sz w:val="24"/>
                <w:szCs w:val="24"/>
              </w:rPr>
              <w:t xml:space="preserve"> із викладеним, пропонуємо доповнити Порядок нормами, що забезпечували б подальший розвиток та вдосконалення Реєстру, гарантували б участь громадськості у цих процесах.</w:t>
            </w:r>
          </w:p>
        </w:tc>
        <w:tc>
          <w:tcPr>
            <w:tcW w:w="4745" w:type="dxa"/>
          </w:tcPr>
          <w:p w14:paraId="7437925D" w14:textId="79B28828" w:rsidR="00E10BDD" w:rsidRPr="00AA450A" w:rsidRDefault="00E10BDD" w:rsidP="0072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2D629BC" w14:textId="77777777" w:rsidR="00656F79" w:rsidRPr="00656F79" w:rsidRDefault="00656F79" w:rsidP="00656F79">
            <w:pPr>
              <w:pStyle w:val="ac"/>
              <w:spacing w:after="0"/>
              <w:jc w:val="center"/>
              <w:rPr>
                <w:b/>
                <w:bCs/>
                <w:color w:val="000000"/>
              </w:rPr>
            </w:pPr>
            <w:r w:rsidRPr="00656F79">
              <w:rPr>
                <w:b/>
                <w:bCs/>
                <w:color w:val="000000"/>
              </w:rPr>
              <w:t>Враховано</w:t>
            </w:r>
          </w:p>
          <w:p w14:paraId="70BAD747" w14:textId="0AF2D27C" w:rsidR="00656F79" w:rsidRDefault="002D379B" w:rsidP="00656F79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656F79" w:rsidRPr="00656F79">
              <w:rPr>
                <w:color w:val="000000"/>
              </w:rPr>
              <w:t>роєкту Порядку доповнено новим пунктом 1</w:t>
            </w:r>
            <w:r w:rsidR="00656F79">
              <w:rPr>
                <w:color w:val="000000"/>
              </w:rPr>
              <w:t>1</w:t>
            </w:r>
            <w:r w:rsidR="00656F79" w:rsidRPr="00656F79">
              <w:rPr>
                <w:color w:val="000000"/>
              </w:rPr>
              <w:t>:</w:t>
            </w:r>
          </w:p>
          <w:p w14:paraId="12F6EADB" w14:textId="1790D964" w:rsidR="00E10BDD" w:rsidRPr="005F3065" w:rsidRDefault="00656F79" w:rsidP="005F3065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56F79">
              <w:rPr>
                <w:color w:val="000000"/>
              </w:rPr>
              <w:t>11.</w:t>
            </w:r>
            <w:r w:rsidRPr="00656F79">
              <w:rPr>
                <w:color w:val="000000"/>
              </w:rPr>
              <w:tab/>
              <w:t xml:space="preserve">Подальше розширення та вдосконалення Реєстру здійснюється </w:t>
            </w:r>
            <w:r w:rsidR="002D379B" w:rsidRPr="002D379B">
              <w:rPr>
                <w:color w:val="000000"/>
              </w:rPr>
              <w:t xml:space="preserve">у разі змін в законодавстві та </w:t>
            </w:r>
            <w:r w:rsidRPr="00656F79">
              <w:rPr>
                <w:color w:val="000000"/>
              </w:rPr>
              <w:t xml:space="preserve">з урахуванням міжнародного досвіду у сфері реєстрації викидів та перенесення забруднювачів </w:t>
            </w:r>
            <w:r w:rsidRPr="00656F79">
              <w:rPr>
                <w:color w:val="000000"/>
              </w:rPr>
              <w:lastRenderedPageBreak/>
              <w:t>і відходів та пропозицій громадськості.</w:t>
            </w:r>
            <w:r>
              <w:rPr>
                <w:color w:val="000000"/>
              </w:rPr>
              <w:t>»</w:t>
            </w:r>
          </w:p>
        </w:tc>
      </w:tr>
      <w:tr w:rsidR="00E10BDD" w:rsidRPr="00AA450A" w14:paraId="56E88886" w14:textId="77777777" w:rsidTr="003B633A">
        <w:tc>
          <w:tcPr>
            <w:tcW w:w="615" w:type="dxa"/>
          </w:tcPr>
          <w:p w14:paraId="593E71DF" w14:textId="4327BC51" w:rsidR="00E10BDD" w:rsidRDefault="005A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38" w:type="dxa"/>
          </w:tcPr>
          <w:p w14:paraId="41C8C77A" w14:textId="77777777" w:rsidR="005A12C2" w:rsidRPr="005A12C2" w:rsidRDefault="005A12C2" w:rsidP="005A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C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ч. 5 ст. 14 Закону, Реєстр відображає дані про викиди та перенесення </w:t>
            </w:r>
          </w:p>
          <w:p w14:paraId="4BA3591E" w14:textId="6ED88DA5" w:rsidR="00E10BDD" w:rsidRDefault="005A12C2" w:rsidP="005A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C2">
              <w:rPr>
                <w:rFonts w:ascii="Times New Roman" w:hAnsi="Times New Roman" w:cs="Times New Roman"/>
                <w:sz w:val="24"/>
                <w:szCs w:val="24"/>
              </w:rPr>
              <w:t xml:space="preserve">забруднювачів і відходів в узагальненій та деталізованій формах таким чином, щоб викиди та перенесення забруднювачів і відходів можна було ідентифікувати за допомогою одного або кількох таких параметрів: 1) об’єкт, зокрема місце розташування (географічні координати) промислового майданчика, річковий басейн; 2) вид діяльності згідно із класифікацією видів економічної діяльності; 3) вид діяльності згідно з переліком видів діяльності; 4) вид забруднювача згідно з переліком забруднювачів чи відходів та класифікацією відходів; 5) компонент довкілля (атмосферне повітря, вода, земля), в який здійснюється викид забруднювачів; 6) перенесення за межі промислового </w:t>
            </w:r>
            <w:r w:rsidRPr="005A1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майданчика відходів та їх подальше призначення (у разі відновлення або видалення відходів); 7) перенесення за межі промислового майданчика забруднювачів у зворотних (стічних) водах, призначених для очищення; 8) дифузні джерела; 9) оператор відповідного об’єкта. Положення проєкту Порядку не передбачають можливостей ідентифікації за допомогою вказаних критерії та параметрів. У </w:t>
            </w:r>
            <w:proofErr w:type="spellStart"/>
            <w:r w:rsidRPr="005A12C2">
              <w:rPr>
                <w:rFonts w:ascii="Times New Roman" w:hAnsi="Times New Roman" w:cs="Times New Roman"/>
                <w:sz w:val="24"/>
                <w:szCs w:val="24"/>
              </w:rPr>
              <w:t>звʼязку</w:t>
            </w:r>
            <w:proofErr w:type="spellEnd"/>
            <w:r w:rsidRPr="005A12C2">
              <w:rPr>
                <w:rFonts w:ascii="Times New Roman" w:hAnsi="Times New Roman" w:cs="Times New Roman"/>
                <w:sz w:val="24"/>
                <w:szCs w:val="24"/>
              </w:rPr>
              <w:t xml:space="preserve"> із цим пропонуємо удосконалити передбачений Порядком формат подачі документів, що дозволить здійснювати таку ідентифікацію.</w:t>
            </w:r>
          </w:p>
        </w:tc>
        <w:tc>
          <w:tcPr>
            <w:tcW w:w="4745" w:type="dxa"/>
          </w:tcPr>
          <w:p w14:paraId="549EBD52" w14:textId="77777777" w:rsidR="00E10BDD" w:rsidRPr="00AA450A" w:rsidRDefault="00E10BDD" w:rsidP="0072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23123D41" w14:textId="77777777" w:rsidR="00BC3BD1" w:rsidRPr="00181B7D" w:rsidRDefault="00BC3BD1" w:rsidP="00BC3BD1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Відхилено</w:t>
            </w:r>
            <w:proofErr w:type="spellEnd"/>
          </w:p>
          <w:p w14:paraId="5CAD2B44" w14:textId="4552235C" w:rsidR="005A12C2" w:rsidRDefault="005A12C2" w:rsidP="005A12C2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Варіанти </w:t>
            </w:r>
            <w:r w:rsidRPr="005A12C2">
              <w:rPr>
                <w:color w:val="000000"/>
              </w:rPr>
              <w:t>відображ</w:t>
            </w:r>
            <w:r>
              <w:rPr>
                <w:color w:val="000000"/>
              </w:rPr>
              <w:t>ення</w:t>
            </w:r>
            <w:r w:rsidRPr="005A12C2">
              <w:rPr>
                <w:color w:val="000000"/>
              </w:rPr>
              <w:t xml:space="preserve"> дан</w:t>
            </w:r>
            <w:r>
              <w:rPr>
                <w:color w:val="000000"/>
              </w:rPr>
              <w:t>их</w:t>
            </w:r>
            <w:r w:rsidRPr="005A12C2">
              <w:rPr>
                <w:color w:val="000000"/>
              </w:rPr>
              <w:t xml:space="preserve"> про викиди та перенесення забруднювачів і відходів </w:t>
            </w:r>
            <w:r>
              <w:rPr>
                <w:color w:val="000000"/>
              </w:rPr>
              <w:t xml:space="preserve">у </w:t>
            </w:r>
            <w:r w:rsidRPr="005A12C2">
              <w:rPr>
                <w:color w:val="000000"/>
              </w:rPr>
              <w:t>Реєстр</w:t>
            </w:r>
            <w:r>
              <w:rPr>
                <w:color w:val="000000"/>
              </w:rPr>
              <w:t>і визначені на рівні Закону.</w:t>
            </w:r>
          </w:p>
          <w:p w14:paraId="433A1831" w14:textId="720B6982" w:rsidR="005A12C2" w:rsidRPr="00E10BDD" w:rsidRDefault="005A12C2" w:rsidP="005A12C2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E10BDD">
              <w:rPr>
                <w:color w:val="000000"/>
              </w:rPr>
              <w:t xml:space="preserve">ідповідно вимог нормо-проектувальної техніки не допускається у проектах актів повтор  нормативних положень, визначених раніше прийнятими актами. </w:t>
            </w:r>
          </w:p>
          <w:p w14:paraId="189D933E" w14:textId="174BFD38" w:rsidR="005A12C2" w:rsidRDefault="005A12C2" w:rsidP="005A12C2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E10BDD">
              <w:rPr>
                <w:color w:val="000000"/>
              </w:rPr>
              <w:t xml:space="preserve">Оскільки проект постанови розроблено у розвиток та на виконання вимог Закону, зазначені положення в </w:t>
            </w:r>
            <w:r>
              <w:rPr>
                <w:color w:val="000000"/>
              </w:rPr>
              <w:t>проекту Порядку</w:t>
            </w:r>
            <w:r w:rsidRPr="00E10BDD">
              <w:rPr>
                <w:color w:val="000000"/>
              </w:rPr>
              <w:t xml:space="preserve"> не дублюються.</w:t>
            </w:r>
          </w:p>
          <w:p w14:paraId="593E137A" w14:textId="6EDC39D5" w:rsidR="00CA4DFD" w:rsidRDefault="00CA4DFD" w:rsidP="005A12C2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Крім цього, і</w:t>
            </w:r>
            <w:r>
              <w:t>дентифікація даних за вказаними критеріями забезпечується програмними засобами Реєстру</w:t>
            </w:r>
            <w:r w:rsidR="00BF35C4">
              <w:t>,</w:t>
            </w:r>
            <w:r>
              <w:rPr>
                <w:color w:val="000000"/>
              </w:rPr>
              <w:t xml:space="preserve"> і </w:t>
            </w:r>
            <w:r w:rsidRPr="005A12C2">
              <w:t>формат подачі документів</w:t>
            </w:r>
            <w:r>
              <w:t xml:space="preserve"> не впливає на можливість</w:t>
            </w:r>
            <w:r w:rsidRPr="005A12C2">
              <w:t xml:space="preserve"> здійснювати таку ідентифікацію</w:t>
            </w:r>
            <w:r>
              <w:t>.</w:t>
            </w:r>
          </w:p>
          <w:p w14:paraId="68D1E26E" w14:textId="7B2369C5" w:rsidR="005A12C2" w:rsidRPr="00181B7D" w:rsidRDefault="005A12C2" w:rsidP="005A12C2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BF35C4" w:rsidRPr="00AA450A" w14:paraId="5AC68695" w14:textId="77777777" w:rsidTr="003B633A">
        <w:tc>
          <w:tcPr>
            <w:tcW w:w="615" w:type="dxa"/>
          </w:tcPr>
          <w:p w14:paraId="09684CC4" w14:textId="60335A62" w:rsidR="00BF35C4" w:rsidRDefault="00BF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38" w:type="dxa"/>
          </w:tcPr>
          <w:p w14:paraId="0155BCC5" w14:textId="296BC0E9" w:rsidR="00BF35C4" w:rsidRPr="005A12C2" w:rsidRDefault="00BF35C4" w:rsidP="00BF3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C4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ч. 2 ст. 12 Закону, під час формування та реалізації державної політики у сфері реєстрації викидів та перенесення забруднювачів і відходів, зокрема під час прийняття законів або інших нормативно-правових актів у сфері реєстрації викидів та перенесення забруднювачів і відходів, відповідні органи державної влади у встановленому законодавством порядку проводять консультації з громадськістю, надають громадськості можливість безкоштовного доступу до інформації про заплановані заходи та зміни, а також можливість подання пропозицій (зауважень) щодо таких заходів та змін. Станом на березень 2023 року офіційний сайт Міністерства захисту довкілля та природних ресурсів </w:t>
            </w:r>
            <w:r w:rsidRPr="00BF3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України систематично не працює, що ускладнює участь громадськості у процедурах, </w:t>
            </w:r>
            <w:proofErr w:type="spellStart"/>
            <w:r w:rsidRPr="00BF35C4">
              <w:rPr>
                <w:rFonts w:ascii="Times New Roman" w:hAnsi="Times New Roman" w:cs="Times New Roman"/>
                <w:sz w:val="24"/>
                <w:szCs w:val="24"/>
              </w:rPr>
              <w:t>повʼязаних</w:t>
            </w:r>
            <w:proofErr w:type="spellEnd"/>
            <w:r w:rsidRPr="00BF35C4">
              <w:rPr>
                <w:rFonts w:ascii="Times New Roman" w:hAnsi="Times New Roman" w:cs="Times New Roman"/>
                <w:sz w:val="24"/>
                <w:szCs w:val="24"/>
              </w:rPr>
              <w:t xml:space="preserve"> із прийняттям проєкту Порядку. На підставі викладеного вважаємо, що наявними є підстави для продовження строку подання коментарів до даного проєкту Порядку.</w:t>
            </w:r>
          </w:p>
        </w:tc>
        <w:tc>
          <w:tcPr>
            <w:tcW w:w="4745" w:type="dxa"/>
          </w:tcPr>
          <w:p w14:paraId="51378292" w14:textId="77777777" w:rsidR="00BF35C4" w:rsidRPr="00AA450A" w:rsidRDefault="00BF35C4" w:rsidP="0072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0168DFC7" w14:textId="239F07AE" w:rsidR="00BF35C4" w:rsidRDefault="00BF35C4" w:rsidP="003F2C7D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Враховано</w:t>
            </w:r>
          </w:p>
          <w:p w14:paraId="5998ECF0" w14:textId="041FFC26" w:rsidR="00BF35C4" w:rsidRPr="00BF35C4" w:rsidRDefault="00BF35C4" w:rsidP="00BF35C4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BF35C4">
              <w:rPr>
                <w:color w:val="000000"/>
              </w:rPr>
              <w:t xml:space="preserve">В зв’язку з кібератакою, сайт </w:t>
            </w:r>
            <w:proofErr w:type="spellStart"/>
            <w:r w:rsidRPr="00BF35C4">
              <w:rPr>
                <w:color w:val="000000"/>
              </w:rPr>
              <w:t>Міндовкілля</w:t>
            </w:r>
            <w:proofErr w:type="spellEnd"/>
            <w:r w:rsidRPr="00BF35C4">
              <w:rPr>
                <w:color w:val="000000"/>
              </w:rPr>
              <w:t xml:space="preserve"> тимчасово був обмежений в доступі з 23 лютого по 13 березня 2023 року, тому з метою забезпечення своєчасного, достатнього та ефективного інформування громадськості, </w:t>
            </w:r>
            <w:proofErr w:type="spellStart"/>
            <w:r w:rsidRPr="00BF35C4">
              <w:rPr>
                <w:color w:val="000000"/>
              </w:rPr>
              <w:t>Міндовкілля</w:t>
            </w:r>
            <w:proofErr w:type="spellEnd"/>
            <w:r w:rsidRPr="00BF35C4">
              <w:rPr>
                <w:color w:val="000000"/>
              </w:rPr>
              <w:t xml:space="preserve"> подовжило строки громадського обговорення до проєкту постанови Кабінету Міністрів України «Про затвердження Порядку ведення Національного реєстру викидів та перенесення забруднювачів» до 0</w:t>
            </w:r>
            <w:r w:rsidR="00141F16">
              <w:rPr>
                <w:color w:val="000000"/>
              </w:rPr>
              <w:t>2 квітня 2023 року, що дозволило</w:t>
            </w:r>
            <w:r w:rsidRPr="00BF35C4">
              <w:rPr>
                <w:color w:val="000000"/>
              </w:rPr>
              <w:t xml:space="preserve"> дотримуватись строків громадського обговорення, передбаченого Законом, а також відновить права громадськості на доступ до інформації, що були обмежені на період блокування сайту.</w:t>
            </w:r>
          </w:p>
        </w:tc>
      </w:tr>
      <w:tr w:rsidR="0078766B" w:rsidRPr="00AA450A" w14:paraId="6BA00B0B" w14:textId="77777777" w:rsidTr="001322BF">
        <w:trPr>
          <w:trHeight w:val="624"/>
        </w:trPr>
        <w:tc>
          <w:tcPr>
            <w:tcW w:w="15498" w:type="dxa"/>
            <w:gridSpan w:val="4"/>
            <w:shd w:val="clear" w:color="auto" w:fill="D9D9D9" w:themeFill="background1" w:themeFillShade="D9"/>
            <w:vAlign w:val="center"/>
          </w:tcPr>
          <w:p w14:paraId="597B5606" w14:textId="77777777" w:rsidR="0078766B" w:rsidRPr="0078766B" w:rsidRDefault="0078766B" w:rsidP="001322BF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8766B">
              <w:rPr>
                <w:b/>
                <w:bCs/>
              </w:rPr>
              <w:lastRenderedPageBreak/>
              <w:t>ГО «ЗБЕРЕЖИ ДНІПРО»</w:t>
            </w:r>
          </w:p>
        </w:tc>
      </w:tr>
      <w:tr w:rsidR="0078766B" w:rsidRPr="00AA450A" w14:paraId="5C5C6342" w14:textId="77777777" w:rsidTr="003B633A">
        <w:tc>
          <w:tcPr>
            <w:tcW w:w="615" w:type="dxa"/>
          </w:tcPr>
          <w:p w14:paraId="16746D1C" w14:textId="5278C721" w:rsidR="0078766B" w:rsidRDefault="0078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8" w:type="dxa"/>
          </w:tcPr>
          <w:p w14:paraId="4CFCEBDB" w14:textId="26E06CA3" w:rsidR="0078766B" w:rsidRPr="001322BF" w:rsidRDefault="0078766B" w:rsidP="00132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</w:pPr>
            <w:r w:rsidRPr="0078766B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Загальними положеннями Постанови </w:t>
            </w:r>
            <w:r w:rsidR="001322BF"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  <w:t xml:space="preserve">не визначено термін «користувач </w:t>
            </w:r>
            <w:r w:rsidRPr="0078766B"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  <w:t>системи»</w:t>
            </w:r>
            <w:r w:rsidRPr="0078766B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, тоді як визначено, що “Інші терміни у цьому Порядку вживаються у значеннях,</w:t>
            </w:r>
          </w:p>
          <w:p w14:paraId="1DF11C28" w14:textId="77777777" w:rsidR="0078766B" w:rsidRPr="0078766B" w:rsidRDefault="0078766B" w:rsidP="00132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C1D"/>
                <w:sz w:val="24"/>
                <w:szCs w:val="24"/>
              </w:rPr>
            </w:pPr>
            <w:r w:rsidRPr="0078766B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наведених в Законах України "Про публічні електронні реєстри", "Про Національний</w:t>
            </w:r>
          </w:p>
          <w:p w14:paraId="33A27DA3" w14:textId="77777777" w:rsidR="0078766B" w:rsidRDefault="0078766B" w:rsidP="00132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C1D"/>
                <w:sz w:val="24"/>
                <w:szCs w:val="24"/>
              </w:rPr>
            </w:pPr>
            <w:r w:rsidRPr="0078766B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реєстр викидів та перенесення забруднювачів", "Про у</w:t>
            </w:r>
            <w:r w:rsid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правління відходами", Положенні </w:t>
            </w:r>
            <w:r w:rsidRPr="0078766B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про Єдину екологічну платформу "</w:t>
            </w:r>
            <w:proofErr w:type="spellStart"/>
            <w:r w:rsidRPr="0078766B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ЕкоСистема</w:t>
            </w:r>
            <w:proofErr w:type="spellEnd"/>
            <w:r w:rsidRPr="0078766B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" за</w:t>
            </w:r>
            <w:r w:rsid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твердженому постановою Кабінету </w:t>
            </w:r>
            <w:r w:rsidRPr="0078766B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Міністрів </w:t>
            </w:r>
            <w:r w:rsid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України від 11 жовтня 2021 р.    № </w:t>
            </w:r>
            <w:r w:rsidRPr="0078766B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1065 (Офіційний вісник України, 2021</w:t>
            </w:r>
            <w:r w:rsid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 р., № 82, </w:t>
            </w:r>
            <w:r w:rsidRPr="0078766B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ст. 5264).”</w:t>
            </w:r>
          </w:p>
          <w:p w14:paraId="4DA10776" w14:textId="0DA5CB67" w:rsidR="001322BF" w:rsidRPr="001322BF" w:rsidRDefault="001322BF" w:rsidP="00132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C1D"/>
                <w:sz w:val="24"/>
                <w:szCs w:val="24"/>
              </w:rPr>
            </w:pPr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П.п.4 п. 2 загальної частини Положення про Єдину екологічну платформу</w:t>
            </w:r>
            <w:r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 </w:t>
            </w:r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“</w:t>
            </w:r>
            <w:proofErr w:type="spellStart"/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ЕкоСистема</w:t>
            </w:r>
            <w:proofErr w:type="spellEnd"/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” визначено термін </w:t>
            </w:r>
            <w:r w:rsidRPr="001322BF"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  <w:t xml:space="preserve">«користувачі» </w:t>
            </w:r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- </w:t>
            </w:r>
            <w:r w:rsidRPr="001322BF">
              <w:rPr>
                <w:rFonts w:ascii="Times New Roman" w:hAnsi="Times New Roman" w:cs="Times New Roman"/>
                <w:b/>
                <w:bCs/>
                <w:i/>
                <w:iCs/>
                <w:color w:val="1D1C1D"/>
                <w:sz w:val="24"/>
                <w:szCs w:val="24"/>
              </w:rPr>
              <w:t xml:space="preserve">фізичні особи </w:t>
            </w:r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>та юридичні особи,</w:t>
            </w:r>
            <w:r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 </w:t>
            </w:r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>фізичні особи - підприємці, суб’єкти надання адміністративних послуг, суб’єкти надання</w:t>
            </w:r>
            <w:r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 </w:t>
            </w:r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>публічних (електронних публічних) послуг, центри надання адміністративних послуг;</w:t>
            </w:r>
          </w:p>
          <w:p w14:paraId="35A80984" w14:textId="77777777" w:rsidR="001322BF" w:rsidRPr="001322BF" w:rsidRDefault="001322BF" w:rsidP="00132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</w:pPr>
            <w:r w:rsidRPr="001322BF"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  <w:lastRenderedPageBreak/>
              <w:t>А отже, фізичні особи (громадськість) є користувачами Національного реєстру</w:t>
            </w:r>
          </w:p>
          <w:p w14:paraId="2C78E63E" w14:textId="77777777" w:rsidR="001322BF" w:rsidRDefault="001322BF" w:rsidP="00132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</w:pPr>
            <w:r w:rsidRPr="001322BF"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  <w:t>викидів та перенесення забруднювачів</w:t>
            </w:r>
            <w:r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  <w:t>.</w:t>
            </w:r>
          </w:p>
          <w:p w14:paraId="6D167294" w14:textId="05B5DBBD" w:rsidR="001322BF" w:rsidRPr="001322BF" w:rsidRDefault="001322BF" w:rsidP="00132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</w:pPr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Також загальними положеннями Постанови визначено, що “</w:t>
            </w:r>
            <w:proofErr w:type="spellStart"/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>Міндовкілля</w:t>
            </w:r>
            <w:proofErr w:type="spellEnd"/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 xml:space="preserve"> забезпечує</w:t>
            </w:r>
            <w:r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 xml:space="preserve"> </w:t>
            </w:r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>необмежений у часі та неавторизований доступ громадс</w:t>
            </w:r>
            <w:r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 xml:space="preserve">ькості до даних, що містяться в </w:t>
            </w:r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 xml:space="preserve">Реєстрі, та їх використання відповідно до </w:t>
            </w:r>
            <w:proofErr w:type="spellStart"/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>статтей</w:t>
            </w:r>
            <w:proofErr w:type="spellEnd"/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 xml:space="preserve"> 12,</w:t>
            </w:r>
            <w:r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 xml:space="preserve"> 14 Закону програмними засобами </w:t>
            </w:r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 xml:space="preserve">Реєстру та в приміщеннях </w:t>
            </w:r>
            <w:proofErr w:type="spellStart"/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>Міндовкілля</w:t>
            </w:r>
            <w:proofErr w:type="spellEnd"/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 xml:space="preserve"> з можливістю перегляду, копіюванн</w:t>
            </w:r>
            <w:r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 xml:space="preserve">я та </w:t>
            </w:r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>збереження таких даних.</w:t>
            </w:r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”</w:t>
            </w:r>
          </w:p>
          <w:p w14:paraId="50765A70" w14:textId="40D84888" w:rsidR="001322BF" w:rsidRPr="001322BF" w:rsidRDefault="001322BF" w:rsidP="00132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C1D"/>
                <w:sz w:val="24"/>
                <w:szCs w:val="24"/>
              </w:rPr>
            </w:pPr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Цьому пункту протирічить розділ “Вимог</w:t>
            </w:r>
            <w:r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и до створення та подання даних </w:t>
            </w:r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(інформації) до Реєстру” в частині створення електронног</w:t>
            </w:r>
            <w:r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о кабінету користувача, якими є </w:t>
            </w:r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в </w:t>
            </w:r>
            <w:proofErr w:type="spellStart"/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т.ч</w:t>
            </w:r>
            <w:proofErr w:type="spellEnd"/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. фізичні особи з значенні даної Постанови.</w:t>
            </w:r>
          </w:p>
          <w:p w14:paraId="4ECB0B59" w14:textId="2D74F61F" w:rsidR="001322BF" w:rsidRPr="001322BF" w:rsidRDefault="001322BF" w:rsidP="00132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</w:pPr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“</w:t>
            </w:r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>Доступ до електронного кабінету користувач</w:t>
            </w:r>
            <w:r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>ЕкоСистеми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 xml:space="preserve"> здійснюється після </w:t>
            </w:r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>проходження користувачами електронної ід</w:t>
            </w:r>
            <w:r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 xml:space="preserve">ентифікації та автентифікації з </w:t>
            </w:r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>використанням інтегрованої системи електронної і</w:t>
            </w:r>
            <w:r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 xml:space="preserve">дентифікації та кваліфікованого </w:t>
            </w:r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>електронного підпису, що базується на кваліфіковано</w:t>
            </w:r>
            <w:r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 xml:space="preserve">му сертифікаті відкритого ключа </w:t>
            </w:r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>або інших засобів електронної ідентифікації, що забезпе</w:t>
            </w:r>
            <w:r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 xml:space="preserve">чують аналогічний рівень довіри </w:t>
            </w:r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 xml:space="preserve">до засобів електронної ідентифікації, відповідно до </w:t>
            </w:r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lastRenderedPageBreak/>
              <w:t>вимог Закону України «Про</w:t>
            </w:r>
            <w:r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 xml:space="preserve"> </w:t>
            </w:r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>електронні довірчі послуги».</w:t>
            </w:r>
          </w:p>
          <w:p w14:paraId="4FCA31FC" w14:textId="730BF0D0" w:rsidR="001322BF" w:rsidRPr="001322BF" w:rsidRDefault="001322BF" w:rsidP="00132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</w:pPr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>Користувачі через електронний кабінет</w:t>
            </w:r>
            <w:r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 xml:space="preserve"> користувача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>ЕкоСистеми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 xml:space="preserve"> повинні </w:t>
            </w:r>
            <w:r w:rsidRPr="001322BF">
              <w:rPr>
                <w:rFonts w:ascii="Times New Roman" w:hAnsi="Times New Roman" w:cs="Times New Roman"/>
                <w:i/>
                <w:iCs/>
                <w:color w:val="1D1C1D"/>
                <w:sz w:val="24"/>
                <w:szCs w:val="24"/>
              </w:rPr>
              <w:t>створити обліковий запис шляхом внесення відповідних даних (інформації).</w:t>
            </w:r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”</w:t>
            </w:r>
          </w:p>
          <w:p w14:paraId="1AEC7807" w14:textId="77777777" w:rsidR="001322BF" w:rsidRPr="001322BF" w:rsidRDefault="001322BF" w:rsidP="00132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</w:pPr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Виходячи з вищевикладеного, в тексті Постанови </w:t>
            </w:r>
            <w:r w:rsidRPr="001322BF"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  <w:t>необхідно врегулювати (чітко</w:t>
            </w:r>
          </w:p>
          <w:p w14:paraId="0B8A89E4" w14:textId="22636B1E" w:rsidR="001322BF" w:rsidRPr="001322BF" w:rsidRDefault="001322BF" w:rsidP="00132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</w:pPr>
            <w:r w:rsidRPr="001322BF"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  <w:t>визначити), що користувачами системи, які мають зобов’язання авт</w:t>
            </w:r>
            <w:r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  <w:t xml:space="preserve">оризації та </w:t>
            </w:r>
            <w:r w:rsidRPr="001322BF"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  <w:t>створення електронного кабінету, є виключно ю</w:t>
            </w:r>
            <w:r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  <w:t xml:space="preserve">ридичні особи (окрім інститутів </w:t>
            </w:r>
            <w:r w:rsidRPr="001322BF"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  <w:t xml:space="preserve">громадянського суспільства) або фізичні особи-підприємці </w:t>
            </w:r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– прибравши поточне</w:t>
            </w:r>
            <w:r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  <w:t xml:space="preserve"> </w:t>
            </w:r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протиріччя.</w:t>
            </w:r>
          </w:p>
        </w:tc>
        <w:tc>
          <w:tcPr>
            <w:tcW w:w="4745" w:type="dxa"/>
          </w:tcPr>
          <w:p w14:paraId="5CD8A494" w14:textId="77777777" w:rsidR="0078766B" w:rsidRPr="00AA450A" w:rsidRDefault="0078766B" w:rsidP="0072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5E862147" w14:textId="77777777" w:rsidR="00F04065" w:rsidRPr="00181B7D" w:rsidRDefault="00F04065" w:rsidP="00F04065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Враховано</w:t>
            </w:r>
          </w:p>
          <w:p w14:paraId="5AB7929C" w14:textId="77777777" w:rsidR="00F04065" w:rsidRDefault="00F04065" w:rsidP="00F04065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 Порядку доповнено новим пунктом 7:</w:t>
            </w:r>
          </w:p>
          <w:p w14:paraId="7E2E96CE" w14:textId="7B45B034" w:rsidR="001B0DEB" w:rsidRPr="001B0DEB" w:rsidRDefault="001B0DEB" w:rsidP="001B0DEB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B0DEB">
              <w:rPr>
                <w:color w:val="000000"/>
              </w:rPr>
              <w:t>7.</w:t>
            </w:r>
            <w:r w:rsidRPr="001B0DEB">
              <w:rPr>
                <w:color w:val="000000"/>
              </w:rPr>
              <w:tab/>
              <w:t xml:space="preserve"> </w:t>
            </w:r>
            <w:proofErr w:type="spellStart"/>
            <w:r w:rsidRPr="001B0DEB">
              <w:rPr>
                <w:color w:val="000000"/>
              </w:rPr>
              <w:t>Міндовкілля</w:t>
            </w:r>
            <w:proofErr w:type="spellEnd"/>
            <w:r w:rsidRPr="001B0DEB">
              <w:rPr>
                <w:color w:val="000000"/>
              </w:rPr>
              <w:t xml:space="preserve"> забезпечує необмежений у часі та неавторизований доступ громадськості до даних, що містяться в Реєстрі, та їх використання відповідно до </w:t>
            </w:r>
            <w:proofErr w:type="spellStart"/>
            <w:r w:rsidRPr="001B0DEB">
              <w:rPr>
                <w:color w:val="000000"/>
              </w:rPr>
              <w:t>статтей</w:t>
            </w:r>
            <w:proofErr w:type="spellEnd"/>
            <w:r w:rsidRPr="001B0DEB">
              <w:rPr>
                <w:color w:val="000000"/>
              </w:rPr>
              <w:t xml:space="preserve"> 12, 14 Закону програмними засобами Реєстру без застосування електронного кабінету користувача Екосистеми та в приміщеннях </w:t>
            </w:r>
            <w:proofErr w:type="spellStart"/>
            <w:r w:rsidRPr="001B0DEB">
              <w:rPr>
                <w:color w:val="000000"/>
              </w:rPr>
              <w:t>Міндовкілля</w:t>
            </w:r>
            <w:proofErr w:type="spellEnd"/>
            <w:r w:rsidRPr="001B0DEB">
              <w:rPr>
                <w:color w:val="000000"/>
              </w:rPr>
              <w:t xml:space="preserve"> з можливістю перегляду, копіювання та збереження таких даних.</w:t>
            </w:r>
          </w:p>
        </w:tc>
      </w:tr>
      <w:tr w:rsidR="001322BF" w:rsidRPr="00AA450A" w14:paraId="6D1CF905" w14:textId="77777777" w:rsidTr="003B633A">
        <w:tc>
          <w:tcPr>
            <w:tcW w:w="615" w:type="dxa"/>
          </w:tcPr>
          <w:p w14:paraId="6AA1E720" w14:textId="0B8A21D7" w:rsidR="001322BF" w:rsidRDefault="0013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38" w:type="dxa"/>
          </w:tcPr>
          <w:p w14:paraId="21296FFE" w14:textId="77777777" w:rsidR="001322BF" w:rsidRDefault="001322BF" w:rsidP="00132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C1D"/>
                <w:sz w:val="24"/>
                <w:szCs w:val="24"/>
              </w:rPr>
            </w:pPr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П.7 цього Порядку зазначає, що </w:t>
            </w:r>
            <w:proofErr w:type="spellStart"/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Міндовкілля</w:t>
            </w:r>
            <w:proofErr w:type="spellEnd"/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 забезпечує необмежений у часі та неавторизований доступ громадськості до даних, що містяться в Реєстрі.</w:t>
            </w:r>
          </w:p>
          <w:p w14:paraId="41CA7552" w14:textId="77777777" w:rsidR="001322BF" w:rsidRDefault="001322BF" w:rsidP="00132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C1D"/>
                <w:sz w:val="24"/>
                <w:szCs w:val="24"/>
              </w:rPr>
            </w:pPr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П. 22-39 Порядку зазначаються процедури внесення та змін інформації в Реєстрі</w:t>
            </w:r>
            <w:r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 </w:t>
            </w:r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різними користувачами </w:t>
            </w:r>
            <w:proofErr w:type="spellStart"/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ЕкоСистеми</w:t>
            </w:r>
            <w:proofErr w:type="spellEnd"/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. Але в жодному з пунктів Порядку </w:t>
            </w:r>
            <w:r w:rsidRPr="001322BF"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  <w:t>не зазначено, на</w:t>
            </w:r>
            <w:r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 </w:t>
            </w:r>
            <w:r w:rsidRPr="001322BF"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  <w:t>якому з етапів ці дані Реєстру стають доступні для громадськості</w:t>
            </w:r>
            <w:r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. Необхідно </w:t>
            </w:r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врегулювати (чітко визначити) в Порядку на кож</w:t>
            </w:r>
            <w:r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ному з етапів внесення або змін </w:t>
            </w:r>
            <w:r w:rsidRPr="001322BF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інформації, чи буде ті, чи інші дані Реєстру доступні для громадськості.</w:t>
            </w:r>
          </w:p>
          <w:p w14:paraId="28D31D6C" w14:textId="77777777" w:rsidR="001322BF" w:rsidRDefault="001322BF" w:rsidP="00132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C1D"/>
                <w:sz w:val="24"/>
                <w:szCs w:val="24"/>
              </w:rPr>
            </w:pPr>
          </w:p>
          <w:p w14:paraId="602CA358" w14:textId="28CC544A" w:rsidR="007B7DCC" w:rsidRPr="001322BF" w:rsidRDefault="007B7DCC" w:rsidP="00132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C1D"/>
                <w:sz w:val="24"/>
                <w:szCs w:val="24"/>
              </w:rPr>
            </w:pPr>
          </w:p>
        </w:tc>
        <w:tc>
          <w:tcPr>
            <w:tcW w:w="4745" w:type="dxa"/>
          </w:tcPr>
          <w:p w14:paraId="2B835650" w14:textId="77777777" w:rsidR="001322BF" w:rsidRPr="00AA450A" w:rsidRDefault="001322BF" w:rsidP="0072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28A51F4" w14:textId="0BC92467" w:rsidR="001322BF" w:rsidRDefault="00C312F2" w:rsidP="00444CE6">
            <w:pPr>
              <w:pStyle w:val="ac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Відхилено</w:t>
            </w:r>
            <w:proofErr w:type="spellEnd"/>
            <w:r w:rsidR="0059146F">
              <w:rPr>
                <w:b/>
                <w:bCs/>
                <w:color w:val="000000"/>
              </w:rPr>
              <w:t xml:space="preserve"> </w:t>
            </w:r>
            <w:r w:rsidR="0059146F" w:rsidRPr="00E44C93">
              <w:rPr>
                <w:color w:val="000000"/>
              </w:rPr>
              <w:t>з</w:t>
            </w:r>
            <w:r w:rsidR="008E6C15">
              <w:rPr>
                <w:bCs/>
                <w:color w:val="000000"/>
              </w:rPr>
              <w:t xml:space="preserve"> огляду на такі положення проекту Порядку:</w:t>
            </w:r>
          </w:p>
          <w:p w14:paraId="345464A1" w14:textId="77777777" w:rsidR="008E6C15" w:rsidRPr="008E6C15" w:rsidRDefault="008E6C15" w:rsidP="00444CE6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E6C15">
              <w:rPr>
                <w:color w:val="000000"/>
              </w:rPr>
              <w:t>30.</w:t>
            </w:r>
            <w:r w:rsidRPr="008E6C15">
              <w:rPr>
                <w:color w:val="000000"/>
              </w:rPr>
              <w:tab/>
              <w:t xml:space="preserve">Після подання заяви оператора про проведення державної реєстрації об’єкта в Реєстрі, програмними засобами </w:t>
            </w:r>
            <w:proofErr w:type="spellStart"/>
            <w:r w:rsidRPr="008E6C15">
              <w:rPr>
                <w:color w:val="000000"/>
              </w:rPr>
              <w:t>ЕкоСистеми</w:t>
            </w:r>
            <w:proofErr w:type="spellEnd"/>
            <w:r w:rsidRPr="008E6C15">
              <w:rPr>
                <w:color w:val="000000"/>
              </w:rPr>
              <w:t xml:space="preserve"> присвоюється реєстраційний номер об’єкта в Реєстрі та </w:t>
            </w:r>
            <w:r w:rsidRPr="008E6C15">
              <w:rPr>
                <w:b/>
                <w:bCs/>
                <w:color w:val="000000"/>
              </w:rPr>
              <w:t>автоматично вносяться дані про нього до Реєстру, що вважається прийнятим рішенням про державну реєстрацію об’єкта.</w:t>
            </w:r>
          </w:p>
          <w:p w14:paraId="5258B316" w14:textId="77777777" w:rsidR="008E6C15" w:rsidRPr="008E6C15" w:rsidRDefault="008E6C15" w:rsidP="00444CE6">
            <w:pPr>
              <w:pStyle w:val="ac"/>
              <w:spacing w:after="0"/>
              <w:jc w:val="both"/>
              <w:rPr>
                <w:color w:val="000000"/>
              </w:rPr>
            </w:pPr>
            <w:r w:rsidRPr="008E6C15">
              <w:rPr>
                <w:color w:val="000000"/>
              </w:rPr>
              <w:t>31.</w:t>
            </w:r>
            <w:r w:rsidRPr="008E6C15">
              <w:rPr>
                <w:color w:val="000000"/>
              </w:rPr>
              <w:tab/>
              <w:t xml:space="preserve">Після подання заяви оператора про внесення змін до записів у Реєстрі програмними засобами </w:t>
            </w:r>
            <w:proofErr w:type="spellStart"/>
            <w:r w:rsidRPr="008E6C15">
              <w:rPr>
                <w:color w:val="000000"/>
              </w:rPr>
              <w:t>ЕкоСистеми</w:t>
            </w:r>
            <w:proofErr w:type="spellEnd"/>
            <w:r w:rsidRPr="008E6C15">
              <w:rPr>
                <w:color w:val="000000"/>
              </w:rPr>
              <w:t xml:space="preserve"> </w:t>
            </w:r>
            <w:r w:rsidRPr="00B844C3">
              <w:rPr>
                <w:b/>
                <w:bCs/>
                <w:color w:val="000000"/>
              </w:rPr>
              <w:t>автоматично вносяться відповідні зміни до Реєстру про об’єкт.</w:t>
            </w:r>
            <w:r w:rsidRPr="008E6C15">
              <w:rPr>
                <w:color w:val="000000"/>
              </w:rPr>
              <w:t xml:space="preserve"> </w:t>
            </w:r>
          </w:p>
          <w:p w14:paraId="2FDB4017" w14:textId="77777777" w:rsidR="008E6C15" w:rsidRPr="008E6C15" w:rsidRDefault="008E6C15" w:rsidP="00444CE6">
            <w:pPr>
              <w:pStyle w:val="ac"/>
              <w:spacing w:after="0"/>
              <w:jc w:val="both"/>
              <w:rPr>
                <w:color w:val="000000"/>
              </w:rPr>
            </w:pPr>
            <w:r w:rsidRPr="008E6C15">
              <w:rPr>
                <w:color w:val="000000"/>
              </w:rPr>
              <w:t>32.</w:t>
            </w:r>
            <w:r w:rsidRPr="008E6C15">
              <w:rPr>
                <w:color w:val="000000"/>
              </w:rPr>
              <w:tab/>
              <w:t xml:space="preserve">Після подання заяви оператора про скасування державної реєстрації об’єкта в Реєстрі </w:t>
            </w:r>
            <w:r w:rsidRPr="008E6C15">
              <w:rPr>
                <w:color w:val="000000"/>
              </w:rPr>
              <w:lastRenderedPageBreak/>
              <w:t xml:space="preserve">чи прийняття звіту (уточненого звіту) оператора вона автоматично програмними засобами </w:t>
            </w:r>
            <w:proofErr w:type="spellStart"/>
            <w:r w:rsidRPr="008E6C15">
              <w:rPr>
                <w:color w:val="000000"/>
              </w:rPr>
              <w:t>ЕкоСистеми</w:t>
            </w:r>
            <w:proofErr w:type="spellEnd"/>
            <w:r w:rsidRPr="008E6C15">
              <w:rPr>
                <w:color w:val="000000"/>
              </w:rPr>
              <w:t xml:space="preserve"> направляється на розгляд відповідальним особам </w:t>
            </w:r>
            <w:proofErr w:type="spellStart"/>
            <w:r w:rsidRPr="008E6C15">
              <w:rPr>
                <w:color w:val="000000"/>
              </w:rPr>
              <w:t>Міндовкілля</w:t>
            </w:r>
            <w:proofErr w:type="spellEnd"/>
            <w:r w:rsidRPr="008E6C15">
              <w:rPr>
                <w:color w:val="000000"/>
              </w:rPr>
              <w:t>.</w:t>
            </w:r>
          </w:p>
          <w:p w14:paraId="099F4F04" w14:textId="040BDB4A" w:rsidR="008E6C15" w:rsidRPr="008E6C15" w:rsidRDefault="008E6C15" w:rsidP="00444CE6">
            <w:pPr>
              <w:pStyle w:val="ac"/>
              <w:spacing w:after="0"/>
              <w:jc w:val="both"/>
              <w:rPr>
                <w:color w:val="000000"/>
              </w:rPr>
            </w:pPr>
            <w:r w:rsidRPr="008E6C15">
              <w:rPr>
                <w:color w:val="000000"/>
              </w:rPr>
              <w:t>33.</w:t>
            </w:r>
            <w:r w:rsidRPr="008E6C15">
              <w:rPr>
                <w:color w:val="000000"/>
              </w:rPr>
              <w:tab/>
            </w:r>
            <w:r>
              <w:rPr>
                <w:color w:val="000000"/>
              </w:rPr>
              <w:t xml:space="preserve">… </w:t>
            </w:r>
            <w:r w:rsidRPr="008E6C15">
              <w:rPr>
                <w:color w:val="000000"/>
              </w:rPr>
              <w:t xml:space="preserve">За результатами розгляду заяви оператора про скасування державної реєстрації об’єкта в Реєстрі, </w:t>
            </w:r>
            <w:proofErr w:type="spellStart"/>
            <w:r w:rsidRPr="00B844C3">
              <w:rPr>
                <w:b/>
                <w:bCs/>
                <w:color w:val="000000"/>
              </w:rPr>
              <w:t>Міндовкілля</w:t>
            </w:r>
            <w:proofErr w:type="spellEnd"/>
            <w:r w:rsidRPr="00B844C3">
              <w:rPr>
                <w:b/>
                <w:bCs/>
                <w:color w:val="000000"/>
              </w:rPr>
              <w:t xml:space="preserve"> приймає рішення про внесення відповідних даних до Реєстру</w:t>
            </w:r>
            <w:r w:rsidRPr="008E6C15">
              <w:rPr>
                <w:color w:val="000000"/>
              </w:rPr>
              <w:t xml:space="preserve"> або про відмову у формі інформаційного повідомлення. </w:t>
            </w:r>
          </w:p>
          <w:p w14:paraId="7777AF21" w14:textId="77777777" w:rsidR="008E6C15" w:rsidRDefault="008E6C15" w:rsidP="00444CE6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B844C3">
              <w:rPr>
                <w:b/>
                <w:bCs/>
                <w:color w:val="000000"/>
              </w:rPr>
              <w:t xml:space="preserve">У разі прийняття рішення про внесення відповідних даних до Реєстру програмними засобами </w:t>
            </w:r>
            <w:proofErr w:type="spellStart"/>
            <w:r w:rsidRPr="00B844C3">
              <w:rPr>
                <w:b/>
                <w:bCs/>
                <w:color w:val="000000"/>
              </w:rPr>
              <w:t>ЕкоСистеми</w:t>
            </w:r>
            <w:proofErr w:type="spellEnd"/>
            <w:r w:rsidRPr="00B844C3">
              <w:rPr>
                <w:b/>
                <w:bCs/>
                <w:color w:val="000000"/>
              </w:rPr>
              <w:t xml:space="preserve"> вносяться відповідні зміни до Реєстру</w:t>
            </w:r>
            <w:r w:rsidRPr="008E6C15">
              <w:rPr>
                <w:color w:val="000000"/>
              </w:rPr>
              <w:t xml:space="preserve"> та забезпечується скасування державної реєстрації об’єкта у Реєстрі.</w:t>
            </w:r>
          </w:p>
          <w:p w14:paraId="2D1D5F5F" w14:textId="77777777" w:rsidR="008E6C15" w:rsidRPr="008E6C15" w:rsidRDefault="008E6C15" w:rsidP="00444CE6">
            <w:pPr>
              <w:pStyle w:val="ac"/>
              <w:spacing w:after="0"/>
              <w:jc w:val="both"/>
              <w:rPr>
                <w:color w:val="000000"/>
              </w:rPr>
            </w:pPr>
            <w:r w:rsidRPr="008E6C15">
              <w:rPr>
                <w:color w:val="000000"/>
              </w:rPr>
              <w:t xml:space="preserve">34. </w:t>
            </w:r>
            <w:r w:rsidRPr="00B844C3">
              <w:rPr>
                <w:b/>
                <w:bCs/>
                <w:color w:val="000000"/>
              </w:rPr>
              <w:t xml:space="preserve">Програмними засобами </w:t>
            </w:r>
            <w:proofErr w:type="spellStart"/>
            <w:r w:rsidRPr="00B844C3">
              <w:rPr>
                <w:b/>
                <w:bCs/>
                <w:color w:val="000000"/>
              </w:rPr>
              <w:t>ЕкоСистеми</w:t>
            </w:r>
            <w:proofErr w:type="spellEnd"/>
            <w:r w:rsidRPr="00B844C3">
              <w:rPr>
                <w:b/>
                <w:bCs/>
                <w:color w:val="000000"/>
              </w:rPr>
              <w:t xml:space="preserve"> автоматично здійснюється скасування державної реєстрації об’єкта у Реєстрі у разі </w:t>
            </w:r>
            <w:r w:rsidRPr="008E6C15">
              <w:rPr>
                <w:color w:val="000000"/>
              </w:rPr>
              <w:t>відображення у Єдиному державному реєстрі юридичних осіб та фізичних осіб – підприємців інформації про припинення юридичної особи оператора або припинення підприємницької діяльності фізичною особою - підприємцем оператором.</w:t>
            </w:r>
          </w:p>
          <w:p w14:paraId="72EF7FD1" w14:textId="02E1D5E3" w:rsidR="008E6C15" w:rsidRPr="008E6C15" w:rsidRDefault="008E6C15" w:rsidP="00444CE6">
            <w:pPr>
              <w:pStyle w:val="ac"/>
              <w:spacing w:after="0"/>
              <w:jc w:val="both"/>
              <w:rPr>
                <w:color w:val="000000"/>
              </w:rPr>
            </w:pPr>
            <w:r w:rsidRPr="008E6C15">
              <w:rPr>
                <w:color w:val="000000"/>
              </w:rPr>
              <w:t>35.</w:t>
            </w:r>
            <w:r w:rsidRPr="008E6C15">
              <w:rPr>
                <w:color w:val="000000"/>
              </w:rPr>
              <w:tab/>
            </w:r>
            <w:r w:rsidR="00B844C3">
              <w:rPr>
                <w:color w:val="000000"/>
              </w:rPr>
              <w:t xml:space="preserve">… </w:t>
            </w:r>
            <w:r w:rsidRPr="00B844C3">
              <w:rPr>
                <w:b/>
                <w:bCs/>
                <w:color w:val="000000"/>
              </w:rPr>
              <w:t xml:space="preserve">За результатами розгляду заяви оператора про прийняття звіту (уточненого звіту) оператора, </w:t>
            </w:r>
            <w:proofErr w:type="spellStart"/>
            <w:r w:rsidRPr="00B844C3">
              <w:rPr>
                <w:b/>
                <w:bCs/>
                <w:color w:val="000000"/>
              </w:rPr>
              <w:t>Міндовкілля</w:t>
            </w:r>
            <w:proofErr w:type="spellEnd"/>
            <w:r w:rsidRPr="00B844C3">
              <w:rPr>
                <w:b/>
                <w:bCs/>
                <w:color w:val="000000"/>
              </w:rPr>
              <w:t xml:space="preserve"> приймає рішення про прийняття звіту (уточненого </w:t>
            </w:r>
            <w:r w:rsidRPr="00B844C3">
              <w:rPr>
                <w:b/>
                <w:bCs/>
                <w:color w:val="000000"/>
              </w:rPr>
              <w:lastRenderedPageBreak/>
              <w:t>звіту)</w:t>
            </w:r>
            <w:r w:rsidRPr="008E6C15">
              <w:rPr>
                <w:color w:val="000000"/>
              </w:rPr>
              <w:t xml:space="preserve">  або про відмову у формі інформаційного повідомлення.</w:t>
            </w:r>
          </w:p>
          <w:p w14:paraId="3B78EFCD" w14:textId="77777777" w:rsidR="008E6C15" w:rsidRPr="00B844C3" w:rsidRDefault="008E6C15" w:rsidP="00444CE6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B844C3">
              <w:rPr>
                <w:b/>
                <w:bCs/>
                <w:color w:val="000000"/>
              </w:rPr>
              <w:t xml:space="preserve">У разі прийняття рішення про прийняття звіту (уточненого звіту) програмними засобами </w:t>
            </w:r>
            <w:proofErr w:type="spellStart"/>
            <w:r w:rsidRPr="00B844C3">
              <w:rPr>
                <w:b/>
                <w:bCs/>
                <w:color w:val="000000"/>
              </w:rPr>
              <w:t>ЕкоСистеми</w:t>
            </w:r>
            <w:proofErr w:type="spellEnd"/>
            <w:r w:rsidRPr="00B844C3">
              <w:rPr>
                <w:b/>
                <w:bCs/>
                <w:color w:val="000000"/>
              </w:rPr>
              <w:t xml:space="preserve"> вносяться дані, зазначені у звіті (уточненому звіті) оператора до Реєстру.</w:t>
            </w:r>
          </w:p>
          <w:p w14:paraId="071524DB" w14:textId="77777777" w:rsidR="008E6C15" w:rsidRDefault="008E6C15" w:rsidP="00444CE6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8E6C15">
              <w:rPr>
                <w:color w:val="000000"/>
              </w:rPr>
              <w:t>41.</w:t>
            </w:r>
            <w:r w:rsidRPr="008E6C15">
              <w:rPr>
                <w:color w:val="000000"/>
              </w:rPr>
              <w:tab/>
              <w:t xml:space="preserve">На підставі наданих довідок про дифузні джерела та даних, отриманих у відповідь на запити </w:t>
            </w:r>
            <w:proofErr w:type="spellStart"/>
            <w:r w:rsidRPr="008E6C15">
              <w:rPr>
                <w:color w:val="000000"/>
              </w:rPr>
              <w:t>Міндовкілля</w:t>
            </w:r>
            <w:proofErr w:type="spellEnd"/>
            <w:r w:rsidRPr="008E6C15">
              <w:rPr>
                <w:color w:val="000000"/>
              </w:rPr>
              <w:t xml:space="preserve"> відповідно до частини п’ятої    статті 19 Закону, </w:t>
            </w:r>
            <w:proofErr w:type="spellStart"/>
            <w:r w:rsidRPr="008E6C15">
              <w:rPr>
                <w:color w:val="000000"/>
              </w:rPr>
              <w:t>Міндовкілля</w:t>
            </w:r>
            <w:proofErr w:type="spellEnd"/>
            <w:r w:rsidRPr="008E6C15">
              <w:rPr>
                <w:color w:val="000000"/>
              </w:rPr>
              <w:t xml:space="preserve"> здійснює розрахунки викидів, що здійснюються дифузними джерелами, створює електронний документ, що містить інформацію про викиди, що здійснюються дифузними джерелами, </w:t>
            </w:r>
            <w:r w:rsidRPr="00B844C3">
              <w:rPr>
                <w:b/>
                <w:bCs/>
                <w:color w:val="000000"/>
              </w:rPr>
              <w:t>та вносить його до Реєстру</w:t>
            </w:r>
            <w:r w:rsidRPr="008E6C15">
              <w:rPr>
                <w:color w:val="000000"/>
              </w:rPr>
              <w:t xml:space="preserve"> до 1 серпня року, наступного за звітним.</w:t>
            </w:r>
          </w:p>
          <w:p w14:paraId="2F9E3A67" w14:textId="77777777" w:rsidR="008874E3" w:rsidRDefault="008874E3" w:rsidP="00444CE6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89311C1" w14:textId="69557520" w:rsidR="00B844C3" w:rsidRPr="00B844C3" w:rsidRDefault="00B844C3" w:rsidP="00CB7791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 огляду на зазначене інформація в Реєстрі з</w:t>
            </w:r>
            <w:r w:rsidRPr="00CB7791">
              <w:rPr>
                <w:color w:val="000000"/>
              </w:rPr>
              <w:t>’</w:t>
            </w:r>
            <w:r>
              <w:rPr>
                <w:color w:val="000000"/>
              </w:rPr>
              <w:t xml:space="preserve">являється (тобто є доступною для громадськості) </w:t>
            </w:r>
            <w:r w:rsidR="00CB7791">
              <w:rPr>
                <w:color w:val="000000"/>
              </w:rPr>
              <w:t>автоматично</w:t>
            </w:r>
            <w:r w:rsidR="00CB7791" w:rsidRPr="00CB77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після </w:t>
            </w:r>
            <w:r w:rsidR="00CB7791">
              <w:rPr>
                <w:color w:val="000000"/>
              </w:rPr>
              <w:t>накладення електронного підпису</w:t>
            </w:r>
            <w:bookmarkStart w:id="2" w:name="_GoBack"/>
            <w:bookmarkEnd w:id="2"/>
            <w:r w:rsidR="00CB7791">
              <w:rPr>
                <w:color w:val="000000"/>
              </w:rPr>
              <w:t xml:space="preserve">, що базується на кваліфікованому сертифікаті електронного підпису оператора </w:t>
            </w:r>
            <w:r>
              <w:rPr>
                <w:color w:val="000000"/>
              </w:rPr>
              <w:t xml:space="preserve">або після прийняття відповідного рішення </w:t>
            </w:r>
            <w:proofErr w:type="spellStart"/>
            <w:r>
              <w:rPr>
                <w:color w:val="000000"/>
              </w:rPr>
              <w:t>Міндовкілля</w:t>
            </w:r>
            <w:proofErr w:type="spellEnd"/>
            <w:r>
              <w:rPr>
                <w:color w:val="000000"/>
              </w:rPr>
              <w:t>, якщо відповідно до Закону передбачено процедуру розгляду.</w:t>
            </w:r>
          </w:p>
        </w:tc>
      </w:tr>
      <w:tr w:rsidR="007B7DCC" w:rsidRPr="00AA450A" w14:paraId="0193BB05" w14:textId="77777777" w:rsidTr="003B633A">
        <w:tc>
          <w:tcPr>
            <w:tcW w:w="615" w:type="dxa"/>
          </w:tcPr>
          <w:p w14:paraId="6531F4CD" w14:textId="1B7A6119" w:rsidR="007B7DCC" w:rsidRDefault="007B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38" w:type="dxa"/>
          </w:tcPr>
          <w:p w14:paraId="1E48ADC3" w14:textId="32452E26" w:rsidR="007B7DCC" w:rsidRPr="007B7DCC" w:rsidRDefault="007B7DCC" w:rsidP="007B7D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C1D"/>
                <w:sz w:val="24"/>
                <w:szCs w:val="24"/>
              </w:rPr>
            </w:pPr>
            <w:r w:rsidRPr="007B7DCC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Додати до Загальних положень Порядку пункт, згідно з яким оброблені дані</w:t>
            </w:r>
            <w:r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 </w:t>
            </w:r>
            <w:r w:rsidRPr="007B7DCC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про викиди та перенесення забруднювачів і відход</w:t>
            </w:r>
            <w:r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ів, крім інформації з обмеженим </w:t>
            </w:r>
            <w:r w:rsidRPr="007B7DCC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доступом, </w:t>
            </w:r>
            <w:proofErr w:type="spellStart"/>
            <w:r w:rsidRPr="007B7DCC"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  <w:t>Міндовкілля</w:t>
            </w:r>
            <w:proofErr w:type="spellEnd"/>
            <w:r w:rsidRPr="007B7DCC"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  <w:t xml:space="preserve"> регулярно або </w:t>
            </w:r>
            <w:r w:rsidRPr="007B7DCC"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  <w:lastRenderedPageBreak/>
              <w:t>Реєстр автоматично буде публікувати на</w:t>
            </w:r>
          </w:p>
          <w:p w14:paraId="488947FF" w14:textId="0C6F5A55" w:rsidR="007B7DCC" w:rsidRPr="001322BF" w:rsidRDefault="007B7DCC" w:rsidP="007B7D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C1D"/>
                <w:sz w:val="24"/>
                <w:szCs w:val="24"/>
              </w:rPr>
            </w:pPr>
            <w:r w:rsidRPr="007B7DCC">
              <w:rPr>
                <w:rFonts w:ascii="Times New Roman" w:hAnsi="Times New Roman" w:cs="Times New Roman"/>
                <w:b/>
                <w:bCs/>
                <w:color w:val="1D1C1D"/>
                <w:sz w:val="24"/>
                <w:szCs w:val="24"/>
              </w:rPr>
              <w:t xml:space="preserve">Єдиному державному веб-порталі відкритих даних у формі відкритих даних </w:t>
            </w:r>
            <w:r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– набору </w:t>
            </w:r>
            <w:r w:rsidRPr="007B7DCC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даних (електронного документа) у форматі, що дає з</w:t>
            </w:r>
            <w:r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 xml:space="preserve">могу здійснювати автоматизовану </w:t>
            </w:r>
            <w:r w:rsidRPr="007B7DCC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обробку електронними засобами даних Реєстру з метою їх повторного використання.</w:t>
            </w:r>
          </w:p>
        </w:tc>
        <w:tc>
          <w:tcPr>
            <w:tcW w:w="4745" w:type="dxa"/>
          </w:tcPr>
          <w:p w14:paraId="559BCE36" w14:textId="58FA4D2D" w:rsidR="007B7DCC" w:rsidRPr="00AA450A" w:rsidRDefault="007B7DCC" w:rsidP="0072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передбачено</w:t>
            </w:r>
          </w:p>
        </w:tc>
        <w:tc>
          <w:tcPr>
            <w:tcW w:w="5400" w:type="dxa"/>
          </w:tcPr>
          <w:p w14:paraId="7826C1CF" w14:textId="77777777" w:rsidR="007B7DCC" w:rsidRDefault="007B7DCC" w:rsidP="003F2C7D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Відхилено</w:t>
            </w:r>
            <w:proofErr w:type="spellEnd"/>
          </w:p>
          <w:p w14:paraId="06866248" w14:textId="77777777" w:rsidR="00DB6C5D" w:rsidRDefault="00DB6C5D" w:rsidP="00DB6C5D">
            <w:pPr>
              <w:pStyle w:val="ac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18.04.2023 Кабінет Міністрів України прийняв постанову «Про затвердження Порядку складення та оприлюднення звіту уповноваженого органу про викиди та перенесення забруднювачів і </w:t>
            </w:r>
            <w:r>
              <w:rPr>
                <w:bCs/>
                <w:color w:val="000000"/>
              </w:rPr>
              <w:lastRenderedPageBreak/>
              <w:t>відходів» № 352.</w:t>
            </w:r>
          </w:p>
          <w:p w14:paraId="5542DFE2" w14:textId="61DFC8CB" w:rsidR="007B7DCC" w:rsidRPr="007B7DCC" w:rsidRDefault="007B7DCC" w:rsidP="00DB6C5D">
            <w:pPr>
              <w:pStyle w:val="ac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Згідно п. 10 </w:t>
            </w:r>
            <w:r w:rsidR="00DB6C5D">
              <w:rPr>
                <w:bCs/>
                <w:color w:val="000000"/>
              </w:rPr>
              <w:t xml:space="preserve">цієї </w:t>
            </w:r>
            <w:r>
              <w:rPr>
                <w:bCs/>
                <w:color w:val="000000"/>
              </w:rPr>
              <w:t xml:space="preserve">постанови </w:t>
            </w:r>
            <w:proofErr w:type="spellStart"/>
            <w:r w:rsidRPr="00DB6C5D">
              <w:rPr>
                <w:shd w:val="clear" w:color="auto" w:fill="FFFFFF"/>
              </w:rPr>
              <w:t>Міндовкілля</w:t>
            </w:r>
            <w:proofErr w:type="spellEnd"/>
            <w:r w:rsidRPr="00DB6C5D">
              <w:rPr>
                <w:shd w:val="clear" w:color="auto" w:fill="FFFFFF"/>
              </w:rPr>
              <w:t xml:space="preserve"> забезпечує оприлюднення звіту на своєму офіційному веб-сайті та на Єдиному державному </w:t>
            </w:r>
            <w:proofErr w:type="spellStart"/>
            <w:r w:rsidRPr="00444CE6">
              <w:rPr>
                <w:shd w:val="clear" w:color="auto" w:fill="FFFFFF"/>
              </w:rPr>
              <w:t>вебпорталі</w:t>
            </w:r>
            <w:proofErr w:type="spellEnd"/>
            <w:r w:rsidRPr="00444CE6">
              <w:rPr>
                <w:shd w:val="clear" w:color="auto" w:fill="FFFFFF"/>
              </w:rPr>
              <w:t xml:space="preserve"> відкритих даних у строк, визначений Законом.</w:t>
            </w:r>
            <w:r w:rsidR="00DB6C5D" w:rsidRPr="00444CE6">
              <w:rPr>
                <w:shd w:val="clear" w:color="auto" w:fill="FFFFFF"/>
              </w:rPr>
              <w:t xml:space="preserve"> </w:t>
            </w:r>
            <w:proofErr w:type="spellStart"/>
            <w:r w:rsidR="00DB6C5D" w:rsidRPr="00444CE6">
              <w:rPr>
                <w:shd w:val="clear" w:color="auto" w:fill="FFFFFF"/>
              </w:rPr>
              <w:t>Міндовкілля</w:t>
            </w:r>
            <w:proofErr w:type="spellEnd"/>
            <w:r w:rsidR="00DB6C5D" w:rsidRPr="00444CE6">
              <w:rPr>
                <w:shd w:val="clear" w:color="auto" w:fill="FFFFFF"/>
              </w:rPr>
              <w:t xml:space="preserve"> формує щороку звіт на основі даних, що містяться в Національному реєстрі викидів та перенесення забруднювачів, звітах операторів та довідках про дифузні джерела, за відповідний звітний рік шляхом їх узагальнення та аналізу.</w:t>
            </w:r>
          </w:p>
        </w:tc>
      </w:tr>
      <w:tr w:rsidR="00DB6C5D" w:rsidRPr="00AA450A" w14:paraId="40A8D4EA" w14:textId="77777777" w:rsidTr="003B633A">
        <w:tc>
          <w:tcPr>
            <w:tcW w:w="615" w:type="dxa"/>
          </w:tcPr>
          <w:p w14:paraId="417BBA11" w14:textId="27FCE855" w:rsidR="00DB6C5D" w:rsidRDefault="00DB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38" w:type="dxa"/>
          </w:tcPr>
          <w:p w14:paraId="429DFE62" w14:textId="70E334EF" w:rsidR="00DB6C5D" w:rsidRPr="007B7DCC" w:rsidRDefault="00DB6C5D" w:rsidP="007B7D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C1D"/>
                <w:sz w:val="24"/>
                <w:szCs w:val="24"/>
              </w:rPr>
            </w:pPr>
            <w:r w:rsidRPr="00DB6C5D">
              <w:rPr>
                <w:rFonts w:ascii="Times New Roman" w:hAnsi="Times New Roman" w:cs="Times New Roman"/>
                <w:color w:val="1D1C1D"/>
                <w:sz w:val="24"/>
                <w:szCs w:val="24"/>
              </w:rPr>
              <w:t>Виправити дублювання номерів пунктів Порядку 27 та 28</w:t>
            </w:r>
            <w:r>
              <w:rPr>
                <w:rFonts w:ascii="TimesNewRomanPSMT" w:hAnsi="TimesNewRomanPSMT" w:cs="TimesNewRomanPSMT"/>
                <w:color w:val="1D1C1D"/>
                <w:sz w:val="24"/>
                <w:szCs w:val="24"/>
              </w:rPr>
              <w:t>.</w:t>
            </w:r>
          </w:p>
        </w:tc>
        <w:tc>
          <w:tcPr>
            <w:tcW w:w="4745" w:type="dxa"/>
          </w:tcPr>
          <w:p w14:paraId="4234D822" w14:textId="77777777" w:rsidR="00DB6C5D" w:rsidRDefault="00DB6C5D" w:rsidP="0072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0F2F9EE1" w14:textId="77777777" w:rsidR="00DB6C5D" w:rsidRDefault="00DB6C5D" w:rsidP="003F2C7D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Враховано</w:t>
            </w:r>
          </w:p>
          <w:p w14:paraId="005464BA" w14:textId="7F0DABAE" w:rsidR="00DB6C5D" w:rsidRPr="00DB6C5D" w:rsidRDefault="00DB6C5D" w:rsidP="00DB6C5D">
            <w:pPr>
              <w:pStyle w:val="ac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Виправлено нумерацію.</w:t>
            </w:r>
          </w:p>
        </w:tc>
      </w:tr>
    </w:tbl>
    <w:p w14:paraId="2613CF22" w14:textId="30EECC0C" w:rsidR="006130A8" w:rsidRPr="0011157E" w:rsidRDefault="006130A8" w:rsidP="00FB4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50A">
        <w:rPr>
          <w:rFonts w:ascii="Times New Roman" w:hAnsi="Times New Roman" w:cs="Times New Roman"/>
          <w:sz w:val="28"/>
          <w:szCs w:val="28"/>
        </w:rPr>
        <w:t>________</w:t>
      </w:r>
      <w:r w:rsidR="00FB46DA"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6130A8" w:rsidRPr="0011157E" w:rsidSect="00B23627">
      <w:headerReference w:type="default" r:id="rId9"/>
      <w:pgSz w:w="16838" w:h="11906" w:orient="landscape"/>
      <w:pgMar w:top="709" w:right="850" w:bottom="567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BA807" w14:textId="77777777" w:rsidR="00D47F05" w:rsidRDefault="00D47F05" w:rsidP="00E172FB">
      <w:pPr>
        <w:spacing w:after="0" w:line="240" w:lineRule="auto"/>
      </w:pPr>
      <w:r>
        <w:separator/>
      </w:r>
    </w:p>
  </w:endnote>
  <w:endnote w:type="continuationSeparator" w:id="0">
    <w:p w14:paraId="0607CACA" w14:textId="77777777" w:rsidR="00D47F05" w:rsidRDefault="00D47F05" w:rsidP="00E1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39A77" w14:textId="77777777" w:rsidR="00D47F05" w:rsidRDefault="00D47F05" w:rsidP="00E172FB">
      <w:pPr>
        <w:spacing w:after="0" w:line="240" w:lineRule="auto"/>
      </w:pPr>
      <w:r>
        <w:separator/>
      </w:r>
    </w:p>
  </w:footnote>
  <w:footnote w:type="continuationSeparator" w:id="0">
    <w:p w14:paraId="55C686E6" w14:textId="77777777" w:rsidR="00D47F05" w:rsidRDefault="00D47F05" w:rsidP="00E1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4793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3AA75A" w14:textId="52D113C8" w:rsidR="002B4EA7" w:rsidRDefault="002B4EA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9C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EA70F9B" w14:textId="77777777" w:rsidR="0070571A" w:rsidRDefault="007057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C24"/>
    <w:multiLevelType w:val="multilevel"/>
    <w:tmpl w:val="5D588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03753DA"/>
    <w:multiLevelType w:val="hybridMultilevel"/>
    <w:tmpl w:val="D242B8AC"/>
    <w:lvl w:ilvl="0" w:tplc="10443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A3B27"/>
    <w:multiLevelType w:val="hybridMultilevel"/>
    <w:tmpl w:val="0496554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664F0"/>
    <w:multiLevelType w:val="hybridMultilevel"/>
    <w:tmpl w:val="E40E79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90DF1"/>
    <w:multiLevelType w:val="hybridMultilevel"/>
    <w:tmpl w:val="D474EF42"/>
    <w:lvl w:ilvl="0" w:tplc="0422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83D7272"/>
    <w:multiLevelType w:val="hybridMultilevel"/>
    <w:tmpl w:val="D17657E4"/>
    <w:lvl w:ilvl="0" w:tplc="38B4B1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D2CB4"/>
    <w:multiLevelType w:val="hybridMultilevel"/>
    <w:tmpl w:val="EFF093D6"/>
    <w:lvl w:ilvl="0" w:tplc="294EE8C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03E72"/>
    <w:multiLevelType w:val="hybridMultilevel"/>
    <w:tmpl w:val="BA2A9336"/>
    <w:lvl w:ilvl="0" w:tplc="10443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14074"/>
    <w:multiLevelType w:val="hybridMultilevel"/>
    <w:tmpl w:val="C7EE8B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638BB"/>
    <w:multiLevelType w:val="multilevel"/>
    <w:tmpl w:val="4F5AA3B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valchuk, Natalia">
    <w15:presenceInfo w15:providerId="AD" w15:userId="S::nkovalchuk@kpmg.ua::61df0ff3-e6de-4003-89f8-29d44ed0b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5A"/>
    <w:rsid w:val="00000851"/>
    <w:rsid w:val="00001682"/>
    <w:rsid w:val="00032EA7"/>
    <w:rsid w:val="00051E3A"/>
    <w:rsid w:val="00061F4F"/>
    <w:rsid w:val="000B6BFC"/>
    <w:rsid w:val="000C3767"/>
    <w:rsid w:val="000E3893"/>
    <w:rsid w:val="000E49DA"/>
    <w:rsid w:val="000F70E4"/>
    <w:rsid w:val="001019BC"/>
    <w:rsid w:val="0011157E"/>
    <w:rsid w:val="0011216D"/>
    <w:rsid w:val="001322BF"/>
    <w:rsid w:val="00140C00"/>
    <w:rsid w:val="00141F16"/>
    <w:rsid w:val="00181B7D"/>
    <w:rsid w:val="00184AD6"/>
    <w:rsid w:val="00191C8B"/>
    <w:rsid w:val="001A4442"/>
    <w:rsid w:val="001B0DEB"/>
    <w:rsid w:val="001B456B"/>
    <w:rsid w:val="001C0D06"/>
    <w:rsid w:val="001C72F0"/>
    <w:rsid w:val="001E5DB2"/>
    <w:rsid w:val="0020748A"/>
    <w:rsid w:val="00211DCA"/>
    <w:rsid w:val="00222841"/>
    <w:rsid w:val="00237EEB"/>
    <w:rsid w:val="002533D3"/>
    <w:rsid w:val="00255E76"/>
    <w:rsid w:val="00272998"/>
    <w:rsid w:val="00272CC1"/>
    <w:rsid w:val="002909A0"/>
    <w:rsid w:val="002915AC"/>
    <w:rsid w:val="00291861"/>
    <w:rsid w:val="002A0CB1"/>
    <w:rsid w:val="002B342C"/>
    <w:rsid w:val="002B4EA7"/>
    <w:rsid w:val="002D379B"/>
    <w:rsid w:val="00306680"/>
    <w:rsid w:val="00306F41"/>
    <w:rsid w:val="00323E88"/>
    <w:rsid w:val="00325BCF"/>
    <w:rsid w:val="00332C92"/>
    <w:rsid w:val="0039100E"/>
    <w:rsid w:val="003978C8"/>
    <w:rsid w:val="003A2BA0"/>
    <w:rsid w:val="003B3CD0"/>
    <w:rsid w:val="003B633A"/>
    <w:rsid w:val="003D3298"/>
    <w:rsid w:val="003E0772"/>
    <w:rsid w:val="003E3109"/>
    <w:rsid w:val="003E3F60"/>
    <w:rsid w:val="003E6311"/>
    <w:rsid w:val="003F2C7D"/>
    <w:rsid w:val="003F5CA6"/>
    <w:rsid w:val="00406DFE"/>
    <w:rsid w:val="00422AA7"/>
    <w:rsid w:val="0043735A"/>
    <w:rsid w:val="00444CE6"/>
    <w:rsid w:val="00445AFF"/>
    <w:rsid w:val="004703B0"/>
    <w:rsid w:val="00481F54"/>
    <w:rsid w:val="00487198"/>
    <w:rsid w:val="004A5C62"/>
    <w:rsid w:val="004D2164"/>
    <w:rsid w:val="004D38AE"/>
    <w:rsid w:val="004D49F1"/>
    <w:rsid w:val="004E7EFB"/>
    <w:rsid w:val="00501E99"/>
    <w:rsid w:val="00531D92"/>
    <w:rsid w:val="00553665"/>
    <w:rsid w:val="00574EAE"/>
    <w:rsid w:val="0059146F"/>
    <w:rsid w:val="005A12C2"/>
    <w:rsid w:val="005B08E8"/>
    <w:rsid w:val="005D2F37"/>
    <w:rsid w:val="005F0C9E"/>
    <w:rsid w:val="005F3065"/>
    <w:rsid w:val="006130A8"/>
    <w:rsid w:val="00633F07"/>
    <w:rsid w:val="006374FC"/>
    <w:rsid w:val="006405A6"/>
    <w:rsid w:val="00642447"/>
    <w:rsid w:val="00644932"/>
    <w:rsid w:val="00650663"/>
    <w:rsid w:val="00656F79"/>
    <w:rsid w:val="00657762"/>
    <w:rsid w:val="006900A3"/>
    <w:rsid w:val="006A61B0"/>
    <w:rsid w:val="006C17D8"/>
    <w:rsid w:val="006E2363"/>
    <w:rsid w:val="006E7191"/>
    <w:rsid w:val="006F46EA"/>
    <w:rsid w:val="0070571A"/>
    <w:rsid w:val="00720D41"/>
    <w:rsid w:val="007228A6"/>
    <w:rsid w:val="00722D2D"/>
    <w:rsid w:val="007747BC"/>
    <w:rsid w:val="0078766B"/>
    <w:rsid w:val="00793D13"/>
    <w:rsid w:val="00796D3F"/>
    <w:rsid w:val="007A4827"/>
    <w:rsid w:val="007B7DCC"/>
    <w:rsid w:val="007C2C08"/>
    <w:rsid w:val="007C2C44"/>
    <w:rsid w:val="007C585F"/>
    <w:rsid w:val="007D3A83"/>
    <w:rsid w:val="007E74BE"/>
    <w:rsid w:val="008005A4"/>
    <w:rsid w:val="0084593B"/>
    <w:rsid w:val="008874E3"/>
    <w:rsid w:val="00891928"/>
    <w:rsid w:val="008A49C0"/>
    <w:rsid w:val="008C65F0"/>
    <w:rsid w:val="008D13A8"/>
    <w:rsid w:val="008E3B19"/>
    <w:rsid w:val="008E6C15"/>
    <w:rsid w:val="00907CB7"/>
    <w:rsid w:val="00914D32"/>
    <w:rsid w:val="00935DB7"/>
    <w:rsid w:val="00940D47"/>
    <w:rsid w:val="0094185A"/>
    <w:rsid w:val="00956C10"/>
    <w:rsid w:val="00956FDC"/>
    <w:rsid w:val="00977FBA"/>
    <w:rsid w:val="00985F80"/>
    <w:rsid w:val="009A3303"/>
    <w:rsid w:val="009B0A34"/>
    <w:rsid w:val="009B1379"/>
    <w:rsid w:val="00A16759"/>
    <w:rsid w:val="00A54108"/>
    <w:rsid w:val="00A56E53"/>
    <w:rsid w:val="00A64F51"/>
    <w:rsid w:val="00A731F8"/>
    <w:rsid w:val="00A7530B"/>
    <w:rsid w:val="00A82E5B"/>
    <w:rsid w:val="00AA450A"/>
    <w:rsid w:val="00AD2C8E"/>
    <w:rsid w:val="00AD6455"/>
    <w:rsid w:val="00AF16BF"/>
    <w:rsid w:val="00AF3516"/>
    <w:rsid w:val="00B000F1"/>
    <w:rsid w:val="00B0101E"/>
    <w:rsid w:val="00B038C0"/>
    <w:rsid w:val="00B23627"/>
    <w:rsid w:val="00B25D8A"/>
    <w:rsid w:val="00B844C3"/>
    <w:rsid w:val="00BA4136"/>
    <w:rsid w:val="00BA53AB"/>
    <w:rsid w:val="00BC3BD1"/>
    <w:rsid w:val="00BD3A83"/>
    <w:rsid w:val="00BE3A63"/>
    <w:rsid w:val="00BF35C4"/>
    <w:rsid w:val="00C15ECD"/>
    <w:rsid w:val="00C22426"/>
    <w:rsid w:val="00C312F2"/>
    <w:rsid w:val="00C3634D"/>
    <w:rsid w:val="00C5236E"/>
    <w:rsid w:val="00C52DBF"/>
    <w:rsid w:val="00C54292"/>
    <w:rsid w:val="00C578BA"/>
    <w:rsid w:val="00C76102"/>
    <w:rsid w:val="00C96EB3"/>
    <w:rsid w:val="00CA4DFD"/>
    <w:rsid w:val="00CB7791"/>
    <w:rsid w:val="00CE1F4B"/>
    <w:rsid w:val="00CE239B"/>
    <w:rsid w:val="00CF09A5"/>
    <w:rsid w:val="00D03687"/>
    <w:rsid w:val="00D47F05"/>
    <w:rsid w:val="00D521B8"/>
    <w:rsid w:val="00D63C48"/>
    <w:rsid w:val="00D776E8"/>
    <w:rsid w:val="00D8056A"/>
    <w:rsid w:val="00D81FB1"/>
    <w:rsid w:val="00D87631"/>
    <w:rsid w:val="00D904B2"/>
    <w:rsid w:val="00DA4B20"/>
    <w:rsid w:val="00DB2CB5"/>
    <w:rsid w:val="00DB6C5D"/>
    <w:rsid w:val="00DD6080"/>
    <w:rsid w:val="00E00AE6"/>
    <w:rsid w:val="00E01F86"/>
    <w:rsid w:val="00E03B66"/>
    <w:rsid w:val="00E10BDD"/>
    <w:rsid w:val="00E172FB"/>
    <w:rsid w:val="00E20240"/>
    <w:rsid w:val="00E44C93"/>
    <w:rsid w:val="00E47CEE"/>
    <w:rsid w:val="00E5092D"/>
    <w:rsid w:val="00E561C6"/>
    <w:rsid w:val="00E736DC"/>
    <w:rsid w:val="00E769AA"/>
    <w:rsid w:val="00E92C41"/>
    <w:rsid w:val="00E94376"/>
    <w:rsid w:val="00EB4EDF"/>
    <w:rsid w:val="00EC250E"/>
    <w:rsid w:val="00ED1D49"/>
    <w:rsid w:val="00EE1C57"/>
    <w:rsid w:val="00EE2009"/>
    <w:rsid w:val="00EF47B3"/>
    <w:rsid w:val="00F04065"/>
    <w:rsid w:val="00F1285A"/>
    <w:rsid w:val="00F230AA"/>
    <w:rsid w:val="00F477C3"/>
    <w:rsid w:val="00F5504D"/>
    <w:rsid w:val="00F7115A"/>
    <w:rsid w:val="00F854B4"/>
    <w:rsid w:val="00FB46DA"/>
    <w:rsid w:val="00FD06D4"/>
    <w:rsid w:val="00FD1EEE"/>
    <w:rsid w:val="00FD3A43"/>
    <w:rsid w:val="00FE386B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F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3634D"/>
    <w:pPr>
      <w:ind w:left="720"/>
      <w:contextualSpacing/>
    </w:pPr>
  </w:style>
  <w:style w:type="paragraph" w:customStyle="1" w:styleId="rvps2">
    <w:name w:val="rvps2"/>
    <w:basedOn w:val="a"/>
    <w:rsid w:val="003F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3F5CA6"/>
  </w:style>
  <w:style w:type="character" w:customStyle="1" w:styleId="rvts46">
    <w:name w:val="rvts46"/>
    <w:basedOn w:val="a0"/>
    <w:rsid w:val="003F5CA6"/>
  </w:style>
  <w:style w:type="character" w:styleId="a5">
    <w:name w:val="Hyperlink"/>
    <w:basedOn w:val="a0"/>
    <w:uiPriority w:val="99"/>
    <w:unhideWhenUsed/>
    <w:rsid w:val="003F5CA6"/>
    <w:rPr>
      <w:color w:val="0000FF"/>
      <w:u w:val="single"/>
    </w:rPr>
  </w:style>
  <w:style w:type="character" w:customStyle="1" w:styleId="rvts37">
    <w:name w:val="rvts37"/>
    <w:basedOn w:val="a0"/>
    <w:rsid w:val="003F5CA6"/>
  </w:style>
  <w:style w:type="character" w:customStyle="1" w:styleId="rvts11">
    <w:name w:val="rvts11"/>
    <w:basedOn w:val="a0"/>
    <w:rsid w:val="003F5CA6"/>
  </w:style>
  <w:style w:type="paragraph" w:styleId="a6">
    <w:name w:val="Balloon Text"/>
    <w:basedOn w:val="a"/>
    <w:link w:val="a7"/>
    <w:uiPriority w:val="99"/>
    <w:semiHidden/>
    <w:unhideWhenUsed/>
    <w:rsid w:val="0006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F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72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72FB"/>
  </w:style>
  <w:style w:type="paragraph" w:styleId="aa">
    <w:name w:val="footer"/>
    <w:basedOn w:val="a"/>
    <w:link w:val="ab"/>
    <w:uiPriority w:val="99"/>
    <w:unhideWhenUsed/>
    <w:rsid w:val="00E172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72FB"/>
  </w:style>
  <w:style w:type="paragraph" w:styleId="ac">
    <w:name w:val="Normal (Web)"/>
    <w:basedOn w:val="a"/>
    <w:uiPriority w:val="99"/>
    <w:unhideWhenUsed/>
    <w:rsid w:val="0072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nresolvedMention1">
    <w:name w:val="Unresolved Mention1"/>
    <w:basedOn w:val="a0"/>
    <w:uiPriority w:val="99"/>
    <w:semiHidden/>
    <w:unhideWhenUsed/>
    <w:rsid w:val="00181B7D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B844C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44C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844C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44C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44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3634D"/>
    <w:pPr>
      <w:ind w:left="720"/>
      <w:contextualSpacing/>
    </w:pPr>
  </w:style>
  <w:style w:type="paragraph" w:customStyle="1" w:styleId="rvps2">
    <w:name w:val="rvps2"/>
    <w:basedOn w:val="a"/>
    <w:rsid w:val="003F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3F5CA6"/>
  </w:style>
  <w:style w:type="character" w:customStyle="1" w:styleId="rvts46">
    <w:name w:val="rvts46"/>
    <w:basedOn w:val="a0"/>
    <w:rsid w:val="003F5CA6"/>
  </w:style>
  <w:style w:type="character" w:styleId="a5">
    <w:name w:val="Hyperlink"/>
    <w:basedOn w:val="a0"/>
    <w:uiPriority w:val="99"/>
    <w:unhideWhenUsed/>
    <w:rsid w:val="003F5CA6"/>
    <w:rPr>
      <w:color w:val="0000FF"/>
      <w:u w:val="single"/>
    </w:rPr>
  </w:style>
  <w:style w:type="character" w:customStyle="1" w:styleId="rvts37">
    <w:name w:val="rvts37"/>
    <w:basedOn w:val="a0"/>
    <w:rsid w:val="003F5CA6"/>
  </w:style>
  <w:style w:type="character" w:customStyle="1" w:styleId="rvts11">
    <w:name w:val="rvts11"/>
    <w:basedOn w:val="a0"/>
    <w:rsid w:val="003F5CA6"/>
  </w:style>
  <w:style w:type="paragraph" w:styleId="a6">
    <w:name w:val="Balloon Text"/>
    <w:basedOn w:val="a"/>
    <w:link w:val="a7"/>
    <w:uiPriority w:val="99"/>
    <w:semiHidden/>
    <w:unhideWhenUsed/>
    <w:rsid w:val="0006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F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72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72FB"/>
  </w:style>
  <w:style w:type="paragraph" w:styleId="aa">
    <w:name w:val="footer"/>
    <w:basedOn w:val="a"/>
    <w:link w:val="ab"/>
    <w:uiPriority w:val="99"/>
    <w:unhideWhenUsed/>
    <w:rsid w:val="00E172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72FB"/>
  </w:style>
  <w:style w:type="paragraph" w:styleId="ac">
    <w:name w:val="Normal (Web)"/>
    <w:basedOn w:val="a"/>
    <w:uiPriority w:val="99"/>
    <w:unhideWhenUsed/>
    <w:rsid w:val="0072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nresolvedMention1">
    <w:name w:val="Unresolved Mention1"/>
    <w:basedOn w:val="a0"/>
    <w:uiPriority w:val="99"/>
    <w:semiHidden/>
    <w:unhideWhenUsed/>
    <w:rsid w:val="00181B7D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B844C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44C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844C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44C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44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7C6D-6AE6-4945-9430-E619D078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12617</Words>
  <Characters>7193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Nosykhin</dc:creator>
  <cp:lastModifiedBy>ЛУЧКО Катерина Андріївна</cp:lastModifiedBy>
  <cp:revision>2</cp:revision>
  <cp:lastPrinted>2023-04-18T09:53:00Z</cp:lastPrinted>
  <dcterms:created xsi:type="dcterms:W3CDTF">2023-05-05T12:17:00Z</dcterms:created>
  <dcterms:modified xsi:type="dcterms:W3CDTF">2023-05-05T12:17:00Z</dcterms:modified>
</cp:coreProperties>
</file>