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2815" w14:textId="77777777" w:rsidR="0023794B" w:rsidRPr="00C81BBE" w:rsidRDefault="0023794B" w:rsidP="0023794B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ПОЯСНЮВАЛЬНА ЗАПИСКА</w:t>
      </w:r>
    </w:p>
    <w:p w14:paraId="39BD2816" w14:textId="77777777" w:rsidR="0023794B" w:rsidRPr="00C81BBE" w:rsidRDefault="0023794B" w:rsidP="0023794B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proofErr w:type="spellStart"/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</w:t>
      </w: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AD0523"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розроблення, погодження та затвердження місцевих планів управління відходами</w:t>
      </w:r>
      <w:r w:rsidR="00AD0523"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A86789"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9BD2817" w14:textId="77777777" w:rsidR="0023794B" w:rsidRPr="00C81BBE" w:rsidRDefault="0023794B" w:rsidP="0023794B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18" w14:textId="77777777" w:rsidR="00AE0C3B" w:rsidRPr="00C81BBE" w:rsidRDefault="00AE0C3B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19" w14:textId="77777777" w:rsidR="00B14474" w:rsidRPr="00C81BBE" w:rsidRDefault="0023794B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B14474"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Мета</w:t>
      </w:r>
    </w:p>
    <w:p w14:paraId="39BD281A" w14:textId="77777777" w:rsidR="0023794B" w:rsidRPr="00C81BBE" w:rsidRDefault="0023794B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</w:t>
      </w:r>
      <w:r w:rsidR="00AD0523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розроблення, погодження та затвердження місцевих планів управління відходами</w:t>
      </w:r>
      <w:r w:rsidR="00AD0523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розроблено з метою </w:t>
      </w:r>
      <w:r w:rsidR="005E0FDA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врегулювання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механізму</w:t>
      </w:r>
      <w:r w:rsidR="005E0FDA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розроблення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місцевих планів управління відходам</w:t>
      </w:r>
      <w:r w:rsidR="005E0FDA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и, їх погодження та затвердження.</w:t>
      </w:r>
    </w:p>
    <w:p w14:paraId="39BD281B" w14:textId="77777777" w:rsidR="0023794B" w:rsidRPr="00C81BBE" w:rsidRDefault="0023794B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1C" w14:textId="77777777" w:rsidR="0023794B" w:rsidRPr="00C81BBE" w:rsidRDefault="0023794B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2. Обґрунтування необхідності прийняття </w:t>
      </w:r>
      <w:proofErr w:type="spellStart"/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</w:p>
    <w:p w14:paraId="39BD281D" w14:textId="77777777" w:rsidR="0023794B" w:rsidRPr="00C81BBE" w:rsidRDefault="0023794B" w:rsidP="0023794B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Необхідність прийняття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AD0523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зумовлена потребою </w:t>
      </w:r>
      <w:r w:rsidR="005E0FDA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визначення </w:t>
      </w:r>
      <w:r w:rsidR="002135F9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порядку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розроблення, погодження та затвердження місцевих планів управління відходам</w:t>
      </w:r>
      <w:r w:rsidR="003228D6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и, як це передбачено Законом України «Про управління відходами».</w:t>
      </w:r>
    </w:p>
    <w:p w14:paraId="39BD281F" w14:textId="07E78624" w:rsidR="0023794B" w:rsidRDefault="005E0FDA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розроблено Міністерством захисту довкілля та природних ресурсів України </w:t>
      </w:r>
      <w:r w:rsid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пункту 1.17 Плану </w:t>
      </w:r>
      <w:r w:rsidR="00487E2E"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організації підготовки проектів актів та виконання інших завдань, необхідних для забезпечення</w:t>
      </w:r>
      <w:r w:rsid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87E2E"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реалізації Закону України </w:t>
      </w:r>
      <w:r w:rsid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«Про управління відходами».</w:t>
      </w:r>
    </w:p>
    <w:p w14:paraId="35D6D0B2" w14:textId="7C44A684" w:rsidR="00487E2E" w:rsidRPr="00C81BBE" w:rsidRDefault="00487E2E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20" w14:textId="77777777" w:rsidR="00CB76F8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3. Основні положення проекту </w:t>
      </w:r>
      <w:proofErr w:type="spellStart"/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bookmarkStart w:id="0" w:name="_GoBack"/>
      <w:bookmarkEnd w:id="0"/>
      <w:proofErr w:type="spellEnd"/>
    </w:p>
    <w:p w14:paraId="291D0ABE" w14:textId="6CDE7B71" w:rsidR="00487E2E" w:rsidRPr="00A17110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постанови </w:t>
      </w:r>
      <w:r w:rsidR="00090CA4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пропонується</w:t>
      </w: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зокрема</w:t>
      </w:r>
      <w:r w:rsidR="00090CA4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встановити</w:t>
      </w: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14:paraId="5A31EF04" w14:textId="52B3A980" w:rsidR="00487E2E" w:rsidRPr="00A17110" w:rsidRDefault="00090CA4" w:rsidP="00A17110">
      <w:pPr>
        <w:shd w:val="clear" w:color="auto" w:fill="FFFFFF"/>
        <w:spacing w:before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порядок 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організаці</w:t>
      </w: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процес розроблення </w:t>
      </w:r>
      <w:r w:rsidR="00A17110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місцевих планів управління відходами (далі</w:t>
      </w:r>
      <w:r w:rsidR="001D2B01" w:rsidRPr="001D2B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17110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МПУВ)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</w:t>
      </w:r>
    </w:p>
    <w:p w14:paraId="48AB5E0B" w14:textId="734B9A5C" w:rsidR="00487E2E" w:rsidRPr="00A17110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вимоги до змісту та наповнення МПУВ;</w:t>
      </w:r>
    </w:p>
    <w:p w14:paraId="7143B3EB" w14:textId="4DAC08F1" w:rsidR="00487E2E" w:rsidRPr="00A17110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процедур</w:t>
      </w:r>
      <w:r w:rsidR="00090CA4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погодження МПУВ; </w:t>
      </w:r>
    </w:p>
    <w:p w14:paraId="4D5A3C1A" w14:textId="39927F3D" w:rsidR="00487E2E" w:rsidRPr="00A17110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механізм затвердження та оприлюднення МПУВ; </w:t>
      </w:r>
    </w:p>
    <w:p w14:paraId="19C0837F" w14:textId="3692709D" w:rsidR="00487E2E" w:rsidRPr="00A17110" w:rsidRDefault="00090CA4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порядок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затвердженого МПУВ;</w:t>
      </w:r>
    </w:p>
    <w:p w14:paraId="39BD2822" w14:textId="475D7172" w:rsidR="003228D6" w:rsidRPr="00487E2E" w:rsidRDefault="00090CA4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порядок 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організаці</w:t>
      </w:r>
      <w:r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487E2E" w:rsidRPr="00A1711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виконання МПУВ</w:t>
      </w:r>
      <w:r w:rsidR="00487E2E"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5EB66F1" w14:textId="77777777" w:rsidR="00487E2E" w:rsidRDefault="00487E2E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23" w14:textId="40B2C990" w:rsidR="00CB76F8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4. Правові аспекти</w:t>
      </w:r>
    </w:p>
    <w:p w14:paraId="39BD2824" w14:textId="77777777" w:rsidR="003228D6" w:rsidRPr="00C81BBE" w:rsidRDefault="00AD0523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розроблено відповідно до </w:t>
      </w:r>
      <w:r w:rsidR="003228D6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15 частини першої статті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 та </w:t>
      </w:r>
      <w:r w:rsidR="003228D6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частини другої статті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52 Закону України «Про управління відходами», якими передбачено, що </w:t>
      </w:r>
      <w:r w:rsidR="00E93E09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3228D6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орядок розроблення, погодження та затвердження місцевих планів управління відходами затверджується Кабінетом Міністрів України.</w:t>
      </w:r>
    </w:p>
    <w:p w14:paraId="39BD2825" w14:textId="77777777" w:rsidR="00F9589D" w:rsidRPr="00C81BBE" w:rsidRDefault="00F9589D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 цій сфері також діють:</w:t>
      </w:r>
    </w:p>
    <w:p w14:paraId="39BD2826" w14:textId="3A63597A" w:rsidR="00F9589D" w:rsidRPr="00C81BBE" w:rsidRDefault="00F9589D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Національна </w:t>
      </w:r>
      <w:r w:rsidRPr="00D92A2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стратегі</w:t>
      </w:r>
      <w:r w:rsidR="00090CA4" w:rsidRPr="00D92A2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</w:t>
      </w:r>
      <w:r w:rsidRPr="00D92A2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управління відходами в Україні до 2030 року, схвалена розпорядженням Кабінету Міністрів України від 08.11.2017 № 820;</w:t>
      </w:r>
    </w:p>
    <w:p w14:paraId="39BD2827" w14:textId="77777777" w:rsidR="00F9589D" w:rsidRPr="00C81BBE" w:rsidRDefault="00F9589D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Національний план управління відходами до 2030 року, затверджений розпорядженням Кабінету Міністрів України від 20.02.2019 № 117;</w:t>
      </w:r>
    </w:p>
    <w:p w14:paraId="39BD2828" w14:textId="0E22D27A" w:rsidR="00F9589D" w:rsidRPr="00C81BBE" w:rsidRDefault="00F9589D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Методичні рекомендації з розроблення регіональних планів управління відходами, затверджен</w:t>
      </w:r>
      <w:r w:rsidR="00090CA4" w:rsidRPr="00090CA4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/>
        </w:rPr>
        <w:t>і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наказом Міністерства захисту довкілля та природних ресурсів України 10 вересня 2021 року № 586.</w:t>
      </w:r>
    </w:p>
    <w:p w14:paraId="39BD2829" w14:textId="77777777" w:rsidR="00F9589D" w:rsidRPr="00C81BBE" w:rsidRDefault="00F9589D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8F14725" w14:textId="77777777" w:rsidR="00090CA4" w:rsidRDefault="00090CA4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2A" w14:textId="77777777" w:rsidR="0023794B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5. Фінансово-економічне обґрунтування</w:t>
      </w:r>
    </w:p>
    <w:p w14:paraId="39BD282B" w14:textId="62C53E06" w:rsidR="00CB76F8" w:rsidRDefault="00CB76F8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Реалізація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 потребує додаткових видатків з державного бюджету чи місцевих бюджетів.</w:t>
      </w:r>
    </w:p>
    <w:p w14:paraId="43E948A4" w14:textId="77777777" w:rsidR="00487E2E" w:rsidRPr="00C81BBE" w:rsidRDefault="00487E2E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2E" w14:textId="77777777" w:rsidR="00CB76F8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6. Позиція заінтересованих сторін</w:t>
      </w:r>
    </w:p>
    <w:p w14:paraId="54A372B7" w14:textId="77777777" w:rsidR="00A17110" w:rsidRDefault="00A17110" w:rsidP="00A17110">
      <w:pPr>
        <w:pStyle w:val="1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382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83824">
        <w:rPr>
          <w:rFonts w:ascii="Times New Roman" w:hAnsi="Times New Roman"/>
          <w:sz w:val="28"/>
          <w:szCs w:val="28"/>
          <w:lang w:val="uk-UA"/>
        </w:rPr>
        <w:t xml:space="preserve"> постанови розміщено на офіційному </w:t>
      </w:r>
      <w:proofErr w:type="spellStart"/>
      <w:r w:rsidRPr="0018382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1838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824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183824">
        <w:rPr>
          <w:rFonts w:ascii="Times New Roman" w:hAnsi="Times New Roman"/>
          <w:sz w:val="28"/>
          <w:szCs w:val="28"/>
          <w:lang w:val="uk-UA"/>
        </w:rPr>
        <w:t xml:space="preserve"> з метою проведення публічних консультацій.</w:t>
      </w:r>
    </w:p>
    <w:p w14:paraId="72B39F4C" w14:textId="1D74B019" w:rsidR="00487E2E" w:rsidRPr="00A17110" w:rsidRDefault="00487E2E" w:rsidP="00A17110">
      <w:pPr>
        <w:pStyle w:val="1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6FF314E7" w14:textId="77777777" w:rsidR="00487E2E" w:rsidRPr="00487E2E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 стосується питань соціально-трудової сфери, прав осіб з інвалідністю, функціонування і застосування української мови як державної.</w:t>
      </w:r>
    </w:p>
    <w:p w14:paraId="39BD2835" w14:textId="50D8BA64" w:rsidR="0023794B" w:rsidRDefault="00487E2E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вимог пункту 7 § 33 Регламенту Кабінету Міністрів України, затвердженого постановою Кабінету Міністрів України від 18.07.2007 № 950, </w:t>
      </w: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надсилається для надання висновків всеукраїнським асоціаціям органів місцевого самоврядування (Українська асоціація районних та обласних рад, Всеукраїнська асоціація громад, Асоціація міст України).</w:t>
      </w:r>
    </w:p>
    <w:p w14:paraId="5C302606" w14:textId="77777777" w:rsidR="00090CA4" w:rsidRPr="00090CA4" w:rsidRDefault="00090CA4" w:rsidP="00487E2E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/>
        </w:rPr>
      </w:pPr>
    </w:p>
    <w:p w14:paraId="39BD2836" w14:textId="77777777" w:rsidR="00CB76F8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7. Оцінка відповідності</w:t>
      </w:r>
      <w:r w:rsidR="006B5BE7"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9BD2837" w14:textId="77777777" w:rsidR="00E93E09" w:rsidRPr="00C81BBE" w:rsidRDefault="00E93E09" w:rsidP="00E93E09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Зобов’язання України у сфері європейської інтеграції (у тому числі міжнародно-правові) щодо предмета правового регулювання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відсутні.</w:t>
      </w:r>
    </w:p>
    <w:p w14:paraId="39BD2838" w14:textId="77777777" w:rsidR="00E93E09" w:rsidRPr="00C81BBE" w:rsidRDefault="00E93E09" w:rsidP="00E93E09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14:paraId="39BD2839" w14:textId="77777777" w:rsidR="00E93E09" w:rsidRPr="00C81BBE" w:rsidRDefault="00E93E09" w:rsidP="00E93E09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Норми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 містять ризиків вчинення корупційних правопорушень та правопорушень, пов’язаних з корупцією; відсутні положення, які створюють підстави для дискримінації. </w:t>
      </w:r>
    </w:p>
    <w:p w14:paraId="39BD283A" w14:textId="77777777" w:rsidR="00E93E09" w:rsidRPr="00C81BBE" w:rsidRDefault="00E93E09" w:rsidP="00E93E09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39BD283B" w14:textId="77777777" w:rsidR="00E93E09" w:rsidRPr="00C81BBE" w:rsidRDefault="00E93E09" w:rsidP="00E93E09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Громадська антикорупційна, громадська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антидискримінаційна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 громадська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гендерно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-правова експертизи не проводились.</w:t>
      </w:r>
    </w:p>
    <w:p w14:paraId="39BD283C" w14:textId="77777777" w:rsidR="00E93E09" w:rsidRPr="00C81BBE" w:rsidRDefault="00E93E09" w:rsidP="00B1447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3D" w14:textId="77777777" w:rsidR="00CB76F8" w:rsidRPr="00C81BBE" w:rsidRDefault="00CB76F8" w:rsidP="00CB76F8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8. Прогноз результатів</w:t>
      </w:r>
    </w:p>
    <w:p w14:paraId="39BD283E" w14:textId="77777777" w:rsidR="004F6E36" w:rsidRPr="00C81BBE" w:rsidRDefault="004F6E36" w:rsidP="004F6E36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Реалізація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матиме позитивний вплив на ключові інтереси органів </w:t>
      </w:r>
      <w:r w:rsidR="00DB4E6A"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державної </w:t>
      </w: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влади, органів місцевого самоврядування (територіальних громад) та представників громадянського суспільства.</w:t>
      </w:r>
    </w:p>
    <w:p w14:paraId="39BD283F" w14:textId="77777777" w:rsidR="000D76A4" w:rsidRPr="00C81BBE" w:rsidRDefault="004F6E36" w:rsidP="004F6E36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Прогноз впливу реалізації </w:t>
      </w:r>
      <w:proofErr w:type="spellStart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81BB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 ключові інтереси заінтересованих сторін додається.</w:t>
      </w:r>
    </w:p>
    <w:p w14:paraId="39BD2840" w14:textId="77777777" w:rsidR="004F6E36" w:rsidRPr="00C81BBE" w:rsidRDefault="004F6E36" w:rsidP="004F6E36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8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C81BBE" w:rsidRPr="00C81BBE" w14:paraId="39BD2844" w14:textId="77777777" w:rsidTr="00814B30">
        <w:tc>
          <w:tcPr>
            <w:tcW w:w="2268" w:type="dxa"/>
          </w:tcPr>
          <w:p w14:paraId="39BD2841" w14:textId="77777777" w:rsidR="000D76A4" w:rsidRPr="00C81BBE" w:rsidRDefault="00CB76F8" w:rsidP="00814B30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Заінтересована сторона</w:t>
            </w:r>
          </w:p>
        </w:tc>
        <w:tc>
          <w:tcPr>
            <w:tcW w:w="3402" w:type="dxa"/>
          </w:tcPr>
          <w:p w14:paraId="39BD2842" w14:textId="77777777" w:rsidR="000D76A4" w:rsidRPr="00C81BBE" w:rsidRDefault="00CB76F8" w:rsidP="00814B30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Вплив реалізації </w:t>
            </w:r>
            <w:proofErr w:type="spellStart"/>
            <w:r w:rsidRPr="00C81B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  <w:r w:rsidRPr="00C81B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 заінтересовану сторону</w:t>
            </w:r>
          </w:p>
        </w:tc>
        <w:tc>
          <w:tcPr>
            <w:tcW w:w="3402" w:type="dxa"/>
          </w:tcPr>
          <w:p w14:paraId="39BD2843" w14:textId="77777777" w:rsidR="000D76A4" w:rsidRPr="00C81BBE" w:rsidRDefault="00CB76F8" w:rsidP="00814B30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Пояснення очікуваного результату </w:t>
            </w:r>
          </w:p>
        </w:tc>
      </w:tr>
      <w:tr w:rsidR="00C81BBE" w:rsidRPr="00C81BBE" w14:paraId="39BD2848" w14:textId="77777777" w:rsidTr="00814B30">
        <w:tc>
          <w:tcPr>
            <w:tcW w:w="2268" w:type="dxa"/>
          </w:tcPr>
          <w:p w14:paraId="39BD2845" w14:textId="77777777" w:rsidR="000D76A4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Органи державної </w:t>
            </w: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>влади</w:t>
            </w:r>
          </w:p>
        </w:tc>
        <w:tc>
          <w:tcPr>
            <w:tcW w:w="3402" w:type="dxa"/>
          </w:tcPr>
          <w:p w14:paraId="39BD2846" w14:textId="77777777" w:rsidR="001E4244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3402" w:type="dxa"/>
          </w:tcPr>
          <w:p w14:paraId="39BD2847" w14:textId="77777777" w:rsidR="000B59A4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Забезпечення прозорості та відкритості інформації, розпорядниками якої є державні органи </w:t>
            </w:r>
          </w:p>
        </w:tc>
      </w:tr>
      <w:tr w:rsidR="00C81BBE" w:rsidRPr="00C81BBE" w14:paraId="39BD284D" w14:textId="77777777" w:rsidTr="00814B30">
        <w:tc>
          <w:tcPr>
            <w:tcW w:w="2268" w:type="dxa"/>
          </w:tcPr>
          <w:p w14:paraId="39BD2849" w14:textId="77777777" w:rsidR="00970AA5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Органи місцевого самоврядування</w:t>
            </w:r>
          </w:p>
          <w:p w14:paraId="39BD284A" w14:textId="77777777" w:rsidR="00836780" w:rsidRPr="00C81BBE" w:rsidRDefault="00836780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(територіальні громади)</w:t>
            </w:r>
          </w:p>
        </w:tc>
        <w:tc>
          <w:tcPr>
            <w:tcW w:w="3402" w:type="dxa"/>
          </w:tcPr>
          <w:p w14:paraId="39BD284B" w14:textId="77777777" w:rsidR="00970AA5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3402" w:type="dxa"/>
          </w:tcPr>
          <w:p w14:paraId="39BD284C" w14:textId="77777777" w:rsidR="00970AA5" w:rsidRPr="00C81BBE" w:rsidRDefault="00DB4E6A" w:rsidP="001431B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Забезпечує прозорість</w:t>
            </w:r>
            <w:r w:rsidR="001431B8"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участь територіальних громад під час розроблення</w:t>
            </w: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місцевих планів управління відходами</w:t>
            </w:r>
          </w:p>
        </w:tc>
      </w:tr>
      <w:tr w:rsidR="00970AA5" w:rsidRPr="00C81BBE" w14:paraId="39BD2851" w14:textId="77777777" w:rsidTr="00814B30">
        <w:tc>
          <w:tcPr>
            <w:tcW w:w="2268" w:type="dxa"/>
          </w:tcPr>
          <w:p w14:paraId="39BD284E" w14:textId="77777777" w:rsidR="00970AA5" w:rsidRPr="00C81BBE" w:rsidRDefault="00CB76F8" w:rsidP="00836780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Представники громад</w:t>
            </w:r>
            <w:r w:rsidR="00836780"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янського </w:t>
            </w: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суспільства </w:t>
            </w:r>
          </w:p>
        </w:tc>
        <w:tc>
          <w:tcPr>
            <w:tcW w:w="3402" w:type="dxa"/>
          </w:tcPr>
          <w:p w14:paraId="39BD284F" w14:textId="77777777" w:rsidR="00970AA5" w:rsidRPr="00C81BBE" w:rsidRDefault="00CB76F8" w:rsidP="00CB76F8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3402" w:type="dxa"/>
          </w:tcPr>
          <w:p w14:paraId="39BD2850" w14:textId="77777777" w:rsidR="00DB4E6A" w:rsidRPr="00C81BBE" w:rsidRDefault="00DB4E6A" w:rsidP="00DB4E6A">
            <w:pPr>
              <w:spacing w:before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81B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Полегшить участь громадськості у прийнятті управлінських рішень при розробленні місцевих планів управління відходами</w:t>
            </w:r>
          </w:p>
        </w:tc>
      </w:tr>
    </w:tbl>
    <w:p w14:paraId="39BD2852" w14:textId="77777777" w:rsidR="00517394" w:rsidRPr="00C81BBE" w:rsidRDefault="00517394" w:rsidP="0051739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54" w14:textId="77777777" w:rsidR="00517394" w:rsidRPr="00C81BBE" w:rsidRDefault="00517394" w:rsidP="0051739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55" w14:textId="77777777" w:rsidR="00517394" w:rsidRPr="00C81BBE" w:rsidRDefault="00517394" w:rsidP="00517394">
      <w:pPr>
        <w:shd w:val="clear" w:color="auto" w:fill="FFFFFF"/>
        <w:spacing w:before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Міністр захисту довкілля та </w:t>
      </w:r>
    </w:p>
    <w:p w14:paraId="39BD2856" w14:textId="77777777" w:rsidR="00517394" w:rsidRPr="00C81BBE" w:rsidRDefault="00517394" w:rsidP="00517394">
      <w:pPr>
        <w:shd w:val="clear" w:color="auto" w:fill="FFFFFF"/>
        <w:spacing w:before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C81BB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природних ресурсів України                                               Руслан СТРІЛЕЦЬ</w:t>
      </w:r>
    </w:p>
    <w:p w14:paraId="39BD2857" w14:textId="77777777" w:rsidR="00517394" w:rsidRPr="00C81BBE" w:rsidRDefault="00517394" w:rsidP="00517394">
      <w:pPr>
        <w:shd w:val="clear" w:color="auto" w:fill="FFFFFF"/>
        <w:spacing w:before="0"/>
        <w:ind w:firstLine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D2858" w14:textId="77777777" w:rsidR="00517394" w:rsidRPr="00487E2E" w:rsidRDefault="00517394" w:rsidP="00517394">
      <w:pPr>
        <w:shd w:val="clear" w:color="auto" w:fill="FFFFFF"/>
        <w:spacing w:before="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«___» _____________ 202</w:t>
      </w:r>
      <w:r w:rsidR="00CB76F8"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7136D6" w:rsidRPr="00487E2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9BD2859" w14:textId="77777777" w:rsidR="0081348D" w:rsidRPr="00C81BBE" w:rsidRDefault="0081348D" w:rsidP="00517394">
      <w:pPr>
        <w:shd w:val="clear" w:color="auto" w:fill="FFFFFF"/>
        <w:spacing w:before="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81348D" w:rsidRPr="00C81BBE" w:rsidSect="001D2B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F93CD" w15:done="0"/>
  <w15:commentEx w15:paraId="0B433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B8162" w14:textId="77777777" w:rsidR="00CB6847" w:rsidRDefault="00CB6847" w:rsidP="00092385">
      <w:pPr>
        <w:spacing w:before="0"/>
      </w:pPr>
      <w:r>
        <w:separator/>
      </w:r>
    </w:p>
  </w:endnote>
  <w:endnote w:type="continuationSeparator" w:id="0">
    <w:p w14:paraId="048480F6" w14:textId="77777777" w:rsidR="00CB6847" w:rsidRDefault="00CB6847" w:rsidP="000923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5B79" w14:textId="77777777" w:rsidR="00CB6847" w:rsidRDefault="00CB6847" w:rsidP="00092385">
      <w:pPr>
        <w:spacing w:before="0"/>
      </w:pPr>
      <w:r>
        <w:separator/>
      </w:r>
    </w:p>
  </w:footnote>
  <w:footnote w:type="continuationSeparator" w:id="0">
    <w:p w14:paraId="6D6725E8" w14:textId="77777777" w:rsidR="00CB6847" w:rsidRDefault="00CB6847" w:rsidP="000923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90706"/>
      <w:docPartObj>
        <w:docPartGallery w:val="Page Numbers (Top of Page)"/>
        <w:docPartUnique/>
      </w:docPartObj>
    </w:sdtPr>
    <w:sdtContent>
      <w:p w14:paraId="0593EA66" w14:textId="486A2421" w:rsidR="001D2B01" w:rsidRDefault="001D2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EB845A" w14:textId="77777777" w:rsidR="001D2B01" w:rsidRDefault="001D2B01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85"/>
    <w:rsid w:val="0000159E"/>
    <w:rsid w:val="00007C2A"/>
    <w:rsid w:val="00036297"/>
    <w:rsid w:val="00042556"/>
    <w:rsid w:val="00077252"/>
    <w:rsid w:val="00090CA4"/>
    <w:rsid w:val="00092385"/>
    <w:rsid w:val="000B59A4"/>
    <w:rsid w:val="000D03F5"/>
    <w:rsid w:val="000D32A2"/>
    <w:rsid w:val="000D390B"/>
    <w:rsid w:val="000D76A4"/>
    <w:rsid w:val="001121F3"/>
    <w:rsid w:val="001431B8"/>
    <w:rsid w:val="001907F8"/>
    <w:rsid w:val="001D2B01"/>
    <w:rsid w:val="001D3A9E"/>
    <w:rsid w:val="001E4244"/>
    <w:rsid w:val="002135F9"/>
    <w:rsid w:val="00220447"/>
    <w:rsid w:val="0023794B"/>
    <w:rsid w:val="00277AC7"/>
    <w:rsid w:val="002A49CE"/>
    <w:rsid w:val="002F200D"/>
    <w:rsid w:val="00302E1F"/>
    <w:rsid w:val="003228D6"/>
    <w:rsid w:val="00380124"/>
    <w:rsid w:val="00384BE5"/>
    <w:rsid w:val="00487E2E"/>
    <w:rsid w:val="00491F99"/>
    <w:rsid w:val="0049220B"/>
    <w:rsid w:val="004D4B4B"/>
    <w:rsid w:val="004F247A"/>
    <w:rsid w:val="004F6E36"/>
    <w:rsid w:val="00501C6F"/>
    <w:rsid w:val="00517394"/>
    <w:rsid w:val="00533C5D"/>
    <w:rsid w:val="00573D4F"/>
    <w:rsid w:val="005A0B95"/>
    <w:rsid w:val="005B24E7"/>
    <w:rsid w:val="005C3CC4"/>
    <w:rsid w:val="005E0FDA"/>
    <w:rsid w:val="005E558C"/>
    <w:rsid w:val="005F6F19"/>
    <w:rsid w:val="0064029D"/>
    <w:rsid w:val="00641E54"/>
    <w:rsid w:val="00696C5D"/>
    <w:rsid w:val="006B5BE7"/>
    <w:rsid w:val="006C1ADA"/>
    <w:rsid w:val="006D34E0"/>
    <w:rsid w:val="006F4C4A"/>
    <w:rsid w:val="007136D6"/>
    <w:rsid w:val="00731F1F"/>
    <w:rsid w:val="0074729E"/>
    <w:rsid w:val="007B48C0"/>
    <w:rsid w:val="0081348D"/>
    <w:rsid w:val="008330C2"/>
    <w:rsid w:val="00836780"/>
    <w:rsid w:val="008D0B45"/>
    <w:rsid w:val="00924EE7"/>
    <w:rsid w:val="00970AA5"/>
    <w:rsid w:val="009720D3"/>
    <w:rsid w:val="009A1BBD"/>
    <w:rsid w:val="00A1568D"/>
    <w:rsid w:val="00A17110"/>
    <w:rsid w:val="00A25EF5"/>
    <w:rsid w:val="00A41F2C"/>
    <w:rsid w:val="00A4634C"/>
    <w:rsid w:val="00A528BC"/>
    <w:rsid w:val="00A80F4A"/>
    <w:rsid w:val="00A86789"/>
    <w:rsid w:val="00A92099"/>
    <w:rsid w:val="00A9213C"/>
    <w:rsid w:val="00AD0523"/>
    <w:rsid w:val="00AE0C3B"/>
    <w:rsid w:val="00B14474"/>
    <w:rsid w:val="00B52072"/>
    <w:rsid w:val="00B6685E"/>
    <w:rsid w:val="00B673F1"/>
    <w:rsid w:val="00C0642D"/>
    <w:rsid w:val="00C2298F"/>
    <w:rsid w:val="00C45D07"/>
    <w:rsid w:val="00C50353"/>
    <w:rsid w:val="00C669A2"/>
    <w:rsid w:val="00C731E1"/>
    <w:rsid w:val="00C75124"/>
    <w:rsid w:val="00C81BBE"/>
    <w:rsid w:val="00CB6847"/>
    <w:rsid w:val="00CB76F8"/>
    <w:rsid w:val="00CC43CB"/>
    <w:rsid w:val="00D92A25"/>
    <w:rsid w:val="00DB4E6A"/>
    <w:rsid w:val="00DE576D"/>
    <w:rsid w:val="00DF0049"/>
    <w:rsid w:val="00E0293B"/>
    <w:rsid w:val="00E230F2"/>
    <w:rsid w:val="00E53A59"/>
    <w:rsid w:val="00E70A88"/>
    <w:rsid w:val="00E864BB"/>
    <w:rsid w:val="00E93E09"/>
    <w:rsid w:val="00EB618D"/>
    <w:rsid w:val="00F14D67"/>
    <w:rsid w:val="00F860B9"/>
    <w:rsid w:val="00F9589D"/>
    <w:rsid w:val="00F96D09"/>
    <w:rsid w:val="00FD275B"/>
    <w:rsid w:val="00FF28A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2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5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8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92385"/>
  </w:style>
  <w:style w:type="paragraph" w:styleId="a5">
    <w:name w:val="footer"/>
    <w:basedOn w:val="a"/>
    <w:link w:val="a6"/>
    <w:uiPriority w:val="99"/>
    <w:unhideWhenUsed/>
    <w:rsid w:val="0009238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92385"/>
  </w:style>
  <w:style w:type="paragraph" w:styleId="HTML">
    <w:name w:val="HTML Preformatted"/>
    <w:basedOn w:val="a"/>
    <w:link w:val="HTML0"/>
    <w:uiPriority w:val="99"/>
    <w:rsid w:val="00AE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0C3B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669A2"/>
    <w:pPr>
      <w:ind w:left="720"/>
      <w:contextualSpacing/>
    </w:pPr>
  </w:style>
  <w:style w:type="table" w:styleId="a8">
    <w:name w:val="Table Grid"/>
    <w:basedOn w:val="a1"/>
    <w:uiPriority w:val="59"/>
    <w:rsid w:val="00C6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0C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0C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0C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C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0C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0C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0CA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A171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5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8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92385"/>
  </w:style>
  <w:style w:type="paragraph" w:styleId="a5">
    <w:name w:val="footer"/>
    <w:basedOn w:val="a"/>
    <w:link w:val="a6"/>
    <w:uiPriority w:val="99"/>
    <w:unhideWhenUsed/>
    <w:rsid w:val="0009238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92385"/>
  </w:style>
  <w:style w:type="paragraph" w:styleId="HTML">
    <w:name w:val="HTML Preformatted"/>
    <w:basedOn w:val="a"/>
    <w:link w:val="HTML0"/>
    <w:uiPriority w:val="99"/>
    <w:rsid w:val="00AE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0C3B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669A2"/>
    <w:pPr>
      <w:ind w:left="720"/>
      <w:contextualSpacing/>
    </w:pPr>
  </w:style>
  <w:style w:type="table" w:styleId="a8">
    <w:name w:val="Table Grid"/>
    <w:basedOn w:val="a1"/>
    <w:uiPriority w:val="59"/>
    <w:rsid w:val="00C6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0C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0C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0C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C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0C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0C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0CA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A17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ОВДІЄНКО Ірина Вікторівна</cp:lastModifiedBy>
  <cp:revision>5</cp:revision>
  <cp:lastPrinted>2023-05-29T12:12:00Z</cp:lastPrinted>
  <dcterms:created xsi:type="dcterms:W3CDTF">2023-04-27T12:49:00Z</dcterms:created>
  <dcterms:modified xsi:type="dcterms:W3CDTF">2023-05-30T06:13:00Z</dcterms:modified>
</cp:coreProperties>
</file>