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2" w:rsidRPr="007E607E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7E607E">
        <w:rPr>
          <w:rFonts w:eastAsia="Times New Roman"/>
          <w:b/>
          <w:bCs/>
          <w:sz w:val="28"/>
          <w:szCs w:val="28"/>
          <w:lang w:val="uk-UA" w:eastAsia="ru-RU"/>
        </w:rPr>
        <w:t>АНАЛІЗ РЕГУЛЯТОРНОГО ВПЛИВУ</w:t>
      </w:r>
    </w:p>
    <w:p w:rsidR="00E24DF2" w:rsidRPr="00741E38" w:rsidRDefault="00E24DF2" w:rsidP="006445AC">
      <w:pPr>
        <w:widowControl w:val="0"/>
        <w:ind w:left="17"/>
        <w:jc w:val="center"/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</w:pPr>
      <w:r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до </w:t>
      </w:r>
      <w:proofErr w:type="spellStart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 постанови Кабінету Міністрів України </w:t>
      </w:r>
      <w:r w:rsidR="00A65FFF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«</w:t>
      </w:r>
      <w:r w:rsidR="00741E38" w:rsidRPr="00741E38">
        <w:rPr>
          <w:b/>
          <w:bCs/>
          <w:sz w:val="28"/>
          <w:szCs w:val="28"/>
          <w:shd w:val="clear" w:color="auto" w:fill="FFFFFF"/>
          <w:lang w:val="uk-UA"/>
        </w:rPr>
        <w:t xml:space="preserve">Про затвердження Порядку </w:t>
      </w:r>
      <w:r w:rsidR="00741E38" w:rsidRPr="00741E38">
        <w:rPr>
          <w:b/>
          <w:sz w:val="28"/>
          <w:szCs w:val="28"/>
          <w:lang w:val="uk-UA"/>
        </w:rPr>
        <w:t>уповноваження підприємств, установ</w:t>
      </w:r>
      <w:r w:rsidR="00530048">
        <w:rPr>
          <w:b/>
          <w:sz w:val="28"/>
          <w:szCs w:val="28"/>
          <w:lang w:val="uk-UA"/>
        </w:rPr>
        <w:t xml:space="preserve">, </w:t>
      </w:r>
      <w:r w:rsidR="00741E38" w:rsidRPr="00741E38">
        <w:rPr>
          <w:b/>
          <w:sz w:val="28"/>
          <w:szCs w:val="28"/>
          <w:lang w:val="uk-UA"/>
        </w:rPr>
        <w:t xml:space="preserve">організацій на здійснення державних випробувань з метою біологічної, екологічної та </w:t>
      </w:r>
      <w:proofErr w:type="spellStart"/>
      <w:r w:rsidR="00741E38" w:rsidRPr="00741E38">
        <w:rPr>
          <w:b/>
          <w:sz w:val="28"/>
          <w:szCs w:val="28"/>
          <w:lang w:val="uk-UA"/>
        </w:rPr>
        <w:t>токсиколого-гігієнічної</w:t>
      </w:r>
      <w:proofErr w:type="spellEnd"/>
      <w:r w:rsidR="00741E38" w:rsidRPr="00741E38">
        <w:rPr>
          <w:b/>
          <w:sz w:val="28"/>
          <w:szCs w:val="28"/>
          <w:lang w:val="uk-UA"/>
        </w:rPr>
        <w:t xml:space="preserve"> оцінки для цілей державної реєстрації пестицидів і агрохімікатів та внесення змін</w:t>
      </w:r>
      <w:r w:rsidR="00530048">
        <w:rPr>
          <w:b/>
          <w:sz w:val="28"/>
          <w:szCs w:val="28"/>
          <w:lang w:val="uk-UA"/>
        </w:rPr>
        <w:t xml:space="preserve"> до</w:t>
      </w:r>
      <w:r w:rsidR="00741E38" w:rsidRPr="00741E38">
        <w:rPr>
          <w:b/>
          <w:sz w:val="28"/>
          <w:szCs w:val="28"/>
          <w:lang w:val="uk-UA"/>
        </w:rPr>
        <w:t xml:space="preserve"> постанови Кабінету Міністрів України від</w:t>
      </w:r>
      <w:r w:rsidR="00741E38">
        <w:rPr>
          <w:b/>
          <w:sz w:val="28"/>
          <w:szCs w:val="28"/>
        </w:rPr>
        <w:t> </w:t>
      </w:r>
      <w:r w:rsidR="00741E38" w:rsidRPr="00741E38">
        <w:rPr>
          <w:b/>
          <w:sz w:val="28"/>
          <w:szCs w:val="28"/>
          <w:lang w:val="uk-UA"/>
        </w:rPr>
        <w:t>4</w:t>
      </w:r>
      <w:r w:rsidR="00741E38">
        <w:rPr>
          <w:b/>
          <w:sz w:val="28"/>
          <w:szCs w:val="28"/>
        </w:rPr>
        <w:t> </w:t>
      </w:r>
      <w:r w:rsidR="00741E38" w:rsidRPr="00741E38">
        <w:rPr>
          <w:b/>
          <w:sz w:val="28"/>
          <w:szCs w:val="28"/>
          <w:lang w:val="uk-UA"/>
        </w:rPr>
        <w:t>березня 1996 р. № 295</w:t>
      </w:r>
      <w:r w:rsidR="00741E38" w:rsidRPr="00741E38">
        <w:rPr>
          <w:b/>
          <w:bCs/>
          <w:spacing w:val="6"/>
          <w:sz w:val="28"/>
          <w:szCs w:val="28"/>
          <w:shd w:val="clear" w:color="auto" w:fill="FFFFFF"/>
          <w:lang w:val="uk-UA" w:eastAsia="ru-RU"/>
        </w:rPr>
        <w:t>»</w:t>
      </w:r>
    </w:p>
    <w:p w:rsidR="00575C69" w:rsidRPr="007E607E" w:rsidRDefault="00575C69" w:rsidP="00575C69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</w:p>
    <w:p w:rsidR="0092062B" w:rsidRDefault="00E24DF2" w:rsidP="003F59B5">
      <w:pPr>
        <w:widowControl w:val="0"/>
        <w:tabs>
          <w:tab w:val="left" w:pos="990"/>
        </w:tabs>
        <w:ind w:firstLine="567"/>
        <w:jc w:val="both"/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</w:pPr>
      <w:r w:rsidRPr="007E607E"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  <w:t>І. Визначення проблеми</w:t>
      </w:r>
    </w:p>
    <w:p w:rsidR="00881CA2" w:rsidRPr="00B45C5E" w:rsidRDefault="00D60B47" w:rsidP="003F59B5">
      <w:pPr>
        <w:widowControl w:val="0"/>
        <w:tabs>
          <w:tab w:val="left" w:pos="990"/>
        </w:tabs>
        <w:ind w:firstLine="567"/>
        <w:jc w:val="both"/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</w:pP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Екологічна безпека є однією і</w:t>
      </w:r>
      <w:r w:rsidR="00881CA2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з </w:t>
      </w: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найважливіших складових екологічної безпеки України. На </w:t>
      </w:r>
      <w:r w:rsidR="009152E1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сьогодні на Україна</w:t>
      </w: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, як одн</w:t>
      </w:r>
      <w:r w:rsidR="009152E1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а</w:t>
      </w: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із найбільших світових агропромислових країн</w:t>
      </w:r>
      <w:r w:rsidR="009152E1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, для підтримки продовольчої безпеки змушена використовувати значну кількість пестицидів і агрохімікатів</w:t>
      </w:r>
      <w:r w:rsidR="008713B7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, що може призвести до виникнення негативних чинників</w:t>
      </w:r>
      <w:r w:rsidR="008C7372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, які впливають</w:t>
      </w:r>
      <w:r w:rsidR="008713B7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на здоров’я людей, тварин та </w:t>
      </w:r>
      <w:r w:rsidR="008C7372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безпеку навколишнього природного середовища.</w:t>
      </w:r>
    </w:p>
    <w:p w:rsidR="008C7372" w:rsidRPr="00B45C5E" w:rsidRDefault="008C7372" w:rsidP="003F59B5">
      <w:pPr>
        <w:widowControl w:val="0"/>
        <w:tabs>
          <w:tab w:val="left" w:pos="990"/>
        </w:tabs>
        <w:ind w:firstLine="567"/>
        <w:jc w:val="both"/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</w:pP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Надзвичайно важлива роль у дотриманні екологічної безпеки належить до </w:t>
      </w:r>
      <w:r w:rsidR="000C1F52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державному регулюванню допуску до ринку пестицидів і агрохімікатів.</w:t>
      </w:r>
    </w:p>
    <w:p w:rsidR="00E15F97" w:rsidRPr="00B45C5E" w:rsidRDefault="00E15F97" w:rsidP="003F59B5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На сьогодні, відповідно до Закону України «Про пестициди і агрохімікати»</w:t>
      </w:r>
      <w:r w:rsidR="00BC0833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(далі – Закон)</w:t>
      </w:r>
      <w:r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, </w:t>
      </w:r>
      <w:r w:rsidR="00CB33B8" w:rsidRPr="00B45C5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основними принципами </w:t>
      </w:r>
      <w:r w:rsidR="00CB33B8" w:rsidRPr="00B45C5E">
        <w:rPr>
          <w:sz w:val="28"/>
          <w:szCs w:val="28"/>
          <w:shd w:val="clear" w:color="auto" w:fill="FFFFFF"/>
          <w:lang w:val="uk-UA"/>
        </w:rPr>
        <w:t>державної політики у сфері діяльності, пов'язаної з пестицидами і агрохімікатами Є:</w:t>
      </w:r>
    </w:p>
    <w:p w:rsidR="00CB33B8" w:rsidRPr="00B45C5E" w:rsidRDefault="00CB33B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45C5E">
        <w:rPr>
          <w:sz w:val="28"/>
          <w:szCs w:val="28"/>
          <w:lang w:val="uk-UA"/>
        </w:rPr>
        <w:t>пріоритетність збереження здоров'я людини і охорони навколишнього природного середовища по відношенню до економічного ефекту від застосування пестицидів і агрохімікатів;</w:t>
      </w:r>
    </w:p>
    <w:p w:rsidR="00CB33B8" w:rsidRPr="00B45C5E" w:rsidRDefault="00CB33B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n33"/>
      <w:bookmarkEnd w:id="0"/>
      <w:proofErr w:type="spellStart"/>
      <w:r w:rsidRPr="00B45C5E">
        <w:rPr>
          <w:sz w:val="28"/>
          <w:szCs w:val="28"/>
        </w:rPr>
        <w:t>державна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proofErr w:type="gramStart"/>
      <w:r w:rsidRPr="00B45C5E">
        <w:rPr>
          <w:sz w:val="28"/>
          <w:szCs w:val="28"/>
        </w:rPr>
        <w:t>п</w:t>
      </w:r>
      <w:proofErr w:type="gramEnd"/>
      <w:r w:rsidRPr="00B45C5E">
        <w:rPr>
          <w:sz w:val="28"/>
          <w:szCs w:val="28"/>
        </w:rPr>
        <w:t>ідконтрольність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їх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ввезення</w:t>
      </w:r>
      <w:proofErr w:type="spellEnd"/>
      <w:r w:rsidRPr="00B45C5E">
        <w:rPr>
          <w:sz w:val="28"/>
          <w:szCs w:val="28"/>
        </w:rPr>
        <w:t xml:space="preserve"> на </w:t>
      </w:r>
      <w:proofErr w:type="spellStart"/>
      <w:r w:rsidRPr="00B45C5E">
        <w:rPr>
          <w:sz w:val="28"/>
          <w:szCs w:val="28"/>
        </w:rPr>
        <w:t>митну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територію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України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реєстрації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виробництва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зберігання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транспортування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торгівлі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і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застосування</w:t>
      </w:r>
      <w:proofErr w:type="spellEnd"/>
      <w:r w:rsidRPr="00B45C5E">
        <w:rPr>
          <w:sz w:val="28"/>
          <w:szCs w:val="28"/>
        </w:rPr>
        <w:t>;</w:t>
      </w:r>
    </w:p>
    <w:p w:rsidR="00CB33B8" w:rsidRPr="00B45C5E" w:rsidRDefault="00CB33B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n34"/>
      <w:bookmarkEnd w:id="1"/>
      <w:proofErr w:type="spellStart"/>
      <w:r w:rsidRPr="00B45C5E">
        <w:rPr>
          <w:sz w:val="28"/>
          <w:szCs w:val="28"/>
        </w:rPr>
        <w:t>обгрунтованість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їх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застосування</w:t>
      </w:r>
      <w:proofErr w:type="spellEnd"/>
      <w:r w:rsidRPr="00B45C5E">
        <w:rPr>
          <w:sz w:val="28"/>
          <w:szCs w:val="28"/>
        </w:rPr>
        <w:t>;</w:t>
      </w:r>
    </w:p>
    <w:p w:rsidR="00CB33B8" w:rsidRPr="00B45C5E" w:rsidRDefault="00CB33B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n35"/>
      <w:bookmarkEnd w:id="2"/>
      <w:proofErr w:type="spellStart"/>
      <w:proofErr w:type="gramStart"/>
      <w:r w:rsidRPr="00B45C5E">
        <w:rPr>
          <w:sz w:val="28"/>
          <w:szCs w:val="28"/>
        </w:rPr>
        <w:t>м</w:t>
      </w:r>
      <w:proofErr w:type="gramEnd"/>
      <w:r w:rsidRPr="00B45C5E">
        <w:rPr>
          <w:sz w:val="28"/>
          <w:szCs w:val="28"/>
        </w:rPr>
        <w:t>інімалізація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використання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пестицидів</w:t>
      </w:r>
      <w:proofErr w:type="spellEnd"/>
      <w:r w:rsidRPr="00B45C5E">
        <w:rPr>
          <w:sz w:val="28"/>
          <w:szCs w:val="28"/>
        </w:rPr>
        <w:t xml:space="preserve"> за </w:t>
      </w:r>
      <w:proofErr w:type="spellStart"/>
      <w:r w:rsidRPr="00B45C5E">
        <w:rPr>
          <w:sz w:val="28"/>
          <w:szCs w:val="28"/>
        </w:rPr>
        <w:t>рахунок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впровадження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біологічного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землеробства</w:t>
      </w:r>
      <w:proofErr w:type="spellEnd"/>
      <w:r w:rsidRPr="00B45C5E">
        <w:rPr>
          <w:sz w:val="28"/>
          <w:szCs w:val="28"/>
        </w:rPr>
        <w:t xml:space="preserve"> та </w:t>
      </w:r>
      <w:proofErr w:type="spellStart"/>
      <w:r w:rsidRPr="00B45C5E">
        <w:rPr>
          <w:sz w:val="28"/>
          <w:szCs w:val="28"/>
        </w:rPr>
        <w:t>інших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екологічно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безпечних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нехімічних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методів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захисту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рослин</w:t>
      </w:r>
      <w:proofErr w:type="spellEnd"/>
      <w:r w:rsidRPr="00B45C5E">
        <w:rPr>
          <w:sz w:val="28"/>
          <w:szCs w:val="28"/>
        </w:rPr>
        <w:t>;</w:t>
      </w:r>
    </w:p>
    <w:p w:rsidR="00CB33B8" w:rsidRPr="00B45C5E" w:rsidRDefault="00CB33B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3" w:name="n36"/>
      <w:bookmarkEnd w:id="3"/>
      <w:proofErr w:type="spellStart"/>
      <w:r w:rsidRPr="00B45C5E">
        <w:rPr>
          <w:sz w:val="28"/>
          <w:szCs w:val="28"/>
        </w:rPr>
        <w:t>безпечність</w:t>
      </w:r>
      <w:proofErr w:type="spellEnd"/>
      <w:r w:rsidRPr="00B45C5E">
        <w:rPr>
          <w:sz w:val="28"/>
          <w:szCs w:val="28"/>
        </w:rPr>
        <w:t xml:space="preserve"> для </w:t>
      </w:r>
      <w:proofErr w:type="spellStart"/>
      <w:r w:rsidRPr="00B45C5E">
        <w:rPr>
          <w:sz w:val="28"/>
          <w:szCs w:val="28"/>
        </w:rPr>
        <w:t>здоров'я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людини</w:t>
      </w:r>
      <w:proofErr w:type="spellEnd"/>
      <w:r w:rsidRPr="00B45C5E">
        <w:rPr>
          <w:sz w:val="28"/>
          <w:szCs w:val="28"/>
        </w:rPr>
        <w:t xml:space="preserve"> та </w:t>
      </w:r>
      <w:proofErr w:type="spellStart"/>
      <w:r w:rsidRPr="00B45C5E">
        <w:rPr>
          <w:sz w:val="28"/>
          <w:szCs w:val="28"/>
        </w:rPr>
        <w:t>навколишнього</w:t>
      </w:r>
      <w:proofErr w:type="spellEnd"/>
      <w:r w:rsidRPr="00B45C5E">
        <w:rPr>
          <w:sz w:val="28"/>
          <w:szCs w:val="28"/>
        </w:rPr>
        <w:t xml:space="preserve"> природного </w:t>
      </w:r>
      <w:proofErr w:type="spellStart"/>
      <w:r w:rsidRPr="00B45C5E">
        <w:rPr>
          <w:sz w:val="28"/>
          <w:szCs w:val="28"/>
        </w:rPr>
        <w:t>середовища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proofErr w:type="gramStart"/>
      <w:r w:rsidRPr="00B45C5E">
        <w:rPr>
          <w:sz w:val="28"/>
          <w:szCs w:val="28"/>
        </w:rPr>
        <w:t>п</w:t>
      </w:r>
      <w:proofErr w:type="gramEnd"/>
      <w:r w:rsidRPr="00B45C5E">
        <w:rPr>
          <w:sz w:val="28"/>
          <w:szCs w:val="28"/>
        </w:rPr>
        <w:t>ід</w:t>
      </w:r>
      <w:proofErr w:type="spellEnd"/>
      <w:r w:rsidRPr="00B45C5E">
        <w:rPr>
          <w:sz w:val="28"/>
          <w:szCs w:val="28"/>
        </w:rPr>
        <w:t xml:space="preserve"> час </w:t>
      </w:r>
      <w:proofErr w:type="spellStart"/>
      <w:r w:rsidRPr="00B45C5E">
        <w:rPr>
          <w:sz w:val="28"/>
          <w:szCs w:val="28"/>
        </w:rPr>
        <w:t>їх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виробництва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транспортування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зберігання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випробування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і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застосування</w:t>
      </w:r>
      <w:proofErr w:type="spellEnd"/>
      <w:r w:rsidRPr="00B45C5E">
        <w:rPr>
          <w:sz w:val="28"/>
          <w:szCs w:val="28"/>
        </w:rPr>
        <w:t xml:space="preserve"> за </w:t>
      </w:r>
      <w:proofErr w:type="spellStart"/>
      <w:r w:rsidRPr="00B45C5E">
        <w:rPr>
          <w:sz w:val="28"/>
          <w:szCs w:val="28"/>
        </w:rPr>
        <w:t>умови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дотримання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вимог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встановлених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санітарними</w:t>
      </w:r>
      <w:proofErr w:type="spellEnd"/>
      <w:r w:rsidRPr="00B45C5E">
        <w:rPr>
          <w:sz w:val="28"/>
          <w:szCs w:val="28"/>
        </w:rPr>
        <w:t xml:space="preserve"> нормами та </w:t>
      </w:r>
      <w:proofErr w:type="spellStart"/>
      <w:r w:rsidRPr="00B45C5E">
        <w:rPr>
          <w:sz w:val="28"/>
          <w:szCs w:val="28"/>
        </w:rPr>
        <w:t>інш</w:t>
      </w:r>
      <w:r w:rsidR="00662F48" w:rsidRPr="00B45C5E">
        <w:rPr>
          <w:sz w:val="28"/>
          <w:szCs w:val="28"/>
        </w:rPr>
        <w:t>ими</w:t>
      </w:r>
      <w:proofErr w:type="spellEnd"/>
      <w:r w:rsidR="00662F48" w:rsidRPr="00B45C5E">
        <w:rPr>
          <w:sz w:val="28"/>
          <w:szCs w:val="28"/>
        </w:rPr>
        <w:t xml:space="preserve"> </w:t>
      </w:r>
      <w:proofErr w:type="spellStart"/>
      <w:r w:rsidR="00662F48" w:rsidRPr="00B45C5E">
        <w:rPr>
          <w:sz w:val="28"/>
          <w:szCs w:val="28"/>
        </w:rPr>
        <w:t>нормативно-правовими</w:t>
      </w:r>
      <w:proofErr w:type="spellEnd"/>
      <w:r w:rsidR="00662F48" w:rsidRPr="00B45C5E">
        <w:rPr>
          <w:sz w:val="28"/>
          <w:szCs w:val="28"/>
        </w:rPr>
        <w:t xml:space="preserve"> актами</w:t>
      </w:r>
      <w:r w:rsidR="00662F48" w:rsidRPr="00B45C5E">
        <w:rPr>
          <w:sz w:val="28"/>
          <w:szCs w:val="28"/>
          <w:lang w:val="uk-UA"/>
        </w:rPr>
        <w:t>.</w:t>
      </w:r>
    </w:p>
    <w:p w:rsidR="00662F48" w:rsidRPr="00B45C5E" w:rsidRDefault="00662F4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C5E">
        <w:rPr>
          <w:sz w:val="28"/>
          <w:szCs w:val="28"/>
          <w:lang w:val="uk-UA"/>
        </w:rPr>
        <w:t>При цьому, статтею 4 зазначеного Закону передбачено, що п</w:t>
      </w:r>
      <w:proofErr w:type="spellStart"/>
      <w:r w:rsidRPr="00B45C5E">
        <w:rPr>
          <w:sz w:val="28"/>
          <w:szCs w:val="28"/>
        </w:rPr>
        <w:t>естициди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і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агрохімікати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вітчизняного</w:t>
      </w:r>
      <w:proofErr w:type="spellEnd"/>
      <w:r w:rsidRPr="00B45C5E">
        <w:rPr>
          <w:sz w:val="28"/>
          <w:szCs w:val="28"/>
        </w:rPr>
        <w:t xml:space="preserve">, а </w:t>
      </w:r>
      <w:proofErr w:type="spellStart"/>
      <w:r w:rsidRPr="00B45C5E">
        <w:rPr>
          <w:sz w:val="28"/>
          <w:szCs w:val="28"/>
        </w:rPr>
        <w:t>також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іноземного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виробництва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що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завозяться</w:t>
      </w:r>
      <w:proofErr w:type="spellEnd"/>
      <w:r w:rsidRPr="00B45C5E">
        <w:rPr>
          <w:sz w:val="28"/>
          <w:szCs w:val="28"/>
        </w:rPr>
        <w:t xml:space="preserve"> для </w:t>
      </w:r>
      <w:proofErr w:type="spellStart"/>
      <w:r w:rsidRPr="00B45C5E">
        <w:rPr>
          <w:sz w:val="28"/>
          <w:szCs w:val="28"/>
        </w:rPr>
        <w:t>використання</w:t>
      </w:r>
      <w:proofErr w:type="spellEnd"/>
      <w:r w:rsidRPr="00B45C5E">
        <w:rPr>
          <w:sz w:val="28"/>
          <w:szCs w:val="28"/>
        </w:rPr>
        <w:t xml:space="preserve"> на </w:t>
      </w:r>
      <w:proofErr w:type="spellStart"/>
      <w:r w:rsidRPr="00B45C5E">
        <w:rPr>
          <w:sz w:val="28"/>
          <w:szCs w:val="28"/>
        </w:rPr>
        <w:t>територію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України</w:t>
      </w:r>
      <w:proofErr w:type="spellEnd"/>
      <w:r w:rsidRPr="00B45C5E">
        <w:rPr>
          <w:sz w:val="28"/>
          <w:szCs w:val="28"/>
        </w:rPr>
        <w:t xml:space="preserve">, </w:t>
      </w:r>
      <w:proofErr w:type="spellStart"/>
      <w:r w:rsidRPr="00B45C5E">
        <w:rPr>
          <w:sz w:val="28"/>
          <w:szCs w:val="28"/>
        </w:rPr>
        <w:t>повинні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відповідати</w:t>
      </w:r>
      <w:proofErr w:type="spellEnd"/>
      <w:r w:rsidRPr="00B45C5E">
        <w:rPr>
          <w:sz w:val="28"/>
          <w:szCs w:val="28"/>
        </w:rPr>
        <w:t xml:space="preserve"> таким </w:t>
      </w:r>
      <w:proofErr w:type="spellStart"/>
      <w:r w:rsidRPr="00B45C5E">
        <w:rPr>
          <w:sz w:val="28"/>
          <w:szCs w:val="28"/>
        </w:rPr>
        <w:t>вимогам</w:t>
      </w:r>
      <w:proofErr w:type="spellEnd"/>
      <w:r w:rsidRPr="00B45C5E">
        <w:rPr>
          <w:sz w:val="28"/>
          <w:szCs w:val="28"/>
        </w:rPr>
        <w:t>:</w:t>
      </w:r>
    </w:p>
    <w:p w:rsidR="00662F48" w:rsidRPr="00B45C5E" w:rsidRDefault="00662F4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n43"/>
      <w:bookmarkEnd w:id="4"/>
      <w:proofErr w:type="spellStart"/>
      <w:r w:rsidRPr="00B45C5E">
        <w:rPr>
          <w:sz w:val="28"/>
          <w:szCs w:val="28"/>
        </w:rPr>
        <w:t>висока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біологічна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ефективність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щодо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цільового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призначення</w:t>
      </w:r>
      <w:proofErr w:type="spellEnd"/>
      <w:r w:rsidRPr="00B45C5E">
        <w:rPr>
          <w:sz w:val="28"/>
          <w:szCs w:val="28"/>
        </w:rPr>
        <w:t>;</w:t>
      </w:r>
    </w:p>
    <w:p w:rsidR="00662F48" w:rsidRPr="00B45C5E" w:rsidRDefault="00662F4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44"/>
      <w:bookmarkEnd w:id="5"/>
      <w:proofErr w:type="spellStart"/>
      <w:r w:rsidRPr="00B45C5E">
        <w:rPr>
          <w:sz w:val="28"/>
          <w:szCs w:val="28"/>
        </w:rPr>
        <w:t>безпечність</w:t>
      </w:r>
      <w:proofErr w:type="spellEnd"/>
      <w:r w:rsidRPr="00B45C5E">
        <w:rPr>
          <w:sz w:val="28"/>
          <w:szCs w:val="28"/>
        </w:rPr>
        <w:t xml:space="preserve"> для </w:t>
      </w:r>
      <w:proofErr w:type="spellStart"/>
      <w:r w:rsidRPr="00B45C5E">
        <w:rPr>
          <w:sz w:val="28"/>
          <w:szCs w:val="28"/>
        </w:rPr>
        <w:t>здоров'я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людини</w:t>
      </w:r>
      <w:proofErr w:type="spellEnd"/>
      <w:r w:rsidRPr="00B45C5E">
        <w:rPr>
          <w:sz w:val="28"/>
          <w:szCs w:val="28"/>
        </w:rPr>
        <w:t xml:space="preserve"> та </w:t>
      </w:r>
      <w:proofErr w:type="spellStart"/>
      <w:r w:rsidRPr="00B45C5E">
        <w:rPr>
          <w:sz w:val="28"/>
          <w:szCs w:val="28"/>
        </w:rPr>
        <w:t>навколишнього</w:t>
      </w:r>
      <w:proofErr w:type="spellEnd"/>
      <w:r w:rsidRPr="00B45C5E">
        <w:rPr>
          <w:sz w:val="28"/>
          <w:szCs w:val="28"/>
        </w:rPr>
        <w:t xml:space="preserve"> </w:t>
      </w:r>
      <w:proofErr w:type="gramStart"/>
      <w:r w:rsidRPr="00B45C5E">
        <w:rPr>
          <w:sz w:val="28"/>
          <w:szCs w:val="28"/>
        </w:rPr>
        <w:t>природного</w:t>
      </w:r>
      <w:proofErr w:type="gram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середовища</w:t>
      </w:r>
      <w:proofErr w:type="spellEnd"/>
      <w:r w:rsidRPr="00B45C5E">
        <w:rPr>
          <w:sz w:val="28"/>
          <w:szCs w:val="28"/>
        </w:rPr>
        <w:t xml:space="preserve"> за </w:t>
      </w:r>
      <w:proofErr w:type="spellStart"/>
      <w:r w:rsidRPr="00B45C5E">
        <w:rPr>
          <w:sz w:val="28"/>
          <w:szCs w:val="28"/>
        </w:rPr>
        <w:t>умови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дотримання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регламентів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їх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застосування</w:t>
      </w:r>
      <w:proofErr w:type="spellEnd"/>
      <w:r w:rsidRPr="00B45C5E">
        <w:rPr>
          <w:sz w:val="28"/>
          <w:szCs w:val="28"/>
        </w:rPr>
        <w:t>;</w:t>
      </w:r>
    </w:p>
    <w:p w:rsidR="00662F48" w:rsidRPr="00B45C5E" w:rsidRDefault="00662F48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6" w:name="n45"/>
      <w:bookmarkEnd w:id="6"/>
      <w:proofErr w:type="spellStart"/>
      <w:r w:rsidRPr="00B45C5E">
        <w:rPr>
          <w:sz w:val="28"/>
          <w:szCs w:val="28"/>
        </w:rPr>
        <w:t>відповідність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санітарним</w:t>
      </w:r>
      <w:proofErr w:type="spellEnd"/>
      <w:r w:rsidRPr="00B45C5E">
        <w:rPr>
          <w:sz w:val="28"/>
          <w:szCs w:val="28"/>
        </w:rPr>
        <w:t xml:space="preserve"> нормам та </w:t>
      </w:r>
      <w:proofErr w:type="spellStart"/>
      <w:r w:rsidRPr="00B45C5E">
        <w:rPr>
          <w:sz w:val="28"/>
          <w:szCs w:val="28"/>
        </w:rPr>
        <w:t>іншим</w:t>
      </w:r>
      <w:proofErr w:type="spellEnd"/>
      <w:r w:rsidRPr="00B45C5E">
        <w:rPr>
          <w:sz w:val="28"/>
          <w:szCs w:val="28"/>
        </w:rPr>
        <w:t xml:space="preserve"> </w:t>
      </w:r>
      <w:proofErr w:type="spellStart"/>
      <w:r w:rsidRPr="00B45C5E">
        <w:rPr>
          <w:sz w:val="28"/>
          <w:szCs w:val="28"/>
        </w:rPr>
        <w:t>нормативно-правовим</w:t>
      </w:r>
      <w:proofErr w:type="spellEnd"/>
      <w:r w:rsidRPr="00B45C5E">
        <w:rPr>
          <w:sz w:val="28"/>
          <w:szCs w:val="28"/>
        </w:rPr>
        <w:t xml:space="preserve"> актам.</w:t>
      </w:r>
    </w:p>
    <w:p w:rsidR="00662F48" w:rsidRPr="00B45C5E" w:rsidRDefault="00377A15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45C5E">
        <w:rPr>
          <w:sz w:val="28"/>
          <w:szCs w:val="28"/>
          <w:lang w:val="uk-UA"/>
        </w:rPr>
        <w:t>Слід зазначити, що до використання на території України допускаються</w:t>
      </w:r>
      <w:r w:rsidR="00BC0833" w:rsidRPr="00B45C5E">
        <w:rPr>
          <w:sz w:val="28"/>
          <w:szCs w:val="28"/>
          <w:lang w:val="uk-UA"/>
        </w:rPr>
        <w:t xml:space="preserve"> лише ті</w:t>
      </w:r>
      <w:r w:rsidRPr="00B45C5E">
        <w:rPr>
          <w:sz w:val="28"/>
          <w:szCs w:val="28"/>
          <w:lang w:val="uk-UA"/>
        </w:rPr>
        <w:t xml:space="preserve"> пестициди і агрохімікати, які </w:t>
      </w:r>
      <w:r w:rsidR="00BC0833" w:rsidRPr="00B45C5E">
        <w:rPr>
          <w:sz w:val="28"/>
          <w:szCs w:val="28"/>
          <w:lang w:val="uk-UA"/>
        </w:rPr>
        <w:t>пройшли процедуру державної реєстрації.</w:t>
      </w:r>
    </w:p>
    <w:p w:rsidR="00BC0833" w:rsidRPr="00B45C5E" w:rsidRDefault="00BC0833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C5E">
        <w:rPr>
          <w:sz w:val="28"/>
          <w:szCs w:val="28"/>
        </w:rPr>
        <w:t xml:space="preserve">При цьому </w:t>
      </w:r>
      <w:r w:rsidR="00521D43" w:rsidRPr="00B45C5E">
        <w:rPr>
          <w:sz w:val="28"/>
          <w:szCs w:val="28"/>
        </w:rPr>
        <w:t xml:space="preserve">частиною третьою статті 7 Закону передбачено, що обов'язковою умовою державної реєстрації пестицидів та агрохімікатів є наявність відповідної документації щодо їх безпечного застосування, </w:t>
      </w:r>
      <w:r w:rsidR="00521D43" w:rsidRPr="00B45C5E">
        <w:rPr>
          <w:sz w:val="28"/>
          <w:szCs w:val="28"/>
        </w:rPr>
        <w:lastRenderedPageBreak/>
        <w:t xml:space="preserve">включаючи позитивний висновок державної санітарно-епідеміологічної експертизи та позитивну </w:t>
      </w:r>
      <w:proofErr w:type="spellStart"/>
      <w:r w:rsidR="00521D43" w:rsidRPr="00B45C5E">
        <w:rPr>
          <w:sz w:val="28"/>
          <w:szCs w:val="28"/>
        </w:rPr>
        <w:t>еколого-експертну</w:t>
      </w:r>
      <w:proofErr w:type="spellEnd"/>
      <w:r w:rsidR="00521D43" w:rsidRPr="00B45C5E">
        <w:rPr>
          <w:sz w:val="28"/>
          <w:szCs w:val="28"/>
        </w:rPr>
        <w:t xml:space="preserve"> оцінку матеріалів, поданих для реєстрації пестицидів та агрохімікатів, методик визначення залишкових кількостей пестицидів і агрохімікатів у сільськогосподарській продукції, кормах, харчових продуктах, </w:t>
      </w:r>
      <w:proofErr w:type="spellStart"/>
      <w:r w:rsidR="00521D43" w:rsidRPr="00B45C5E">
        <w:rPr>
          <w:sz w:val="28"/>
          <w:szCs w:val="28"/>
        </w:rPr>
        <w:t>грунті</w:t>
      </w:r>
      <w:proofErr w:type="spellEnd"/>
      <w:r w:rsidR="00521D43" w:rsidRPr="00B45C5E">
        <w:rPr>
          <w:sz w:val="28"/>
          <w:szCs w:val="28"/>
        </w:rPr>
        <w:t>, воді, повітрі.</w:t>
      </w:r>
    </w:p>
    <w:p w:rsidR="00521D43" w:rsidRPr="00B45C5E" w:rsidRDefault="004F40D0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C5E">
        <w:rPr>
          <w:sz w:val="28"/>
          <w:szCs w:val="28"/>
        </w:rPr>
        <w:t>Для дотримання зазначених вимог Законом</w:t>
      </w:r>
      <w:r w:rsidR="00B02E61" w:rsidRPr="00B45C5E">
        <w:rPr>
          <w:sz w:val="28"/>
          <w:szCs w:val="28"/>
        </w:rPr>
        <w:t xml:space="preserve"> (стаття 5)</w:t>
      </w:r>
      <w:r w:rsidRPr="00B45C5E">
        <w:rPr>
          <w:sz w:val="28"/>
          <w:szCs w:val="28"/>
        </w:rPr>
        <w:t xml:space="preserve"> передбачено механізм державних випробувань пестицидів і агрохімікатів, та встановлено, </w:t>
      </w:r>
      <w:r w:rsidR="00B02E61" w:rsidRPr="00B45C5E">
        <w:rPr>
          <w:sz w:val="28"/>
          <w:szCs w:val="28"/>
        </w:rPr>
        <w:t xml:space="preserve">що </w:t>
      </w:r>
      <w:r w:rsidR="00CD6240" w:rsidRPr="00B45C5E">
        <w:rPr>
          <w:sz w:val="28"/>
          <w:szCs w:val="28"/>
        </w:rPr>
        <w:t>д</w:t>
      </w:r>
      <w:r w:rsidR="00B02E61" w:rsidRPr="00B45C5E">
        <w:rPr>
          <w:sz w:val="28"/>
          <w:szCs w:val="28"/>
        </w:rPr>
        <w:t xml:space="preserve">ержавні випробування з метою біологічної, екологічної та </w:t>
      </w:r>
      <w:proofErr w:type="spellStart"/>
      <w:r w:rsidR="00B02E61" w:rsidRPr="00B45C5E">
        <w:rPr>
          <w:sz w:val="28"/>
          <w:szCs w:val="28"/>
        </w:rPr>
        <w:t>токсиколого-гігієнічної</w:t>
      </w:r>
      <w:proofErr w:type="spellEnd"/>
      <w:r w:rsidR="00B02E61" w:rsidRPr="00B45C5E">
        <w:rPr>
          <w:sz w:val="28"/>
          <w:szCs w:val="28"/>
        </w:rPr>
        <w:t xml:space="preserve"> оцінки для цілей державної реєстрації пестицидів і агрохімікатів здійснюються підприємствами, установами, організаціями, уповноваженими центральним органом виконавчої влади, що забезпечує формування та реалізує державну політику у сфері охорони навколишнього природного середовища.</w:t>
      </w:r>
    </w:p>
    <w:p w:rsidR="00B02E61" w:rsidRPr="00B45C5E" w:rsidRDefault="00CD6240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C5E">
        <w:rPr>
          <w:sz w:val="28"/>
          <w:szCs w:val="28"/>
        </w:rPr>
        <w:t>Слід зазначити, що</w:t>
      </w:r>
      <w:r w:rsidR="00840D4D" w:rsidRPr="00B45C5E">
        <w:rPr>
          <w:sz w:val="28"/>
          <w:szCs w:val="28"/>
        </w:rPr>
        <w:t xml:space="preserve"> Верховною радою України прийнято</w:t>
      </w:r>
      <w:r w:rsidRPr="00B45C5E">
        <w:rPr>
          <w:sz w:val="28"/>
          <w:szCs w:val="28"/>
        </w:rPr>
        <w:t xml:space="preserve"> </w:t>
      </w:r>
      <w:r w:rsidR="00840D4D" w:rsidRPr="00B45C5E">
        <w:rPr>
          <w:sz w:val="28"/>
          <w:szCs w:val="28"/>
        </w:rPr>
        <w:t xml:space="preserve">Закон України «Про внесення змін до деяких законів України щодо вдосконалення державного регулювання у сфері поводження з пестицидами і агрохімікатами», яким, зокрема внесено зміни до статті 5 Закону, де передбачено, що порядок 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="00840D4D" w:rsidRPr="00B45C5E">
        <w:rPr>
          <w:sz w:val="28"/>
          <w:szCs w:val="28"/>
        </w:rPr>
        <w:t>токсиколого-гігієнічної</w:t>
      </w:r>
      <w:proofErr w:type="spellEnd"/>
      <w:r w:rsidR="00840D4D" w:rsidRPr="00B45C5E">
        <w:rPr>
          <w:sz w:val="28"/>
          <w:szCs w:val="28"/>
        </w:rPr>
        <w:t xml:space="preserve"> оцінки для цілей державної реєстрації пестицидів і агрохімікатів затверджується Кабінетом Міністрів України.</w:t>
      </w:r>
    </w:p>
    <w:p w:rsidR="00F40F2F" w:rsidRPr="00B45C5E" w:rsidRDefault="00F40F2F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45C5E">
        <w:rPr>
          <w:sz w:val="28"/>
          <w:szCs w:val="28"/>
          <w:lang w:val="uk-UA"/>
        </w:rPr>
        <w:t>Слід зазначити, що на даний час Порядок уповноваження науково-дослідних установ, підприємств та організацій на проведення державних випробувань пестицидів та агрохімікатів затверджено наказом Міністерства захисту довкілля та природних ресурсів України від 28 грудня 2020 р. № 392, зареєстрованим в Міністерстві юстиції України 3 лютого 2021 р. за № 148/35770.</w:t>
      </w:r>
    </w:p>
    <w:p w:rsidR="00F40F2F" w:rsidRPr="00B45C5E" w:rsidRDefault="00F40F2F" w:rsidP="003F59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5C5E">
        <w:rPr>
          <w:sz w:val="28"/>
          <w:szCs w:val="28"/>
        </w:rPr>
        <w:t>У зв’язку з вказаним</w:t>
      </w:r>
      <w:r w:rsidR="00E462EE" w:rsidRPr="00B45C5E">
        <w:rPr>
          <w:sz w:val="28"/>
          <w:szCs w:val="28"/>
        </w:rPr>
        <w:t>, із вступом в дію положень Закону України «Про внесення змін до деяких законів України щодо вдосконалення державного регулювання у сфері поводження з пестицидами і агрохімікатами»</w:t>
      </w:r>
      <w:r w:rsidRPr="00B45C5E">
        <w:rPr>
          <w:sz w:val="28"/>
          <w:szCs w:val="28"/>
        </w:rPr>
        <w:t xml:space="preserve"> виникає проблема відсутності належного правового регулювання</w:t>
      </w:r>
      <w:r w:rsidR="00E462EE" w:rsidRPr="00B45C5E">
        <w:rPr>
          <w:sz w:val="28"/>
          <w:szCs w:val="28"/>
        </w:rPr>
        <w:t xml:space="preserve"> процедури</w:t>
      </w:r>
      <w:r w:rsidRPr="00B45C5E">
        <w:rPr>
          <w:sz w:val="28"/>
          <w:szCs w:val="28"/>
        </w:rPr>
        <w:t xml:space="preserve"> </w:t>
      </w:r>
      <w:r w:rsidR="00E462EE" w:rsidRPr="00B45C5E">
        <w:rPr>
          <w:sz w:val="28"/>
          <w:szCs w:val="28"/>
        </w:rPr>
        <w:t xml:space="preserve">уповноваження підприємств, установ, організацій на здійснення державних випробувань з метою біологічної, екологічної та </w:t>
      </w:r>
      <w:proofErr w:type="spellStart"/>
      <w:r w:rsidR="00E462EE" w:rsidRPr="00B45C5E">
        <w:rPr>
          <w:sz w:val="28"/>
          <w:szCs w:val="28"/>
        </w:rPr>
        <w:t>токсиколого-гігієнічної</w:t>
      </w:r>
      <w:proofErr w:type="spellEnd"/>
      <w:r w:rsidR="00E462EE" w:rsidRPr="00B45C5E">
        <w:rPr>
          <w:sz w:val="28"/>
          <w:szCs w:val="28"/>
        </w:rPr>
        <w:t xml:space="preserve"> оцінки для цілей державної реєстрації пестицидів і агрохімікатів</w:t>
      </w:r>
      <w:r w:rsidR="009B127F" w:rsidRPr="00B45C5E">
        <w:rPr>
          <w:sz w:val="28"/>
          <w:szCs w:val="28"/>
        </w:rPr>
        <w:t xml:space="preserve">, а також необхідності внесення змін до </w:t>
      </w:r>
      <w:r w:rsidR="00332F9D" w:rsidRPr="00B45C5E">
        <w:rPr>
          <w:sz w:val="28"/>
          <w:szCs w:val="28"/>
        </w:rPr>
        <w:t>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</w:t>
      </w:r>
      <w:r w:rsidR="00DE6D07" w:rsidRPr="00B45C5E">
        <w:rPr>
          <w:sz w:val="28"/>
          <w:szCs w:val="28"/>
        </w:rPr>
        <w:t>, затвердженого постановою Кабінету Міністрів України від 4 березня 1996 р. № 295</w:t>
      </w:r>
      <w:r w:rsidR="009C4562" w:rsidRPr="00B45C5E">
        <w:rPr>
          <w:sz w:val="28"/>
          <w:szCs w:val="28"/>
        </w:rPr>
        <w:t xml:space="preserve"> (далі – Порядок реєстрації), з метою його приведення у відповідність до вимог Закону.</w:t>
      </w:r>
    </w:p>
    <w:p w:rsidR="00EF4DEA" w:rsidRDefault="00EF4DEA" w:rsidP="003F59B5">
      <w:pPr>
        <w:ind w:firstLine="567"/>
        <w:jc w:val="both"/>
        <w:rPr>
          <w:sz w:val="28"/>
          <w:szCs w:val="28"/>
          <w:lang w:val="uk-UA"/>
        </w:rPr>
      </w:pPr>
      <w:r w:rsidRPr="00B45C5E">
        <w:rPr>
          <w:sz w:val="28"/>
          <w:szCs w:val="28"/>
          <w:lang w:val="uk-UA"/>
        </w:rPr>
        <w:t>Крім того, Законом України «Про систему громадського здоров’я» внесено зміни до Закону України «Про пестициди і агрохімікати», зокрема, до статті 7 та скасовано умову наявності позитивного висновку державної санітарно-епідеміологічної експертизи для державної реєстрації пестицидів та агрохімікатів</w:t>
      </w:r>
      <w:r w:rsidR="009C4562" w:rsidRPr="00B45C5E">
        <w:rPr>
          <w:sz w:val="28"/>
          <w:szCs w:val="28"/>
          <w:lang w:val="uk-UA"/>
        </w:rPr>
        <w:t>, що також потребує відображення в порядку реєстрації</w:t>
      </w:r>
      <w:r w:rsidRPr="00B45C5E">
        <w:rPr>
          <w:sz w:val="28"/>
          <w:szCs w:val="28"/>
          <w:lang w:val="uk-UA"/>
        </w:rPr>
        <w:t>.</w:t>
      </w:r>
    </w:p>
    <w:p w:rsidR="00D707C2" w:rsidRPr="00B45C5E" w:rsidRDefault="00D707C2" w:rsidP="00B45C5E">
      <w:pPr>
        <w:ind w:firstLine="567"/>
        <w:jc w:val="both"/>
        <w:rPr>
          <w:sz w:val="28"/>
          <w:szCs w:val="28"/>
          <w:lang w:val="uk-UA"/>
        </w:rPr>
      </w:pPr>
    </w:p>
    <w:p w:rsidR="00AE7454" w:rsidRDefault="00AE7454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Pr="007E607E" w:rsidRDefault="00E24DF2" w:rsidP="00633AAA">
      <w:pPr>
        <w:widowControl w:val="0"/>
        <w:ind w:firstLine="567"/>
        <w:jc w:val="both"/>
        <w:rPr>
          <w:spacing w:val="2"/>
          <w:sz w:val="28"/>
          <w:szCs w:val="28"/>
          <w:lang w:val="uk-UA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Основні</w:t>
      </w:r>
      <w:r w:rsidRPr="007E607E">
        <w:rPr>
          <w:spacing w:val="2"/>
          <w:sz w:val="28"/>
          <w:szCs w:val="28"/>
          <w:lang w:val="uk-UA"/>
        </w:rPr>
        <w:t xml:space="preserve"> групи</w:t>
      </w:r>
      <w:r w:rsidR="00353436" w:rsidRPr="007E607E">
        <w:rPr>
          <w:spacing w:val="2"/>
          <w:sz w:val="28"/>
          <w:szCs w:val="28"/>
          <w:lang w:val="uk-UA"/>
        </w:rPr>
        <w:t>,</w:t>
      </w:r>
      <w:r w:rsidRPr="007E607E">
        <w:rPr>
          <w:spacing w:val="2"/>
          <w:sz w:val="28"/>
          <w:szCs w:val="28"/>
          <w:lang w:val="uk-UA"/>
        </w:rPr>
        <w:t xml:space="preserve">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  <w:gridCol w:w="2598"/>
        <w:gridCol w:w="3291"/>
      </w:tblGrid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318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0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F63B36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 xml:space="preserve">діючих регуляторних актів, оскільки </w:t>
      </w:r>
      <w:r w:rsidR="00B14E0C">
        <w:rPr>
          <w:rFonts w:eastAsia="Times New Roman"/>
          <w:sz w:val="28"/>
          <w:szCs w:val="28"/>
          <w:lang w:val="uk-UA" w:eastAsia="ru-RU"/>
        </w:rPr>
        <w:t>Законом</w:t>
      </w:r>
      <w:r w:rsidR="00F63B36">
        <w:rPr>
          <w:rFonts w:eastAsia="Times New Roman"/>
          <w:sz w:val="28"/>
          <w:szCs w:val="28"/>
          <w:lang w:val="uk-UA" w:eastAsia="ru-RU"/>
        </w:rPr>
        <w:t xml:space="preserve"> передбачено затвердження Кабінетом Міністрів України </w:t>
      </w:r>
      <w:r w:rsidR="006C2BD5">
        <w:rPr>
          <w:rFonts w:eastAsia="Times New Roman"/>
          <w:sz w:val="28"/>
          <w:szCs w:val="28"/>
          <w:lang w:val="uk-UA" w:eastAsia="ru-RU"/>
        </w:rPr>
        <w:t>окремого акта Уряду</w:t>
      </w:r>
      <w:r w:rsidR="00F63B36">
        <w:rPr>
          <w:rFonts w:eastAsia="Times New Roman"/>
          <w:sz w:val="28"/>
          <w:szCs w:val="28"/>
          <w:lang w:val="uk-UA" w:eastAsia="ru-RU"/>
        </w:rPr>
        <w:t>.</w:t>
      </w:r>
    </w:p>
    <w:p w:rsidR="005E55DA" w:rsidRPr="007E607E" w:rsidRDefault="005E55DA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Pr="007E607E" w:rsidRDefault="00E24DF2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:rsidR="00F64275" w:rsidRDefault="002D46E1" w:rsidP="0034558E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Основн</w:t>
      </w:r>
      <w:r w:rsidR="00E0471B" w:rsidRPr="007E607E">
        <w:rPr>
          <w:rFonts w:ascii="Times New Roman" w:hAnsi="Times New Roman" w:cs="Times New Roman"/>
          <w:sz w:val="28"/>
          <w:szCs w:val="28"/>
        </w:rPr>
        <w:t>ими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ціл</w:t>
      </w:r>
      <w:r w:rsidR="00E0471B" w:rsidRPr="007E607E">
        <w:rPr>
          <w:rFonts w:ascii="Times New Roman" w:hAnsi="Times New Roman" w:cs="Times New Roman"/>
          <w:sz w:val="28"/>
          <w:szCs w:val="28"/>
        </w:rPr>
        <w:t>ями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акта є</w:t>
      </w:r>
      <w:r w:rsidR="00F64275" w:rsidRPr="007E607E">
        <w:rPr>
          <w:rFonts w:ascii="Times New Roman" w:hAnsi="Times New Roman" w:cs="Times New Roman"/>
          <w:sz w:val="28"/>
          <w:szCs w:val="28"/>
        </w:rPr>
        <w:t>:</w:t>
      </w:r>
      <w:r w:rsidRPr="007E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4AE" w:rsidRDefault="003C3B67" w:rsidP="0034558E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2BD5">
        <w:rPr>
          <w:rFonts w:ascii="Times New Roman" w:hAnsi="Times New Roman" w:cs="Times New Roman"/>
          <w:sz w:val="28"/>
          <w:szCs w:val="28"/>
        </w:rPr>
        <w:t xml:space="preserve">абезпечення виконання функцій держави щодо дотримання </w:t>
      </w:r>
      <w:r>
        <w:rPr>
          <w:rFonts w:ascii="Times New Roman" w:hAnsi="Times New Roman" w:cs="Times New Roman"/>
          <w:sz w:val="28"/>
          <w:szCs w:val="28"/>
        </w:rPr>
        <w:t>екологічної безпеки при допуску до ринку пестицидів і агрохімікатів, які пройшли процедуру державних випробувань в підприємствах, установах чи організаціях</w:t>
      </w:r>
      <w:r w:rsidR="00CA24AE">
        <w:rPr>
          <w:rFonts w:ascii="Times New Roman" w:hAnsi="Times New Roman" w:cs="Times New Roman"/>
          <w:sz w:val="28"/>
          <w:szCs w:val="28"/>
        </w:rPr>
        <w:t>, які володіють належною матеріально-технічною базою, кадровим та лабораторним потенціалом;</w:t>
      </w:r>
    </w:p>
    <w:p w:rsidR="00CB1124" w:rsidRPr="007E607E" w:rsidRDefault="00CA24AE" w:rsidP="0034558E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</w:t>
      </w:r>
      <w:r w:rsidR="00565783">
        <w:rPr>
          <w:rFonts w:ascii="Times New Roman" w:hAnsi="Times New Roman" w:cs="Times New Roman"/>
          <w:sz w:val="28"/>
          <w:szCs w:val="28"/>
        </w:rPr>
        <w:t>нормативно-правових актів у відповідність до вимог</w:t>
      </w:r>
      <w:r w:rsidR="00CB1124" w:rsidRPr="007E607E">
        <w:rPr>
          <w:rFonts w:ascii="Times New Roman" w:hAnsi="Times New Roman" w:cs="Times New Roman"/>
          <w:sz w:val="28"/>
          <w:szCs w:val="28"/>
        </w:rPr>
        <w:t xml:space="preserve"> законодавства України у сфері поводження із пестицидами і агрохімікатами</w:t>
      </w:r>
      <w:r w:rsidR="00B14E0C">
        <w:rPr>
          <w:rFonts w:ascii="Times New Roman" w:hAnsi="Times New Roman" w:cs="Times New Roman"/>
          <w:sz w:val="28"/>
          <w:szCs w:val="28"/>
        </w:rPr>
        <w:t>;</w:t>
      </w:r>
    </w:p>
    <w:p w:rsidR="006445AC" w:rsidRPr="007E607E" w:rsidRDefault="006445AC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6A460E" w:rsidRPr="007E607E" w:rsidRDefault="00E24DF2" w:rsidP="0034558E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:rsidR="00826221" w:rsidRPr="00DA5B89" w:rsidRDefault="00826221" w:rsidP="0034558E">
      <w:pPr>
        <w:widowControl w:val="0"/>
        <w:tabs>
          <w:tab w:val="left" w:pos="770"/>
          <w:tab w:val="left" w:pos="990"/>
        </w:tabs>
        <w:ind w:firstLine="567"/>
        <w:jc w:val="both"/>
        <w:rPr>
          <w:rFonts w:eastAsia="Times New Roman"/>
          <w:sz w:val="12"/>
          <w:szCs w:val="12"/>
          <w:lang w:val="uk-UA" w:eastAsia="ru-RU"/>
        </w:rPr>
      </w:pPr>
    </w:p>
    <w:p w:rsidR="00E24DF2" w:rsidRPr="001503CF" w:rsidRDefault="006A460E" w:rsidP="0034558E">
      <w:pPr>
        <w:pStyle w:val="a9"/>
        <w:widowControl w:val="0"/>
        <w:numPr>
          <w:ilvl w:val="0"/>
          <w:numId w:val="19"/>
        </w:numPr>
        <w:tabs>
          <w:tab w:val="left" w:pos="770"/>
          <w:tab w:val="left" w:pos="990"/>
        </w:tabs>
        <w:ind w:left="0"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503CF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p w:rsidR="001503CF" w:rsidRPr="001503CF" w:rsidRDefault="001503CF" w:rsidP="001503CF">
      <w:pPr>
        <w:pStyle w:val="a9"/>
        <w:widowControl w:val="0"/>
        <w:tabs>
          <w:tab w:val="left" w:pos="770"/>
          <w:tab w:val="left" w:pos="990"/>
        </w:tabs>
        <w:ind w:left="927"/>
        <w:jc w:val="both"/>
        <w:rPr>
          <w:rFonts w:eastAsia="Times New Roman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316"/>
      </w:tblGrid>
      <w:tr w:rsidR="00472CAC" w:rsidRPr="007E607E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bookmarkStart w:id="7" w:name="_Hlk15904862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712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472CAC" w:rsidRPr="00881CA2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2" w:type="pct"/>
          </w:tcPr>
          <w:p w:rsidR="00C03212" w:rsidRPr="007E607E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7E607E">
              <w:rPr>
                <w:rStyle w:val="12"/>
                <w:color w:val="auto"/>
                <w:sz w:val="28"/>
                <w:szCs w:val="28"/>
              </w:rPr>
              <w:t>Залиш</w:t>
            </w:r>
            <w:r w:rsidR="001A62B4">
              <w:rPr>
                <w:rStyle w:val="12"/>
                <w:color w:val="auto"/>
                <w:sz w:val="28"/>
                <w:szCs w:val="28"/>
              </w:rPr>
              <w:t>ити чинне</w:t>
            </w:r>
            <w:r w:rsidRPr="007E607E">
              <w:rPr>
                <w:rStyle w:val="12"/>
                <w:color w:val="auto"/>
                <w:sz w:val="28"/>
                <w:szCs w:val="28"/>
              </w:rPr>
              <w:t xml:space="preserve"> регулювання</w:t>
            </w:r>
            <w:r w:rsidR="001A62B4">
              <w:rPr>
                <w:rStyle w:val="12"/>
                <w:color w:val="auto"/>
                <w:sz w:val="28"/>
                <w:szCs w:val="28"/>
              </w:rPr>
              <w:t xml:space="preserve"> у сфері поводження із пестицидами і агрохімікатами</w:t>
            </w:r>
            <w:r w:rsidRPr="007E607E">
              <w:rPr>
                <w:rStyle w:val="12"/>
                <w:color w:val="auto"/>
                <w:sz w:val="28"/>
                <w:szCs w:val="28"/>
              </w:rPr>
              <w:t>.</w:t>
            </w:r>
          </w:p>
          <w:p w:rsidR="00E24DF2" w:rsidRPr="001A62B4" w:rsidRDefault="00E24DF2" w:rsidP="00565783">
            <w:pPr>
              <w:widowControl w:val="0"/>
              <w:tabs>
                <w:tab w:val="left" w:pos="99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472CAC" w:rsidRPr="008870A5" w:rsidTr="00CD01A8">
        <w:trPr>
          <w:trHeight w:val="1045"/>
        </w:trPr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712" w:type="pct"/>
          </w:tcPr>
          <w:p w:rsidR="001A62B4" w:rsidRPr="008D6FCA" w:rsidRDefault="001A62B4" w:rsidP="00CD01A8">
            <w:pPr>
              <w:pStyle w:val="20"/>
              <w:spacing w:after="0" w:line="240" w:lineRule="auto"/>
              <w:jc w:val="both"/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</w:pPr>
            <w:r w:rsidRPr="008D6FCA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>Забезпечити виконання вимог</w:t>
            </w:r>
            <w:r w:rsidR="008870A5" w:rsidRPr="008D6FCA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 законодавства у сфері поводження із пестици</w:t>
            </w:r>
            <w:r w:rsidR="008D6FCA" w:rsidRPr="008D6FCA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>дами і агрохімікатами</w:t>
            </w:r>
            <w:r w:rsidRPr="008D6FCA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 та визначити на рівні постанови Кабінету Міністрів України </w:t>
            </w:r>
            <w:r w:rsidR="008870A5" w:rsidRPr="008D6FCA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порядок </w:t>
            </w:r>
            <w:r w:rsidR="008870A5" w:rsidRPr="008D6FC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уповноваження підприємств, установ, організацій на здійснення державних випробувань з метою біологічної, екологічної та </w:t>
            </w:r>
            <w:proofErr w:type="spellStart"/>
            <w:r w:rsidR="008870A5" w:rsidRPr="008D6FC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токсиколого-гігієнічної</w:t>
            </w:r>
            <w:proofErr w:type="spellEnd"/>
            <w:r w:rsidR="008870A5" w:rsidRPr="008D6FCA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оцінки для цілей державної реєстрації пестицидів і агрохімікатів, із одночасним приведенням положень Порядку у відповідність до вимог законодавства</w:t>
            </w:r>
            <w:r w:rsidR="001503CF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  <w:p w:rsidR="00E24DF2" w:rsidRPr="007E607E" w:rsidRDefault="0067094B" w:rsidP="00565783">
            <w:pPr>
              <w:pStyle w:val="3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7"/>
    </w:tbl>
    <w:p w:rsidR="00826221" w:rsidRDefault="00826221" w:rsidP="00633AAA">
      <w:pPr>
        <w:ind w:firstLine="567"/>
        <w:jc w:val="both"/>
        <w:rPr>
          <w:sz w:val="28"/>
          <w:szCs w:val="28"/>
          <w:lang w:val="uk-UA" w:eastAsia="ru-RU"/>
        </w:rPr>
      </w:pPr>
    </w:p>
    <w:p w:rsidR="00AE7454" w:rsidRDefault="00AE7454" w:rsidP="0034558E">
      <w:pPr>
        <w:ind w:firstLine="567"/>
        <w:jc w:val="both"/>
        <w:rPr>
          <w:sz w:val="28"/>
          <w:szCs w:val="28"/>
          <w:lang w:val="uk-UA" w:eastAsia="ru-RU"/>
        </w:rPr>
      </w:pPr>
    </w:p>
    <w:p w:rsidR="005232C6" w:rsidRPr="007E607E" w:rsidRDefault="00E16A63" w:rsidP="0034558E">
      <w:pPr>
        <w:ind w:firstLine="567"/>
        <w:jc w:val="both"/>
        <w:rPr>
          <w:sz w:val="28"/>
          <w:szCs w:val="28"/>
          <w:lang w:val="uk-UA" w:eastAsia="ru-RU"/>
        </w:rPr>
      </w:pPr>
      <w:r w:rsidRPr="007E607E">
        <w:rPr>
          <w:sz w:val="28"/>
          <w:szCs w:val="28"/>
          <w:lang w:val="uk-UA" w:eastAsia="ru-RU"/>
        </w:rPr>
        <w:lastRenderedPageBreak/>
        <w:t>2</w:t>
      </w:r>
      <w:r w:rsidR="005232C6" w:rsidRPr="007E607E">
        <w:rPr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:rsidR="00E24DF2" w:rsidRDefault="00E24DF2" w:rsidP="0034558E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472CAC" w:rsidRPr="007E607E" w:rsidTr="00AE7454">
        <w:trPr>
          <w:trHeight w:val="539"/>
        </w:trPr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436B22" w:rsidTr="00AE7454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E24DF2" w:rsidRDefault="00EB06EF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EB06EF">
              <w:rPr>
                <w:rFonts w:eastAsia="Times New Roman"/>
                <w:sz w:val="28"/>
                <w:szCs w:val="28"/>
                <w:lang w:val="uk-UA" w:eastAsia="ru-RU"/>
              </w:rPr>
              <w:t>При збереженні правового регулювання, яке існує сьогодні, проблема не розв’язується.</w:t>
            </w:r>
          </w:p>
          <w:p w:rsidR="00EB06EF" w:rsidRDefault="00190C73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Вимоги Закону не виконуються.</w:t>
            </w:r>
          </w:p>
          <w:p w:rsidR="00190C73" w:rsidRDefault="00190C73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Порядок не відповідає Закону.</w:t>
            </w:r>
          </w:p>
          <w:p w:rsidR="00EB06EF" w:rsidRPr="007E607E" w:rsidRDefault="00EB06EF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:rsidR="00826221" w:rsidRPr="007E607E" w:rsidRDefault="00190C73" w:rsidP="001F414F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відсутні</w:t>
            </w:r>
            <w:r w:rsidR="00C03212"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E24DF2" w:rsidRPr="007E607E" w:rsidTr="00AE7454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173" w:type="pct"/>
          </w:tcPr>
          <w:p w:rsidR="00297466" w:rsidRPr="007E607E" w:rsidRDefault="006B3AB8" w:rsidP="005F15A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0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7466" w:rsidRPr="007E607E">
              <w:rPr>
                <w:rFonts w:ascii="Times New Roman" w:hAnsi="Times New Roman" w:cs="Times New Roman"/>
                <w:sz w:val="28"/>
                <w:szCs w:val="28"/>
              </w:rPr>
              <w:t>абезпечення виконання вимог законодавства України у сфері поводження із пестицидами і агрохімікатами</w:t>
            </w:r>
          </w:p>
          <w:p w:rsidR="00D47A5B" w:rsidRPr="007E607E" w:rsidRDefault="00D47A5B" w:rsidP="005F15A0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D47A5B" w:rsidRPr="007E607E" w:rsidRDefault="00D47A5B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:rsidR="00E24DF2" w:rsidRPr="007E607E" w:rsidRDefault="00585950" w:rsidP="005F15A0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</w:t>
            </w:r>
            <w:r w:rsidR="005D2695">
              <w:rPr>
                <w:sz w:val="28"/>
                <w:szCs w:val="28"/>
                <w:lang w:val="uk-UA" w:eastAsia="uk-UA"/>
              </w:rPr>
              <w:t>еалізація</w:t>
            </w:r>
            <w:r w:rsidR="00E32E71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32E71">
              <w:rPr>
                <w:sz w:val="28"/>
                <w:szCs w:val="28"/>
                <w:lang w:val="uk-UA" w:eastAsia="uk-UA"/>
              </w:rPr>
              <w:t>проє</w:t>
            </w:r>
            <w:r w:rsidR="005A1F91" w:rsidRPr="007E607E">
              <w:rPr>
                <w:sz w:val="28"/>
                <w:szCs w:val="28"/>
                <w:lang w:val="uk-UA" w:eastAsia="uk-UA"/>
              </w:rPr>
              <w:t>кту</w:t>
            </w:r>
            <w:proofErr w:type="spellEnd"/>
            <w:r w:rsidR="005A1F91" w:rsidRPr="007E607E">
              <w:rPr>
                <w:sz w:val="28"/>
                <w:szCs w:val="28"/>
                <w:lang w:val="uk-UA" w:eastAsia="uk-UA"/>
              </w:rPr>
              <w:t xml:space="preserve"> </w:t>
            </w:r>
            <w:r w:rsidR="00E32E71">
              <w:rPr>
                <w:sz w:val="28"/>
                <w:szCs w:val="28"/>
                <w:lang w:val="uk-UA" w:eastAsia="uk-UA"/>
              </w:rPr>
              <w:t xml:space="preserve">акта </w:t>
            </w:r>
            <w:r w:rsidR="005A1F91" w:rsidRPr="007E607E">
              <w:rPr>
                <w:sz w:val="28"/>
                <w:szCs w:val="28"/>
                <w:lang w:val="uk-UA" w:eastAsia="uk-UA"/>
              </w:rPr>
              <w:t>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</w:p>
          <w:p w:rsidR="005A1F91" w:rsidRPr="007E607E" w:rsidRDefault="001503CF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1503CF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Додаткових витрат з державного бюджету не потребує.  </w:t>
            </w:r>
          </w:p>
        </w:tc>
      </w:tr>
    </w:tbl>
    <w:p w:rsidR="00633AAA" w:rsidRPr="00741E38" w:rsidRDefault="00633AAA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24DF2" w:rsidRDefault="00E24DF2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DC5C43" w:rsidRPr="007E607E" w:rsidTr="00AE7454">
        <w:tc>
          <w:tcPr>
            <w:tcW w:w="1299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C5C43" w:rsidRPr="007E607E" w:rsidTr="00AE7454">
        <w:tc>
          <w:tcPr>
            <w:tcW w:w="1299" w:type="pct"/>
          </w:tcPr>
          <w:p w:rsidR="00DC5C43" w:rsidRPr="007E607E" w:rsidRDefault="00DC5C43" w:rsidP="00CE527D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2173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528" w:type="pct"/>
          </w:tcPr>
          <w:p w:rsidR="00DC5C43" w:rsidRPr="007E607E" w:rsidRDefault="00DC5C43" w:rsidP="00DC5C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 </w:t>
            </w:r>
          </w:p>
        </w:tc>
      </w:tr>
      <w:tr w:rsidR="00DC5C43" w:rsidRPr="007E607E" w:rsidTr="00AE7454">
        <w:tc>
          <w:tcPr>
            <w:tcW w:w="1299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2.</w:t>
            </w:r>
          </w:p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DC5C43" w:rsidRPr="007E607E" w:rsidRDefault="001C1F88" w:rsidP="00585950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Забезпечення дотримання екологічної безпеки з боку держави при допуску до ринку пестицидів та агрохімікатів застосування яких належним чином науково </w:t>
            </w:r>
            <w:r w:rsidR="00325162">
              <w:rPr>
                <w:rFonts w:eastAsia="Calibri"/>
                <w:sz w:val="28"/>
                <w:szCs w:val="28"/>
                <w:lang w:val="uk-UA" w:eastAsia="en-US"/>
              </w:rPr>
              <w:t>обґрунтоване, та для яких розроблені регламенти застосування, що дають змогу мінімізувати вплив на людину та навколишнє природне середовище.</w:t>
            </w:r>
          </w:p>
          <w:p w:rsidR="00DC5C43" w:rsidRPr="007E607E" w:rsidRDefault="00DC5C43" w:rsidP="00C66E89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28" w:type="pct"/>
          </w:tcPr>
          <w:p w:rsidR="00DC5C43" w:rsidRPr="007E607E" w:rsidRDefault="00445DB8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Відсутні</w:t>
            </w:r>
          </w:p>
        </w:tc>
      </w:tr>
    </w:tbl>
    <w:p w:rsidR="001746B4" w:rsidRDefault="001746B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:rsidR="0034558E" w:rsidRDefault="0034558E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:rsidR="00AE7454" w:rsidRDefault="00AE745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Default="00E24DF2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746B4">
        <w:rPr>
          <w:rFonts w:eastAsia="Times New Roman"/>
          <w:sz w:val="28"/>
          <w:szCs w:val="28"/>
          <w:lang w:val="uk-UA" w:eastAsia="ru-RU"/>
        </w:rPr>
        <w:lastRenderedPageBreak/>
        <w:t>Оцінка впливу на сферу інтересів суб’єктів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3"/>
        <w:gridCol w:w="1315"/>
        <w:gridCol w:w="1456"/>
        <w:gridCol w:w="1240"/>
        <w:gridCol w:w="1393"/>
        <w:gridCol w:w="1977"/>
      </w:tblGrid>
      <w:tr w:rsidR="00472CAC" w:rsidRPr="007E607E" w:rsidTr="00DA5B89">
        <w:tc>
          <w:tcPr>
            <w:tcW w:w="1255" w:type="pct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667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73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62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707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proofErr w:type="spellStart"/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Мікро</w:t>
            </w:r>
            <w:proofErr w:type="spellEnd"/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*</w:t>
            </w:r>
          </w:p>
        </w:tc>
        <w:tc>
          <w:tcPr>
            <w:tcW w:w="1003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C66E89" w:rsidRPr="007E607E" w:rsidTr="00DA5B89">
        <w:tc>
          <w:tcPr>
            <w:tcW w:w="1255" w:type="pct"/>
          </w:tcPr>
          <w:p w:rsidR="00C66E89" w:rsidRPr="007E607E" w:rsidRDefault="00C66E89" w:rsidP="005E3D79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proofErr w:type="spellStart"/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C66E89" w:rsidRPr="007E607E" w:rsidTr="00DA5B89">
        <w:tc>
          <w:tcPr>
            <w:tcW w:w="1255" w:type="pct"/>
          </w:tcPr>
          <w:p w:rsidR="00C66E89" w:rsidRPr="007E607E" w:rsidRDefault="00C66E89" w:rsidP="005E3D79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68.6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9,8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5E3D79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5E3D79">
            <w:pPr>
              <w:pStyle w:val="11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3862DB" w:rsidRPr="005E3D79" w:rsidRDefault="003862DB" w:rsidP="001746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5E3D7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*Взято до уваги кількість суб’єктів, які станом на даний момент здійснюють діяльність із проведення державних випробувань пестицидів і агрохімікатів.</w:t>
      </w:r>
    </w:p>
    <w:p w:rsidR="00855161" w:rsidRDefault="00855161" w:rsidP="003862D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3829"/>
        <w:gridCol w:w="3342"/>
      </w:tblGrid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1943" w:type="pct"/>
          </w:tcPr>
          <w:p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696" w:type="pct"/>
          </w:tcPr>
          <w:p w:rsidR="00E24DF2" w:rsidRPr="007E607E" w:rsidRDefault="00E24DF2" w:rsidP="00363649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1943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696" w:type="pct"/>
          </w:tcPr>
          <w:p w:rsidR="00F66AED" w:rsidRPr="007E607E" w:rsidRDefault="00765380" w:rsidP="00585950">
            <w:pPr>
              <w:tabs>
                <w:tab w:val="left" w:pos="180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Відсутні</w:t>
            </w:r>
          </w:p>
        </w:tc>
      </w:tr>
      <w:tr w:rsidR="00AA046C" w:rsidRPr="007E607E" w:rsidTr="005F15A0">
        <w:trPr>
          <w:trHeight w:val="20"/>
        </w:trPr>
        <w:tc>
          <w:tcPr>
            <w:tcW w:w="1361" w:type="pct"/>
          </w:tcPr>
          <w:p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AA046C" w:rsidRPr="007E607E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pct"/>
          </w:tcPr>
          <w:p w:rsidR="00765380" w:rsidRDefault="00D110B4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Суб’єкти</w:t>
            </w:r>
            <w:r w:rsidR="00765380">
              <w:rPr>
                <w:rFonts w:eastAsia="Times New Roman"/>
                <w:sz w:val="28"/>
                <w:szCs w:val="28"/>
                <w:lang w:val="uk-UA" w:eastAsia="ru-RU"/>
              </w:rPr>
              <w:t xml:space="preserve"> господарювання діють в чітко визначеному державою правовому полі.</w:t>
            </w:r>
          </w:p>
          <w:p w:rsidR="00765380" w:rsidRDefault="00D110B4" w:rsidP="003F59B5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Продукція, яку розміщують на ринку суб’єкти господарювання відповідає вимогам законодавства щодо її безпечності</w:t>
            </w:r>
            <w:r w:rsidR="00363649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  <w:p w:rsidR="000D29CD" w:rsidRPr="007E607E" w:rsidRDefault="000D29CD" w:rsidP="003F59B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AA046C" w:rsidRPr="007E607E" w:rsidRDefault="00AA046C" w:rsidP="003F59B5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96" w:type="pct"/>
          </w:tcPr>
          <w:p w:rsidR="00AA046C" w:rsidRPr="003F59B5" w:rsidRDefault="00AA046C" w:rsidP="003F59B5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Прогнозуються витрати, пов’язані з необхідністю ознайом</w:t>
            </w:r>
            <w:r w:rsidR="0036364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лення</w:t>
            </w: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з новими вимогами регулювання </w:t>
            </w:r>
            <w:r w:rsidRPr="00BF211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процесу,</w:t>
            </w:r>
            <w:r w:rsidR="003F59B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підготовки та</w:t>
            </w:r>
            <w:r w:rsidR="00363649" w:rsidRPr="00BF211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подання відповідної документації до державного органу</w:t>
            </w:r>
            <w:r w:rsidR="003F59B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3F59B5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а саме: </w:t>
            </w:r>
            <w:r w:rsidR="009249BF" w:rsidRPr="003F59B5">
              <w:rPr>
                <w:sz w:val="28"/>
                <w:szCs w:val="28"/>
              </w:rPr>
              <w:t xml:space="preserve">для одного </w:t>
            </w:r>
            <w:proofErr w:type="spellStart"/>
            <w:r w:rsidR="009249BF" w:rsidRPr="003F59B5">
              <w:rPr>
                <w:sz w:val="28"/>
                <w:szCs w:val="28"/>
              </w:rPr>
              <w:t>суб’єкта</w:t>
            </w:r>
            <w:proofErr w:type="spellEnd"/>
            <w:r w:rsidR="009249BF" w:rsidRPr="003F59B5">
              <w:rPr>
                <w:sz w:val="28"/>
                <w:szCs w:val="28"/>
              </w:rPr>
              <w:t xml:space="preserve"> </w:t>
            </w:r>
            <w:proofErr w:type="spellStart"/>
            <w:r w:rsidR="009249BF" w:rsidRPr="003F59B5">
              <w:rPr>
                <w:sz w:val="28"/>
                <w:szCs w:val="28"/>
              </w:rPr>
              <w:t>господарювання</w:t>
            </w:r>
            <w:proofErr w:type="spellEnd"/>
            <w:r w:rsidR="009249BF" w:rsidRPr="003F59B5">
              <w:rPr>
                <w:sz w:val="28"/>
                <w:szCs w:val="28"/>
              </w:rPr>
              <w:t xml:space="preserve"> </w:t>
            </w:r>
            <w:r w:rsidR="005E3D79">
              <w:rPr>
                <w:sz w:val="28"/>
                <w:szCs w:val="28"/>
                <w:lang w:val="uk-UA"/>
              </w:rPr>
              <w:br/>
            </w:r>
            <w:r w:rsidR="003F59B5" w:rsidRPr="005E3D79">
              <w:rPr>
                <w:b/>
                <w:sz w:val="26"/>
                <w:szCs w:val="26"/>
                <w:lang w:val="uk-UA"/>
              </w:rPr>
              <w:t>1 180,26</w:t>
            </w:r>
            <w:r w:rsidR="003F59B5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191722" w:rsidRPr="007E607E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sz w:val="28"/>
          <w:szCs w:val="28"/>
          <w:lang w:val="uk-UA" w:eastAsia="ru-RU"/>
        </w:rPr>
      </w:pPr>
    </w:p>
    <w:p w:rsidR="006B3AB8" w:rsidRPr="007E607E" w:rsidRDefault="005339F3" w:rsidP="006B3AB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E607E">
        <w:rPr>
          <w:sz w:val="28"/>
          <w:szCs w:val="28"/>
          <w:shd w:val="clear" w:color="auto" w:fill="FFFFFF"/>
        </w:rPr>
        <w:t>Витрати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будуть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виникати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 (</w:t>
      </w:r>
      <w:proofErr w:type="spellStart"/>
      <w:r w:rsidRPr="007E607E">
        <w:rPr>
          <w:sz w:val="28"/>
          <w:szCs w:val="28"/>
          <w:shd w:val="clear" w:color="auto" w:fill="FFFFFF"/>
        </w:rPr>
        <w:t>згідно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з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додатком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2 до Методики </w:t>
      </w:r>
      <w:proofErr w:type="spellStart"/>
      <w:r w:rsidRPr="007E607E">
        <w:rPr>
          <w:sz w:val="28"/>
          <w:szCs w:val="28"/>
          <w:shd w:val="clear" w:color="auto" w:fill="FFFFFF"/>
        </w:rPr>
        <w:t>проведення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аналізу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впливу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акта).</w:t>
      </w:r>
    </w:p>
    <w:p w:rsidR="005339F3" w:rsidRPr="007E607E" w:rsidRDefault="005339F3" w:rsidP="006B3A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028"/>
      </w:tblGrid>
      <w:tr w:rsidR="006B3AB8" w:rsidRPr="00BB7375" w:rsidTr="00BB7375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 витрат, гривень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5E3D79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Альтернатива 1. 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0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Альтернатива 2. </w:t>
            </w:r>
          </w:p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7735AB" w:rsidRDefault="00C40406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35AB">
              <w:rPr>
                <w:sz w:val="26"/>
                <w:szCs w:val="26"/>
              </w:rPr>
              <w:t>54 291,96</w:t>
            </w:r>
          </w:p>
        </w:tc>
      </w:tr>
    </w:tbl>
    <w:p w:rsidR="00CE527D" w:rsidRDefault="00CE527D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24DF2" w:rsidRPr="007E607E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lastRenderedPageBreak/>
        <w:t>IV. 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477"/>
        <w:gridCol w:w="1687"/>
        <w:gridCol w:w="765"/>
        <w:gridCol w:w="1860"/>
        <w:gridCol w:w="2801"/>
      </w:tblGrid>
      <w:tr w:rsidR="00472CAC" w:rsidRPr="005E3D79" w:rsidTr="00D0769A">
        <w:tc>
          <w:tcPr>
            <w:tcW w:w="1391" w:type="pct"/>
            <w:gridSpan w:val="2"/>
          </w:tcPr>
          <w:p w:rsidR="00E24DF2" w:rsidRPr="005E3D79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5E3D79">
              <w:rPr>
                <w:rFonts w:eastAsia="Times New Roman"/>
                <w:bCs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44" w:type="pct"/>
            <w:gridSpan w:val="2"/>
          </w:tcPr>
          <w:p w:rsidR="00E24DF2" w:rsidRPr="005E3D79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5E3D79">
              <w:rPr>
                <w:rFonts w:eastAsia="Times New Roman"/>
                <w:bCs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365" w:type="pct"/>
            <w:gridSpan w:val="2"/>
          </w:tcPr>
          <w:p w:rsidR="00E24DF2" w:rsidRPr="005E3D79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lang w:val="uk-UA" w:eastAsia="uk-UA"/>
              </w:rPr>
            </w:pPr>
            <w:r w:rsidRPr="005E3D79">
              <w:rPr>
                <w:rFonts w:eastAsia="Times New Roman"/>
                <w:bCs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472CAC" w:rsidRPr="007E607E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AC5EB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7E607E">
              <w:rPr>
                <w:sz w:val="28"/>
                <w:szCs w:val="28"/>
                <w:lang w:val="uk-UA"/>
              </w:rPr>
              <w:t xml:space="preserve"> 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Залишаються </w:t>
            </w:r>
            <w:r w:rsidR="001F414F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проблеми зазначені у Розділі </w:t>
            </w:r>
            <w:r w:rsidR="00AC5EBA">
              <w:rPr>
                <w:rFonts w:eastAsia="Times New Roman"/>
                <w:sz w:val="28"/>
                <w:szCs w:val="28"/>
                <w:lang w:val="uk-UA" w:eastAsia="ru-RU"/>
              </w:rPr>
              <w:t>І</w:t>
            </w:r>
            <w:r w:rsidR="001F414F">
              <w:rPr>
                <w:rFonts w:eastAsia="Times New Roman"/>
                <w:sz w:val="28"/>
                <w:szCs w:val="28"/>
                <w:lang w:val="uk-UA" w:eastAsia="ru-RU"/>
              </w:rPr>
              <w:t xml:space="preserve"> а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налізу</w:t>
            </w:r>
          </w:p>
        </w:tc>
      </w:tr>
      <w:tr w:rsidR="00472CAC" w:rsidRPr="007E607E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65" w:type="pct"/>
            <w:gridSpan w:val="2"/>
            <w:tcBorders>
              <w:bottom w:val="single" w:sz="4" w:space="0" w:color="auto"/>
            </w:tcBorders>
          </w:tcPr>
          <w:p w:rsidR="00116413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сприятиме досягненню ціл</w:t>
            </w:r>
            <w:r w:rsidR="00116413" w:rsidRPr="007E607E">
              <w:rPr>
                <w:rFonts w:eastAsia="Times New Roman"/>
                <w:sz w:val="28"/>
                <w:szCs w:val="28"/>
                <w:lang w:val="uk-UA" w:eastAsia="ru-RU"/>
              </w:rPr>
              <w:t>ей державного регулювання</w:t>
            </w:r>
            <w:r w:rsidR="00287A5D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зазначених у Розділі І</w:t>
            </w:r>
            <w:r w:rsidR="001F414F">
              <w:rPr>
                <w:rFonts w:eastAsia="Times New Roman"/>
                <w:sz w:val="28"/>
                <w:szCs w:val="28"/>
                <w:lang w:val="uk-UA" w:eastAsia="ru-RU"/>
              </w:rPr>
              <w:t>І а</w:t>
            </w:r>
            <w:r w:rsidR="00EF348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налізу </w:t>
            </w:r>
          </w:p>
        </w:tc>
      </w:tr>
      <w:tr w:rsidR="00F73929" w:rsidRPr="007E607E" w:rsidTr="00BB7375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B7375" w:rsidRPr="007E607E" w:rsidRDefault="00BB7375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73929" w:rsidRPr="00CC447E" w:rsidTr="00CC447E">
        <w:tc>
          <w:tcPr>
            <w:tcW w:w="1149" w:type="pct"/>
          </w:tcPr>
          <w:p w:rsidR="00F73929" w:rsidRPr="00CC447E" w:rsidRDefault="00F73929" w:rsidP="000B5C84">
            <w:pPr>
              <w:jc w:val="center"/>
              <w:rPr>
                <w:bCs/>
              </w:rPr>
            </w:pPr>
            <w:r w:rsidRPr="00CC447E">
              <w:rPr>
                <w:lang w:eastAsia="uk-UA"/>
              </w:rPr>
              <w:t xml:space="preserve">Рейтинг </w:t>
            </w:r>
            <w:proofErr w:type="spellStart"/>
            <w:r w:rsidRPr="00CC447E">
              <w:rPr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1098" w:type="pct"/>
            <w:gridSpan w:val="2"/>
          </w:tcPr>
          <w:p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Вигоди</w:t>
            </w:r>
            <w:proofErr w:type="spellEnd"/>
            <w:r w:rsidRPr="00CC447E">
              <w:rPr>
                <w:lang w:eastAsia="uk-UA"/>
              </w:rPr>
              <w:t xml:space="preserve"> (</w:t>
            </w:r>
            <w:proofErr w:type="spellStart"/>
            <w:proofErr w:type="gramStart"/>
            <w:r w:rsidRPr="00CC447E">
              <w:rPr>
                <w:lang w:eastAsia="uk-UA"/>
              </w:rPr>
              <w:t>п</w:t>
            </w:r>
            <w:proofErr w:type="gramEnd"/>
            <w:r w:rsidRPr="00CC447E">
              <w:rPr>
                <w:lang w:eastAsia="uk-UA"/>
              </w:rPr>
              <w:t>ідсумок</w:t>
            </w:r>
            <w:proofErr w:type="spellEnd"/>
            <w:r w:rsidRPr="00CC447E">
              <w:rPr>
                <w:lang w:eastAsia="uk-UA"/>
              </w:rPr>
              <w:t>)</w:t>
            </w:r>
          </w:p>
        </w:tc>
        <w:tc>
          <w:tcPr>
            <w:tcW w:w="1332" w:type="pct"/>
            <w:gridSpan w:val="2"/>
          </w:tcPr>
          <w:p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Витрати</w:t>
            </w:r>
            <w:proofErr w:type="spellEnd"/>
            <w:r w:rsidRPr="00CC447E">
              <w:rPr>
                <w:lang w:eastAsia="uk-UA"/>
              </w:rPr>
              <w:t xml:space="preserve"> (</w:t>
            </w:r>
            <w:proofErr w:type="spellStart"/>
            <w:proofErr w:type="gramStart"/>
            <w:r w:rsidRPr="00CC447E">
              <w:rPr>
                <w:lang w:eastAsia="uk-UA"/>
              </w:rPr>
              <w:t>п</w:t>
            </w:r>
            <w:proofErr w:type="gramEnd"/>
            <w:r w:rsidRPr="00CC447E">
              <w:rPr>
                <w:lang w:eastAsia="uk-UA"/>
              </w:rPr>
              <w:t>ідсумок</w:t>
            </w:r>
            <w:proofErr w:type="spellEnd"/>
            <w:r w:rsidRPr="00CC447E">
              <w:rPr>
                <w:lang w:eastAsia="uk-UA"/>
              </w:rPr>
              <w:t>)</w:t>
            </w:r>
          </w:p>
        </w:tc>
        <w:tc>
          <w:tcPr>
            <w:tcW w:w="1421" w:type="pct"/>
          </w:tcPr>
          <w:p w:rsidR="00F73929" w:rsidRPr="00CC447E" w:rsidRDefault="00F73929" w:rsidP="000B5C84">
            <w:pPr>
              <w:jc w:val="center"/>
              <w:rPr>
                <w:bCs/>
              </w:rPr>
            </w:pPr>
            <w:proofErr w:type="spellStart"/>
            <w:r w:rsidRPr="00CC447E">
              <w:rPr>
                <w:lang w:eastAsia="uk-UA"/>
              </w:rPr>
              <w:t>Обґрунтування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відповідного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місця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spellStart"/>
            <w:r w:rsidRPr="00CC447E">
              <w:rPr>
                <w:lang w:eastAsia="uk-UA"/>
              </w:rPr>
              <w:t>альтернативи</w:t>
            </w:r>
            <w:proofErr w:type="spellEnd"/>
            <w:r w:rsidRPr="00CC447E">
              <w:rPr>
                <w:lang w:eastAsia="uk-UA"/>
              </w:rPr>
              <w:t xml:space="preserve"> </w:t>
            </w:r>
            <w:proofErr w:type="gramStart"/>
            <w:r w:rsidRPr="00CC447E">
              <w:rPr>
                <w:lang w:eastAsia="uk-UA"/>
              </w:rPr>
              <w:t>у</w:t>
            </w:r>
            <w:proofErr w:type="gramEnd"/>
            <w:r w:rsidRPr="00CC447E">
              <w:rPr>
                <w:lang w:eastAsia="uk-UA"/>
              </w:rPr>
              <w:t xml:space="preserve"> рейтингу</w:t>
            </w:r>
          </w:p>
        </w:tc>
      </w:tr>
      <w:tr w:rsidR="00F73929" w:rsidRPr="007E607E" w:rsidTr="00CC447E">
        <w:tc>
          <w:tcPr>
            <w:tcW w:w="1149" w:type="pct"/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1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8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цього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способу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оскільки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даний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спосіб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вимогам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</w:p>
        </w:tc>
        <w:tc>
          <w:tcPr>
            <w:tcW w:w="1332" w:type="pct"/>
            <w:gridSpan w:val="2"/>
          </w:tcPr>
          <w:p w:rsidR="00F73929" w:rsidRPr="007E607E" w:rsidRDefault="00B778A1" w:rsidP="00BB73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proofErr w:type="spellStart"/>
            <w:r w:rsidR="00F73929" w:rsidRPr="007E607E">
              <w:rPr>
                <w:bCs/>
                <w:sz w:val="28"/>
                <w:szCs w:val="28"/>
              </w:rPr>
              <w:t>ідсутні</w:t>
            </w:r>
            <w:proofErr w:type="spellEnd"/>
          </w:p>
        </w:tc>
        <w:tc>
          <w:tcPr>
            <w:tcW w:w="1421" w:type="pct"/>
          </w:tcPr>
          <w:p w:rsidR="00F73929" w:rsidRPr="00A8220D" w:rsidRDefault="00A8220D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Проблема не вирішена</w:t>
            </w:r>
          </w:p>
        </w:tc>
      </w:tr>
      <w:tr w:rsidR="00F73929" w:rsidRPr="007E607E" w:rsidTr="00CC447E">
        <w:tc>
          <w:tcPr>
            <w:tcW w:w="1149" w:type="pct"/>
            <w:tcBorders>
              <w:bottom w:val="single" w:sz="4" w:space="0" w:color="auto"/>
            </w:tcBorders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2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8" w:type="pct"/>
            <w:gridSpan w:val="2"/>
            <w:tcBorders>
              <w:bottom w:val="single" w:sz="4" w:space="0" w:color="auto"/>
            </w:tcBorders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Максимальні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="00113ED1">
              <w:rPr>
                <w:bCs/>
                <w:sz w:val="28"/>
                <w:szCs w:val="28"/>
                <w:lang w:val="uk-UA"/>
              </w:rPr>
              <w:t>нормативно-правових акті</w:t>
            </w:r>
            <w:proofErr w:type="gramStart"/>
            <w:r w:rsidR="00113ED1">
              <w:rPr>
                <w:bCs/>
                <w:sz w:val="28"/>
                <w:szCs w:val="28"/>
                <w:lang w:val="uk-UA"/>
              </w:rPr>
              <w:t>в</w:t>
            </w:r>
            <w:proofErr w:type="gramEnd"/>
            <w:r w:rsidRPr="007E607E">
              <w:rPr>
                <w:bCs/>
                <w:sz w:val="28"/>
                <w:szCs w:val="28"/>
                <w:lang w:val="uk-UA"/>
              </w:rPr>
              <w:t xml:space="preserve"> у відповідність із </w:t>
            </w:r>
            <w:r w:rsidRPr="007E607E">
              <w:rPr>
                <w:bCs/>
                <w:sz w:val="28"/>
                <w:szCs w:val="28"/>
              </w:rPr>
              <w:t>Законом.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2" w:type="pct"/>
            <w:gridSpan w:val="2"/>
            <w:tcBorders>
              <w:bottom w:val="single" w:sz="4" w:space="0" w:color="auto"/>
            </w:tcBorders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="00113ED1">
              <w:rPr>
                <w:bCs/>
                <w:sz w:val="28"/>
                <w:szCs w:val="28"/>
                <w:lang w:val="uk-UA"/>
              </w:rPr>
              <w:t xml:space="preserve">передбачені для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7E607E">
              <w:rPr>
                <w:sz w:val="28"/>
                <w:szCs w:val="28"/>
              </w:rPr>
              <w:t>ознайомлення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з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новим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регулюванням</w:t>
            </w:r>
            <w:proofErr w:type="spellEnd"/>
            <w:r w:rsidR="00530AA4">
              <w:rPr>
                <w:sz w:val="28"/>
                <w:szCs w:val="28"/>
                <w:lang w:val="uk-UA"/>
              </w:rPr>
              <w:t xml:space="preserve"> та подання документів до </w:t>
            </w:r>
            <w:proofErr w:type="gramStart"/>
            <w:r w:rsidR="00530AA4">
              <w:rPr>
                <w:sz w:val="28"/>
                <w:szCs w:val="28"/>
                <w:lang w:val="uk-UA"/>
              </w:rPr>
              <w:t>державного</w:t>
            </w:r>
            <w:proofErr w:type="gramEnd"/>
            <w:r w:rsidR="00530AA4">
              <w:rPr>
                <w:sz w:val="28"/>
                <w:szCs w:val="28"/>
                <w:lang w:val="uk-UA"/>
              </w:rPr>
              <w:t xml:space="preserve"> органу</w:t>
            </w:r>
            <w:r w:rsidRPr="007E607E">
              <w:rPr>
                <w:sz w:val="28"/>
                <w:szCs w:val="28"/>
              </w:rPr>
              <w:t>.</w:t>
            </w:r>
          </w:p>
        </w:tc>
        <w:tc>
          <w:tcPr>
            <w:tcW w:w="1421" w:type="pct"/>
            <w:tcBorders>
              <w:bottom w:val="single" w:sz="4" w:space="0" w:color="auto"/>
            </w:tcBorders>
          </w:tcPr>
          <w:p w:rsidR="00F73929" w:rsidRDefault="00A8220D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Проблема вирішена</w:t>
            </w:r>
            <w:r w:rsidR="00251BDB">
              <w:rPr>
                <w:bCs/>
                <w:sz w:val="28"/>
                <w:szCs w:val="28"/>
                <w:lang w:val="uk-UA"/>
              </w:rPr>
              <w:t>.</w:t>
            </w:r>
          </w:p>
          <w:p w:rsidR="00251BDB" w:rsidRPr="00A8220D" w:rsidRDefault="00251BDB" w:rsidP="00BB73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Цілі державного регулювання досягнуті.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</w:tr>
    </w:tbl>
    <w:p w:rsidR="009361F5" w:rsidRPr="00530AA4" w:rsidRDefault="00530AA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530AA4">
        <w:rPr>
          <w:rFonts w:eastAsia="Times New Roman"/>
          <w:sz w:val="28"/>
          <w:szCs w:val="28"/>
          <w:lang w:val="uk-UA" w:eastAsia="ru-RU"/>
        </w:rPr>
        <w:t>Ризики впливу зовнішніх чинників на дію запропонованого регуляторного акта відсутні.</w:t>
      </w:r>
    </w:p>
    <w:p w:rsidR="00530AA4" w:rsidRDefault="00530AA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lastRenderedPageBreak/>
        <w:t>V. Механізм та заходи, які забезпечать розв’язання визначеної проблеми</w:t>
      </w: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8" w:name="n79"/>
      <w:bookmarkStart w:id="9" w:name="n80"/>
      <w:bookmarkStart w:id="10" w:name="n81"/>
      <w:bookmarkStart w:id="11" w:name="n83"/>
      <w:bookmarkStart w:id="12" w:name="n89"/>
      <w:bookmarkStart w:id="13" w:name="n90"/>
      <w:bookmarkStart w:id="14" w:name="n91"/>
      <w:bookmarkStart w:id="15" w:name="n92"/>
      <w:bookmarkStart w:id="16" w:name="n93"/>
      <w:bookmarkStart w:id="17" w:name="n94"/>
      <w:bookmarkStart w:id="18" w:name="n95"/>
      <w:bookmarkStart w:id="19" w:name="n97"/>
      <w:bookmarkStart w:id="20" w:name="_Hlk48926220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7E607E">
        <w:rPr>
          <w:rFonts w:eastAsia="Times New Roman"/>
          <w:sz w:val="28"/>
          <w:szCs w:val="28"/>
          <w:lang w:val="uk-UA" w:eastAsia="ru-RU"/>
        </w:rPr>
        <w:t>Механізмом, який забезпечить розв’язання проблеми</w:t>
      </w:r>
      <w:r w:rsidR="009361F5">
        <w:rPr>
          <w:rFonts w:eastAsia="Times New Roman"/>
          <w:sz w:val="28"/>
          <w:szCs w:val="28"/>
          <w:lang w:val="uk-UA" w:eastAsia="ru-RU"/>
        </w:rPr>
        <w:t>,</w:t>
      </w:r>
      <w:r w:rsidRPr="007E607E">
        <w:rPr>
          <w:rFonts w:eastAsia="Times New Roman"/>
          <w:sz w:val="28"/>
          <w:szCs w:val="28"/>
          <w:lang w:val="uk-UA" w:eastAsia="ru-RU"/>
        </w:rPr>
        <w:t xml:space="preserve"> є прийняття </w:t>
      </w:r>
      <w:proofErr w:type="spellStart"/>
      <w:r w:rsidR="006A75E7">
        <w:rPr>
          <w:rFonts w:eastAsia="Times New Roman"/>
          <w:sz w:val="28"/>
          <w:szCs w:val="28"/>
          <w:lang w:val="uk-UA" w:eastAsia="ru-RU"/>
        </w:rPr>
        <w:t>проє</w:t>
      </w:r>
      <w:r w:rsidR="009361F5">
        <w:rPr>
          <w:rFonts w:eastAsia="Times New Roman"/>
          <w:sz w:val="28"/>
          <w:szCs w:val="28"/>
          <w:lang w:val="uk-UA" w:eastAsia="ru-RU"/>
        </w:rPr>
        <w:t>кту</w:t>
      </w:r>
      <w:proofErr w:type="spellEnd"/>
      <w:r w:rsidR="009361F5">
        <w:rPr>
          <w:rFonts w:eastAsia="Times New Roman"/>
          <w:sz w:val="28"/>
          <w:szCs w:val="28"/>
          <w:lang w:val="uk-UA" w:eastAsia="ru-RU"/>
        </w:rPr>
        <w:t xml:space="preserve"> </w:t>
      </w:r>
      <w:r w:rsidRPr="007E607E">
        <w:rPr>
          <w:rFonts w:eastAsia="Times New Roman"/>
          <w:sz w:val="28"/>
          <w:szCs w:val="28"/>
          <w:lang w:val="uk-UA" w:eastAsia="ru-RU"/>
        </w:rPr>
        <w:t>регуляторного акта, що в свою чергу забезпечить:</w:t>
      </w:r>
    </w:p>
    <w:p w:rsidR="00DC0F74" w:rsidRPr="007E607E" w:rsidRDefault="00DC0F74" w:rsidP="004E4E4B">
      <w:pPr>
        <w:widowControl w:val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визнач</w:t>
      </w:r>
      <w:r w:rsidR="00B626CC"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ення процедури</w:t>
      </w: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</w:t>
      </w:r>
      <w:r w:rsidR="00C46734" w:rsidRPr="00550F82">
        <w:rPr>
          <w:sz w:val="28"/>
          <w:szCs w:val="28"/>
          <w:lang w:val="uk-UA"/>
        </w:rPr>
        <w:t xml:space="preserve">уповноваження підприємств, установ,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C46734" w:rsidRPr="00550F82">
        <w:rPr>
          <w:sz w:val="28"/>
          <w:szCs w:val="28"/>
          <w:lang w:val="uk-UA"/>
        </w:rPr>
        <w:t>токсиколого-гігієнічної</w:t>
      </w:r>
      <w:proofErr w:type="spellEnd"/>
      <w:r w:rsidR="00C46734" w:rsidRPr="00550F82">
        <w:rPr>
          <w:sz w:val="28"/>
          <w:szCs w:val="28"/>
          <w:lang w:val="uk-UA"/>
        </w:rPr>
        <w:t xml:space="preserve"> оцінки для цілей державної реєстрації пестицидів і агрохімікатів</w:t>
      </w:r>
      <w:r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C46734" w:rsidRDefault="00C4673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приведення Порядку у відповідність до законодавства.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607E">
        <w:rPr>
          <w:sz w:val="28"/>
          <w:szCs w:val="28"/>
        </w:rPr>
        <w:t xml:space="preserve">Заходи, </w:t>
      </w:r>
      <w:proofErr w:type="spellStart"/>
      <w:r w:rsidRPr="007E607E">
        <w:rPr>
          <w:sz w:val="28"/>
          <w:szCs w:val="28"/>
        </w:rPr>
        <w:t>які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мають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r w:rsidR="00763140">
        <w:rPr>
          <w:sz w:val="28"/>
          <w:szCs w:val="28"/>
        </w:rPr>
        <w:t>орган</w:t>
      </w:r>
      <w:r w:rsidR="00763140">
        <w:rPr>
          <w:sz w:val="28"/>
          <w:szCs w:val="28"/>
          <w:lang w:val="uk-UA"/>
        </w:rPr>
        <w:t>и державної влади та місцевого самоврядування</w:t>
      </w:r>
      <w:r w:rsidR="00763140" w:rsidRPr="007E607E">
        <w:rPr>
          <w:sz w:val="28"/>
          <w:szCs w:val="28"/>
        </w:rPr>
        <w:t xml:space="preserve"> </w:t>
      </w:r>
      <w:r w:rsidRPr="007E607E">
        <w:rPr>
          <w:sz w:val="28"/>
          <w:szCs w:val="28"/>
        </w:rPr>
        <w:t xml:space="preserve">для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цього</w:t>
      </w:r>
      <w:proofErr w:type="spellEnd"/>
      <w:r w:rsidRPr="007E607E">
        <w:rPr>
          <w:sz w:val="28"/>
          <w:szCs w:val="28"/>
        </w:rPr>
        <w:t xml:space="preserve"> регуляторного акта: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забезпечити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інформування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громадськості</w:t>
      </w:r>
      <w:proofErr w:type="spellEnd"/>
      <w:r w:rsidRPr="007E607E">
        <w:rPr>
          <w:sz w:val="28"/>
          <w:szCs w:val="28"/>
        </w:rPr>
        <w:t xml:space="preserve"> про </w:t>
      </w:r>
      <w:proofErr w:type="spellStart"/>
      <w:r w:rsidRPr="007E607E">
        <w:rPr>
          <w:sz w:val="28"/>
          <w:szCs w:val="28"/>
        </w:rPr>
        <w:t>вимоги</w:t>
      </w:r>
      <w:proofErr w:type="spellEnd"/>
      <w:r w:rsidRPr="007E607E">
        <w:rPr>
          <w:sz w:val="28"/>
          <w:szCs w:val="28"/>
        </w:rPr>
        <w:t xml:space="preserve"> регуляторного акта шляхом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оприлюднення</w:t>
      </w:r>
      <w:proofErr w:type="spellEnd"/>
      <w:r w:rsidRPr="007E607E">
        <w:rPr>
          <w:sz w:val="28"/>
          <w:szCs w:val="28"/>
        </w:rPr>
        <w:t xml:space="preserve"> </w:t>
      </w:r>
      <w:proofErr w:type="gramStart"/>
      <w:r w:rsidRPr="007E607E">
        <w:rPr>
          <w:sz w:val="28"/>
          <w:szCs w:val="28"/>
        </w:rPr>
        <w:t>в</w:t>
      </w:r>
      <w:proofErr w:type="gramEnd"/>
      <w:r w:rsidRPr="007E607E">
        <w:rPr>
          <w:sz w:val="28"/>
          <w:szCs w:val="28"/>
        </w:rPr>
        <w:t xml:space="preserve"> </w:t>
      </w:r>
      <w:proofErr w:type="spellStart"/>
      <w:proofErr w:type="gramStart"/>
      <w:r w:rsidRPr="007E607E">
        <w:rPr>
          <w:sz w:val="28"/>
          <w:szCs w:val="28"/>
        </w:rPr>
        <w:t>мереж</w:t>
      </w:r>
      <w:proofErr w:type="gramEnd"/>
      <w:r w:rsidRPr="007E607E">
        <w:rPr>
          <w:sz w:val="28"/>
          <w:szCs w:val="28"/>
        </w:rPr>
        <w:t>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Інтернет</w:t>
      </w:r>
      <w:proofErr w:type="spellEnd"/>
      <w:r w:rsidRPr="007E607E">
        <w:rPr>
          <w:sz w:val="28"/>
          <w:szCs w:val="28"/>
        </w:rPr>
        <w:t xml:space="preserve"> – на </w:t>
      </w:r>
      <w:proofErr w:type="spellStart"/>
      <w:r w:rsidRPr="007E607E">
        <w:rPr>
          <w:sz w:val="28"/>
          <w:szCs w:val="28"/>
        </w:rPr>
        <w:t>офіційному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вебсайті</w:t>
      </w:r>
      <w:proofErr w:type="spellEnd"/>
      <w:r w:rsidRPr="007E607E">
        <w:rPr>
          <w:sz w:val="28"/>
          <w:szCs w:val="28"/>
        </w:rPr>
        <w:t xml:space="preserve"> Міністерства </w:t>
      </w:r>
      <w:proofErr w:type="spellStart"/>
      <w:r w:rsidRPr="007E607E">
        <w:rPr>
          <w:sz w:val="28"/>
          <w:szCs w:val="28"/>
        </w:rPr>
        <w:t>захисту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довкілля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природних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України</w:t>
      </w:r>
      <w:proofErr w:type="spellEnd"/>
      <w:r w:rsidRPr="007E607E">
        <w:rPr>
          <w:sz w:val="28"/>
          <w:szCs w:val="28"/>
        </w:rPr>
        <w:t xml:space="preserve">;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погодження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проєкту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заінтересованими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центральними</w:t>
      </w:r>
      <w:proofErr w:type="spellEnd"/>
      <w:r w:rsidRPr="007E607E">
        <w:rPr>
          <w:sz w:val="28"/>
          <w:szCs w:val="28"/>
        </w:rPr>
        <w:t xml:space="preserve"> органами </w:t>
      </w:r>
      <w:proofErr w:type="spellStart"/>
      <w:r w:rsidRPr="007E607E">
        <w:rPr>
          <w:sz w:val="28"/>
          <w:szCs w:val="28"/>
        </w:rPr>
        <w:t>виконавчої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та подати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розгляд</w:t>
      </w:r>
      <w:proofErr w:type="spellEnd"/>
      <w:r w:rsidRPr="007E607E">
        <w:rPr>
          <w:sz w:val="28"/>
          <w:szCs w:val="28"/>
        </w:rPr>
        <w:t xml:space="preserve"> Уряду.</w:t>
      </w:r>
    </w:p>
    <w:bookmarkEnd w:id="20"/>
    <w:p w:rsidR="00763140" w:rsidRDefault="00763140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428A4" w:rsidRPr="007E607E" w:rsidRDefault="003428A4" w:rsidP="000B5C84">
      <w:pPr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Витрати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органів</w:t>
      </w:r>
      <w:proofErr w:type="spellEnd"/>
      <w:r w:rsidR="009361F5">
        <w:rPr>
          <w:sz w:val="28"/>
          <w:szCs w:val="28"/>
          <w:lang w:val="uk-UA"/>
        </w:rPr>
        <w:t xml:space="preserve"> державної влади та місцевого самоврядування</w:t>
      </w:r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здійснюватимуться</w:t>
      </w:r>
      <w:proofErr w:type="spellEnd"/>
      <w:r w:rsidRPr="007E607E">
        <w:rPr>
          <w:sz w:val="28"/>
          <w:szCs w:val="28"/>
        </w:rPr>
        <w:t xml:space="preserve"> за </w:t>
      </w:r>
      <w:proofErr w:type="spellStart"/>
      <w:r w:rsidRPr="007E607E">
        <w:rPr>
          <w:sz w:val="28"/>
          <w:szCs w:val="28"/>
        </w:rPr>
        <w:t>рахунок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раціонального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використання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матеріально-технічних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перерозподілу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трудових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</w:t>
      </w:r>
      <w:proofErr w:type="gramStart"/>
      <w:r w:rsidRPr="007E607E">
        <w:rPr>
          <w:sz w:val="28"/>
          <w:szCs w:val="28"/>
        </w:rPr>
        <w:t>в</w:t>
      </w:r>
      <w:proofErr w:type="spellEnd"/>
      <w:proofErr w:type="gramEnd"/>
      <w:r w:rsidRPr="007E607E">
        <w:rPr>
          <w:sz w:val="28"/>
          <w:szCs w:val="28"/>
        </w:rPr>
        <w:t xml:space="preserve"> у </w:t>
      </w:r>
      <w:proofErr w:type="spellStart"/>
      <w:r w:rsidRPr="007E607E">
        <w:rPr>
          <w:sz w:val="28"/>
          <w:szCs w:val="28"/>
        </w:rPr>
        <w:t>процесі</w:t>
      </w:r>
      <w:proofErr w:type="spellEnd"/>
      <w:r w:rsidRPr="007E607E">
        <w:rPr>
          <w:sz w:val="28"/>
          <w:szCs w:val="28"/>
        </w:rPr>
        <w:t xml:space="preserve"> державного </w:t>
      </w:r>
      <w:proofErr w:type="spellStart"/>
      <w:r w:rsidRPr="007E607E">
        <w:rPr>
          <w:sz w:val="28"/>
          <w:szCs w:val="28"/>
        </w:rPr>
        <w:t>управління</w:t>
      </w:r>
      <w:proofErr w:type="spellEnd"/>
      <w:r w:rsidRPr="007E607E">
        <w:rPr>
          <w:sz w:val="28"/>
          <w:szCs w:val="28"/>
        </w:rPr>
        <w:t xml:space="preserve">. 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21" w:name="_Hlk496274919"/>
      <w:r w:rsidRPr="007E607E">
        <w:rPr>
          <w:rFonts w:eastAsia="Times New Roman"/>
          <w:sz w:val="28"/>
          <w:szCs w:val="28"/>
          <w:lang w:val="uk-UA" w:eastAsia="ru-RU"/>
        </w:rPr>
        <w:t>Проведено розрахунок витрат на одного суб’єкта господарювання</w:t>
      </w:r>
      <w:bookmarkEnd w:id="21"/>
      <w:r w:rsidRPr="007E607E">
        <w:rPr>
          <w:rFonts w:eastAsia="Times New Roman"/>
          <w:sz w:val="28"/>
          <w:szCs w:val="28"/>
          <w:lang w:val="uk-UA" w:eastAsia="ru-RU"/>
        </w:rPr>
        <w:t xml:space="preserve"> великого і середнього підприємництва.</w:t>
      </w:r>
    </w:p>
    <w:p w:rsidR="005A44F4" w:rsidRPr="007E607E" w:rsidRDefault="005A44F4" w:rsidP="000B5C84">
      <w:pPr>
        <w:ind w:firstLine="567"/>
        <w:jc w:val="both"/>
        <w:rPr>
          <w:sz w:val="28"/>
          <w:szCs w:val="28"/>
          <w:lang w:val="uk-UA"/>
        </w:rPr>
      </w:pPr>
      <w:r w:rsidRPr="007E607E">
        <w:rPr>
          <w:bCs/>
          <w:sz w:val="28"/>
          <w:szCs w:val="28"/>
          <w:lang w:val="uk-UA"/>
        </w:rPr>
        <w:t xml:space="preserve">Бюджетні витрати на впровадження регуляторного акта для </w:t>
      </w:r>
      <w:r w:rsidR="001B447A" w:rsidRPr="001B447A">
        <w:rPr>
          <w:sz w:val="28"/>
          <w:szCs w:val="28"/>
          <w:lang w:val="uk-UA"/>
        </w:rPr>
        <w:t>органів</w:t>
      </w:r>
      <w:r w:rsidR="001B447A">
        <w:rPr>
          <w:sz w:val="28"/>
          <w:szCs w:val="28"/>
          <w:lang w:val="uk-UA"/>
        </w:rPr>
        <w:t xml:space="preserve"> державної влади та місцевого самоврядування</w:t>
      </w:r>
      <w:r w:rsidR="001B447A" w:rsidRPr="001B447A">
        <w:rPr>
          <w:sz w:val="28"/>
          <w:szCs w:val="28"/>
          <w:lang w:val="uk-UA"/>
        </w:rPr>
        <w:t xml:space="preserve"> </w:t>
      </w:r>
      <w:r w:rsidRPr="007E607E">
        <w:rPr>
          <w:bCs/>
          <w:sz w:val="28"/>
          <w:szCs w:val="28"/>
          <w:lang w:val="uk-UA"/>
        </w:rPr>
        <w:t xml:space="preserve">не збільшуються, проте реалізація </w:t>
      </w:r>
      <w:proofErr w:type="spellStart"/>
      <w:r w:rsidRPr="007E607E">
        <w:rPr>
          <w:bCs/>
          <w:sz w:val="28"/>
          <w:szCs w:val="28"/>
          <w:lang w:val="uk-UA"/>
        </w:rPr>
        <w:t>проєкту</w:t>
      </w:r>
      <w:proofErr w:type="spellEnd"/>
      <w:r w:rsidRPr="007E607E">
        <w:rPr>
          <w:bCs/>
          <w:sz w:val="28"/>
          <w:szCs w:val="28"/>
          <w:lang w:val="uk-UA"/>
        </w:rPr>
        <w:t xml:space="preserve"> </w:t>
      </w:r>
      <w:r w:rsidR="001B447A">
        <w:rPr>
          <w:bCs/>
          <w:sz w:val="28"/>
          <w:szCs w:val="28"/>
          <w:lang w:val="uk-UA"/>
        </w:rPr>
        <w:t xml:space="preserve">акта </w:t>
      </w:r>
      <w:r w:rsidRPr="007E607E">
        <w:rPr>
          <w:bCs/>
          <w:sz w:val="28"/>
          <w:szCs w:val="28"/>
          <w:lang w:val="uk-UA"/>
        </w:rPr>
        <w:t xml:space="preserve">потребуватиме фінансових витрат від суб’єктів господарювання для </w:t>
      </w:r>
      <w:r w:rsidRPr="007E607E">
        <w:rPr>
          <w:sz w:val="28"/>
          <w:szCs w:val="28"/>
          <w:lang w:val="uk-UA"/>
        </w:rPr>
        <w:t>ознайомлення з новим регулюванням (відповідний розрахунок зазначено у витратах на одного суб’єкта господарювання великого і середнього підприємництва, які виникають внаслідок дії регуляторного акта).</w:t>
      </w:r>
    </w:p>
    <w:p w:rsidR="003428A4" w:rsidRPr="00741E38" w:rsidRDefault="003428A4" w:rsidP="007F3C66">
      <w:pPr>
        <w:widowControl w:val="0"/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:rsidR="00E24DF2" w:rsidRPr="007E607E" w:rsidRDefault="006A75E7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Дія</w:t>
      </w:r>
      <w:r w:rsidR="00E24DF2" w:rsidRPr="007E607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цього регуляторного акта встановлюється на необмежений строк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,</w:t>
      </w:r>
      <w:r w:rsidR="00E24DF2" w:rsidRPr="007E607E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>о</w:t>
      </w:r>
      <w:r w:rsidR="00E24DF2" w:rsidRPr="007E607E">
        <w:rPr>
          <w:rFonts w:eastAsia="Calibri"/>
          <w:sz w:val="28"/>
          <w:szCs w:val="28"/>
          <w:shd w:val="clear" w:color="auto" w:fill="FFFFFF"/>
          <w:lang w:val="uk-UA" w:eastAsia="en-US"/>
        </w:rPr>
        <w:t>скільки необхідність виконання положень регуляторного акта є постійною.</w:t>
      </w:r>
    </w:p>
    <w:p w:rsidR="004E4E4B" w:rsidRPr="00741E38" w:rsidRDefault="004E4E4B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24DF2" w:rsidRPr="007E607E" w:rsidRDefault="00E24DF2" w:rsidP="000B5C84">
      <w:pPr>
        <w:widowControl w:val="0"/>
        <w:tabs>
          <w:tab w:val="left" w:pos="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:rsidR="000E0B27" w:rsidRPr="007A1A70" w:rsidRDefault="00E15E3B" w:rsidP="000E0B27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="000E0B27" w:rsidRPr="007A1A70">
        <w:rPr>
          <w:sz w:val="28"/>
          <w:szCs w:val="28"/>
          <w:lang w:val="uk-UA" w:eastAsia="uk-UA"/>
        </w:rPr>
        <w:t>Розмір надходжень до державного та місцевих бюджетів і державних цільових фондів, пов'язаних з дією акта</w:t>
      </w:r>
      <w:r w:rsidR="000E0B27">
        <w:rPr>
          <w:sz w:val="28"/>
          <w:szCs w:val="28"/>
          <w:lang w:val="uk-UA" w:eastAsia="uk-UA"/>
        </w:rPr>
        <w:t xml:space="preserve"> – відсутній.</w:t>
      </w:r>
    </w:p>
    <w:p w:rsidR="00703D4C" w:rsidRPr="007E607E" w:rsidRDefault="000E0B27" w:rsidP="000B5C84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2.</w:t>
      </w:r>
      <w:r w:rsidR="00E15E3B">
        <w:rPr>
          <w:sz w:val="28"/>
          <w:szCs w:val="28"/>
          <w:lang w:val="uk-UA" w:eastAsia="uk-UA"/>
        </w:rPr>
        <w:t> </w:t>
      </w:r>
      <w:r w:rsidR="00703D4C" w:rsidRPr="007E607E">
        <w:rPr>
          <w:sz w:val="28"/>
          <w:szCs w:val="28"/>
          <w:lang w:val="uk-UA" w:eastAsia="uk-UA"/>
        </w:rPr>
        <w:t xml:space="preserve">Кількість суб’єктів господарювання – юридичні особи та фізичні особи - підприємці, які мають намір </w:t>
      </w:r>
      <w:r w:rsidR="006A5D82">
        <w:rPr>
          <w:sz w:val="28"/>
          <w:szCs w:val="28"/>
          <w:lang w:val="uk-UA" w:eastAsia="uk-UA"/>
        </w:rPr>
        <w:t>здійснювати державн</w:t>
      </w:r>
      <w:r w:rsidR="00DE7260">
        <w:rPr>
          <w:sz w:val="28"/>
          <w:szCs w:val="28"/>
          <w:lang w:val="uk-UA" w:eastAsia="uk-UA"/>
        </w:rPr>
        <w:t>і</w:t>
      </w:r>
      <w:r w:rsidR="006A5D82">
        <w:rPr>
          <w:sz w:val="28"/>
          <w:szCs w:val="28"/>
          <w:lang w:val="uk-UA" w:eastAsia="uk-UA"/>
        </w:rPr>
        <w:t xml:space="preserve"> випробуван</w:t>
      </w:r>
      <w:r w:rsidR="00DE7260">
        <w:rPr>
          <w:sz w:val="28"/>
          <w:szCs w:val="28"/>
          <w:lang w:val="uk-UA" w:eastAsia="uk-UA"/>
        </w:rPr>
        <w:t>ня</w:t>
      </w:r>
      <w:r w:rsidR="006A5D82">
        <w:rPr>
          <w:sz w:val="28"/>
          <w:szCs w:val="28"/>
          <w:lang w:val="uk-UA" w:eastAsia="uk-UA"/>
        </w:rPr>
        <w:t xml:space="preserve"> пестицидів і агрохімікатів</w:t>
      </w:r>
      <w:r w:rsidR="00DE7260">
        <w:rPr>
          <w:sz w:val="28"/>
          <w:szCs w:val="28"/>
          <w:lang w:val="uk-UA" w:eastAsia="uk-UA"/>
        </w:rPr>
        <w:t>.</w:t>
      </w:r>
      <w:r w:rsidR="006A5D82">
        <w:rPr>
          <w:sz w:val="28"/>
          <w:szCs w:val="28"/>
          <w:lang w:val="uk-UA" w:eastAsia="uk-UA"/>
        </w:rPr>
        <w:t xml:space="preserve"> </w:t>
      </w:r>
    </w:p>
    <w:p w:rsidR="000E0B27" w:rsidRDefault="00E15E3B" w:rsidP="000B5C84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 w:eastAsia="uk-UA"/>
        </w:rPr>
        <w:t>3</w:t>
      </w:r>
      <w:r w:rsidR="00703D4C" w:rsidRPr="007E607E">
        <w:rPr>
          <w:sz w:val="28"/>
          <w:szCs w:val="28"/>
          <w:lang w:eastAsia="uk-UA"/>
        </w:rPr>
        <w:t>.</w:t>
      </w:r>
      <w:r w:rsidR="00703D4C" w:rsidRPr="007E607E">
        <w:rPr>
          <w:sz w:val="28"/>
          <w:szCs w:val="28"/>
          <w:lang w:eastAsia="uk-UA"/>
        </w:rPr>
        <w:tab/>
      </w:r>
      <w:proofErr w:type="spellStart"/>
      <w:r w:rsidR="00703D4C" w:rsidRPr="007E607E">
        <w:rPr>
          <w:sz w:val="28"/>
          <w:szCs w:val="28"/>
          <w:lang w:eastAsia="uk-UA"/>
        </w:rPr>
        <w:t>Розмі</w:t>
      </w:r>
      <w:proofErr w:type="gramStart"/>
      <w:r w:rsidR="00703D4C" w:rsidRPr="007E607E">
        <w:rPr>
          <w:sz w:val="28"/>
          <w:szCs w:val="28"/>
          <w:lang w:eastAsia="uk-UA"/>
        </w:rPr>
        <w:t>р</w:t>
      </w:r>
      <w:proofErr w:type="spellEnd"/>
      <w:proofErr w:type="gram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коштів</w:t>
      </w:r>
      <w:proofErr w:type="spellEnd"/>
      <w:r w:rsidR="00703D4C" w:rsidRPr="007E607E">
        <w:rPr>
          <w:sz w:val="28"/>
          <w:szCs w:val="28"/>
          <w:lang w:eastAsia="uk-UA"/>
        </w:rPr>
        <w:t xml:space="preserve">, </w:t>
      </w:r>
      <w:proofErr w:type="spellStart"/>
      <w:r w:rsidR="00703D4C" w:rsidRPr="007E607E">
        <w:rPr>
          <w:sz w:val="28"/>
          <w:szCs w:val="28"/>
          <w:lang w:eastAsia="uk-UA"/>
        </w:rPr>
        <w:t>які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витрачатимуться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суб’єктом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господарювання</w:t>
      </w:r>
      <w:proofErr w:type="spellEnd"/>
      <w:r w:rsidR="00703D4C" w:rsidRPr="007E607E">
        <w:rPr>
          <w:sz w:val="28"/>
          <w:szCs w:val="28"/>
          <w:lang w:eastAsia="uk-UA"/>
        </w:rPr>
        <w:t xml:space="preserve"> у </w:t>
      </w:r>
      <w:proofErr w:type="spellStart"/>
      <w:r w:rsidR="00703D4C" w:rsidRPr="007E607E">
        <w:rPr>
          <w:sz w:val="28"/>
          <w:szCs w:val="28"/>
          <w:lang w:eastAsia="uk-UA"/>
        </w:rPr>
        <w:t>зв’язку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із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виконанням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вимог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проєкту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r w:rsidR="001B447A">
        <w:rPr>
          <w:sz w:val="28"/>
          <w:szCs w:val="28"/>
          <w:lang w:val="uk-UA" w:eastAsia="uk-UA"/>
        </w:rPr>
        <w:t>акта</w:t>
      </w:r>
      <w:r w:rsidR="00703D4C" w:rsidRPr="007E607E">
        <w:rPr>
          <w:sz w:val="28"/>
          <w:szCs w:val="28"/>
          <w:lang w:eastAsia="uk-UA"/>
        </w:rPr>
        <w:t xml:space="preserve"> становить </w:t>
      </w:r>
      <w:r w:rsidR="000E0B27" w:rsidRPr="000E0B27">
        <w:rPr>
          <w:sz w:val="26"/>
          <w:szCs w:val="26"/>
          <w:lang w:val="uk-UA"/>
        </w:rPr>
        <w:t>1 180,26 грн.</w:t>
      </w:r>
    </w:p>
    <w:p w:rsidR="00703D4C" w:rsidRPr="007E607E" w:rsidRDefault="00E15E3B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4</w:t>
      </w:r>
      <w:r w:rsidR="00703D4C" w:rsidRPr="007E607E">
        <w:rPr>
          <w:sz w:val="28"/>
          <w:szCs w:val="28"/>
          <w:lang w:eastAsia="uk-UA"/>
        </w:rPr>
        <w:t>.</w:t>
      </w:r>
      <w:r w:rsidR="00703D4C" w:rsidRPr="007E607E">
        <w:rPr>
          <w:sz w:val="28"/>
          <w:szCs w:val="28"/>
          <w:lang w:eastAsia="uk-UA"/>
        </w:rPr>
        <w:tab/>
      </w:r>
      <w:proofErr w:type="spellStart"/>
      <w:r w:rsidR="00703D4C" w:rsidRPr="007E607E">
        <w:rPr>
          <w:sz w:val="28"/>
          <w:szCs w:val="28"/>
          <w:lang w:eastAsia="uk-UA"/>
        </w:rPr>
        <w:t>Кількість</w:t>
      </w:r>
      <w:proofErr w:type="spellEnd"/>
      <w:r w:rsidR="00703D4C" w:rsidRPr="007E607E">
        <w:rPr>
          <w:sz w:val="28"/>
          <w:szCs w:val="28"/>
          <w:lang w:eastAsia="uk-UA"/>
        </w:rPr>
        <w:t xml:space="preserve"> часу, </w:t>
      </w:r>
      <w:proofErr w:type="spellStart"/>
      <w:r w:rsidR="00703D4C" w:rsidRPr="007E607E">
        <w:rPr>
          <w:sz w:val="28"/>
          <w:szCs w:val="28"/>
          <w:lang w:eastAsia="uk-UA"/>
        </w:rPr>
        <w:t>який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витрачатиметься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суб’єктом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господарювання</w:t>
      </w:r>
      <w:proofErr w:type="spellEnd"/>
      <w:r w:rsidR="00703D4C" w:rsidRPr="007E607E">
        <w:rPr>
          <w:sz w:val="28"/>
          <w:szCs w:val="28"/>
          <w:lang w:eastAsia="uk-UA"/>
        </w:rPr>
        <w:t xml:space="preserve"> у </w:t>
      </w:r>
      <w:proofErr w:type="spellStart"/>
      <w:r w:rsidR="00703D4C" w:rsidRPr="007E607E">
        <w:rPr>
          <w:sz w:val="28"/>
          <w:szCs w:val="28"/>
          <w:lang w:eastAsia="uk-UA"/>
        </w:rPr>
        <w:t>зв’язку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із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виконанням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вимог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проєкту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r w:rsidR="00272600">
        <w:rPr>
          <w:sz w:val="28"/>
          <w:szCs w:val="28"/>
          <w:lang w:val="uk-UA" w:eastAsia="uk-UA"/>
        </w:rPr>
        <w:t>акта</w:t>
      </w:r>
      <w:r w:rsidR="00703D4C" w:rsidRPr="007E607E">
        <w:rPr>
          <w:sz w:val="28"/>
          <w:szCs w:val="28"/>
          <w:lang w:eastAsia="uk-UA"/>
        </w:rPr>
        <w:t xml:space="preserve">: </w:t>
      </w:r>
      <w:r w:rsidR="000E0B27">
        <w:rPr>
          <w:sz w:val="28"/>
          <w:szCs w:val="28"/>
          <w:lang w:val="uk-UA" w:eastAsia="uk-UA"/>
        </w:rPr>
        <w:t>6</w:t>
      </w:r>
      <w:r w:rsidR="00703D4C" w:rsidRPr="007E607E">
        <w:rPr>
          <w:sz w:val="28"/>
          <w:szCs w:val="28"/>
          <w:lang w:eastAsia="uk-UA"/>
        </w:rPr>
        <w:t xml:space="preserve"> год.</w:t>
      </w:r>
    </w:p>
    <w:p w:rsidR="00703D4C" w:rsidRPr="007E607E" w:rsidRDefault="00E15E3B" w:rsidP="000B5C84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lang w:val="uk-UA" w:eastAsia="uk-UA"/>
        </w:rPr>
        <w:t>5</w:t>
      </w:r>
      <w:r w:rsidR="00703D4C" w:rsidRPr="007E607E">
        <w:rPr>
          <w:sz w:val="28"/>
          <w:szCs w:val="28"/>
          <w:lang w:eastAsia="uk-UA"/>
        </w:rPr>
        <w:t>.</w:t>
      </w:r>
      <w:r w:rsidR="00703D4C" w:rsidRPr="007E607E">
        <w:rPr>
          <w:sz w:val="28"/>
          <w:szCs w:val="28"/>
          <w:lang w:eastAsia="uk-UA"/>
        </w:rPr>
        <w:tab/>
      </w:r>
      <w:proofErr w:type="spellStart"/>
      <w:proofErr w:type="gramStart"/>
      <w:r w:rsidR="00703D4C" w:rsidRPr="007E607E">
        <w:rPr>
          <w:sz w:val="28"/>
          <w:szCs w:val="28"/>
          <w:lang w:eastAsia="uk-UA"/>
        </w:rPr>
        <w:t>Р</w:t>
      </w:r>
      <w:proofErr w:type="gramEnd"/>
      <w:r w:rsidR="00703D4C" w:rsidRPr="007E607E">
        <w:rPr>
          <w:sz w:val="28"/>
          <w:szCs w:val="28"/>
          <w:lang w:eastAsia="uk-UA"/>
        </w:rPr>
        <w:t>івень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поінформованості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суб’єктів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господарювання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і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фізичних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осіб</w:t>
      </w:r>
      <w:proofErr w:type="spellEnd"/>
      <w:r w:rsidR="00703D4C" w:rsidRPr="007E607E">
        <w:rPr>
          <w:sz w:val="28"/>
          <w:szCs w:val="28"/>
          <w:lang w:eastAsia="uk-UA"/>
        </w:rPr>
        <w:t xml:space="preserve"> – </w:t>
      </w:r>
      <w:proofErr w:type="spellStart"/>
      <w:r w:rsidR="00703D4C" w:rsidRPr="007E607E">
        <w:rPr>
          <w:sz w:val="28"/>
          <w:szCs w:val="28"/>
          <w:lang w:eastAsia="uk-UA"/>
        </w:rPr>
        <w:t>високий</w:t>
      </w:r>
      <w:proofErr w:type="spellEnd"/>
      <w:r w:rsidR="00703D4C" w:rsidRPr="007E607E">
        <w:rPr>
          <w:sz w:val="28"/>
          <w:szCs w:val="28"/>
          <w:lang w:eastAsia="uk-UA"/>
        </w:rPr>
        <w:t xml:space="preserve">. </w:t>
      </w:r>
      <w:proofErr w:type="spellStart"/>
      <w:r w:rsidR="00703D4C" w:rsidRPr="007E607E">
        <w:rPr>
          <w:sz w:val="28"/>
          <w:szCs w:val="28"/>
          <w:lang w:eastAsia="uk-UA"/>
        </w:rPr>
        <w:t>Проєкт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r w:rsidR="00272600">
        <w:rPr>
          <w:sz w:val="28"/>
          <w:szCs w:val="28"/>
          <w:lang w:val="uk-UA" w:eastAsia="uk-UA"/>
        </w:rPr>
        <w:t>акта</w:t>
      </w:r>
      <w:r w:rsidR="00703D4C" w:rsidRPr="007E607E">
        <w:rPr>
          <w:sz w:val="28"/>
          <w:szCs w:val="28"/>
          <w:lang w:eastAsia="uk-UA"/>
        </w:rPr>
        <w:t xml:space="preserve"> та </w:t>
      </w:r>
      <w:proofErr w:type="spellStart"/>
      <w:r w:rsidR="00703D4C" w:rsidRPr="007E607E">
        <w:rPr>
          <w:sz w:val="28"/>
          <w:szCs w:val="28"/>
          <w:lang w:eastAsia="uk-UA"/>
        </w:rPr>
        <w:t>аналіз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розміщено</w:t>
      </w:r>
      <w:proofErr w:type="spellEnd"/>
      <w:r w:rsidR="00703D4C" w:rsidRPr="007E607E">
        <w:rPr>
          <w:sz w:val="28"/>
          <w:szCs w:val="28"/>
          <w:lang w:eastAsia="uk-UA"/>
        </w:rPr>
        <w:t xml:space="preserve"> на </w:t>
      </w:r>
      <w:proofErr w:type="spellStart"/>
      <w:r w:rsidR="00703D4C" w:rsidRPr="007E607E">
        <w:rPr>
          <w:sz w:val="28"/>
          <w:szCs w:val="28"/>
          <w:lang w:eastAsia="uk-UA"/>
        </w:rPr>
        <w:t>офіційному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вебсайті</w:t>
      </w:r>
      <w:proofErr w:type="spellEnd"/>
      <w:r w:rsidR="00703D4C" w:rsidRPr="007E607E">
        <w:rPr>
          <w:sz w:val="28"/>
          <w:szCs w:val="28"/>
          <w:lang w:eastAsia="uk-UA"/>
        </w:rPr>
        <w:t xml:space="preserve"> Мініс</w:t>
      </w:r>
      <w:r w:rsidR="003E709B">
        <w:rPr>
          <w:sz w:val="28"/>
          <w:szCs w:val="28"/>
          <w:lang w:eastAsia="uk-UA"/>
        </w:rPr>
        <w:t xml:space="preserve">терства </w:t>
      </w:r>
      <w:proofErr w:type="spellStart"/>
      <w:r w:rsidR="003E709B">
        <w:rPr>
          <w:sz w:val="28"/>
          <w:szCs w:val="28"/>
          <w:lang w:eastAsia="uk-UA"/>
        </w:rPr>
        <w:t>захисту</w:t>
      </w:r>
      <w:proofErr w:type="spellEnd"/>
      <w:r w:rsidR="003E709B">
        <w:rPr>
          <w:sz w:val="28"/>
          <w:szCs w:val="28"/>
          <w:lang w:eastAsia="uk-UA"/>
        </w:rPr>
        <w:t xml:space="preserve"> </w:t>
      </w:r>
      <w:proofErr w:type="spellStart"/>
      <w:r w:rsidR="003E709B">
        <w:rPr>
          <w:sz w:val="28"/>
          <w:szCs w:val="28"/>
          <w:lang w:eastAsia="uk-UA"/>
        </w:rPr>
        <w:t>довкілля</w:t>
      </w:r>
      <w:proofErr w:type="spellEnd"/>
      <w:r w:rsidR="003E709B">
        <w:rPr>
          <w:sz w:val="28"/>
          <w:szCs w:val="28"/>
          <w:lang w:eastAsia="uk-UA"/>
        </w:rPr>
        <w:t xml:space="preserve"> та при</w:t>
      </w:r>
      <w:proofErr w:type="spellStart"/>
      <w:r w:rsidR="003E709B">
        <w:rPr>
          <w:sz w:val="28"/>
          <w:szCs w:val="28"/>
          <w:lang w:val="uk-UA" w:eastAsia="uk-UA"/>
        </w:rPr>
        <w:t>ро</w:t>
      </w:r>
      <w:r w:rsidR="00703D4C" w:rsidRPr="007E607E">
        <w:rPr>
          <w:sz w:val="28"/>
          <w:szCs w:val="28"/>
          <w:lang w:eastAsia="uk-UA"/>
        </w:rPr>
        <w:t>дних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ресурсів</w:t>
      </w:r>
      <w:proofErr w:type="spellEnd"/>
      <w:r w:rsidR="00703D4C" w:rsidRPr="007E607E">
        <w:rPr>
          <w:sz w:val="28"/>
          <w:szCs w:val="28"/>
          <w:lang w:eastAsia="uk-UA"/>
        </w:rPr>
        <w:t xml:space="preserve"> </w:t>
      </w:r>
      <w:proofErr w:type="spellStart"/>
      <w:r w:rsidR="00703D4C" w:rsidRPr="007E607E">
        <w:rPr>
          <w:sz w:val="28"/>
          <w:szCs w:val="28"/>
          <w:lang w:eastAsia="uk-UA"/>
        </w:rPr>
        <w:t>України</w:t>
      </w:r>
      <w:proofErr w:type="spellEnd"/>
      <w:r w:rsidR="00703D4C" w:rsidRPr="007E607E">
        <w:rPr>
          <w:sz w:val="28"/>
          <w:szCs w:val="28"/>
          <w:lang w:eastAsia="uk-UA"/>
        </w:rPr>
        <w:t>.</w:t>
      </w:r>
    </w:p>
    <w:p w:rsidR="00E24DF2" w:rsidRDefault="00E15E3B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</w:t>
      </w:r>
      <w:r w:rsidR="00FA52F9">
        <w:rPr>
          <w:rFonts w:eastAsia="Times New Roman"/>
          <w:sz w:val="28"/>
          <w:szCs w:val="28"/>
          <w:lang w:val="uk-UA" w:eastAsia="ru-RU"/>
        </w:rPr>
        <w:t>. </w:t>
      </w:r>
      <w:r w:rsidR="00E24DF2" w:rsidRPr="007E607E">
        <w:rPr>
          <w:rFonts w:eastAsia="Times New Roman"/>
          <w:sz w:val="28"/>
          <w:szCs w:val="28"/>
          <w:lang w:val="uk-UA" w:eastAsia="ru-RU"/>
        </w:rPr>
        <w:t>Після прийняття регуляторного акта він буде опублікований у Офіційному віснику України та засобах масової інформації.</w:t>
      </w:r>
    </w:p>
    <w:p w:rsidR="00E574B2" w:rsidRPr="005318B9" w:rsidRDefault="00E15E3B" w:rsidP="00E574B2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7</w:t>
      </w:r>
      <w:r w:rsidR="00E574B2" w:rsidRPr="005318B9">
        <w:rPr>
          <w:rFonts w:eastAsia="Times New Roman"/>
          <w:sz w:val="28"/>
          <w:szCs w:val="28"/>
          <w:lang w:val="uk-UA" w:eastAsia="ru-RU"/>
        </w:rPr>
        <w:t>. Додатковими показниками результативності запровадження регуляторного акта, виходячи з його цілей, є:</w:t>
      </w:r>
    </w:p>
    <w:p w:rsidR="00E574B2" w:rsidRPr="005318B9" w:rsidRDefault="00E574B2" w:rsidP="00E574B2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 w:eastAsia="ru-RU"/>
        </w:rPr>
      </w:pPr>
      <w:r w:rsidRPr="005318B9">
        <w:rPr>
          <w:rFonts w:eastAsia="Times New Roman"/>
          <w:sz w:val="28"/>
          <w:szCs w:val="28"/>
          <w:lang w:val="uk-UA" w:eastAsia="ru-RU"/>
        </w:rPr>
        <w:t>к</w:t>
      </w:r>
      <w:r w:rsidRPr="005318B9">
        <w:rPr>
          <w:bCs/>
          <w:sz w:val="28"/>
          <w:szCs w:val="28"/>
          <w:lang w:val="uk-UA" w:eastAsia="ru-RU"/>
        </w:rPr>
        <w:t xml:space="preserve">ількість суб’єктів господарювання </w:t>
      </w:r>
      <w:r>
        <w:rPr>
          <w:bCs/>
          <w:sz w:val="28"/>
          <w:szCs w:val="28"/>
          <w:lang w:val="uk-UA" w:eastAsia="ru-RU"/>
        </w:rPr>
        <w:t>уповноважених на проведення державних випробувань пестицидів і агрохімікатів</w:t>
      </w:r>
      <w:r w:rsidRPr="005318B9">
        <w:rPr>
          <w:bCs/>
          <w:sz w:val="28"/>
          <w:szCs w:val="28"/>
          <w:lang w:val="uk-UA" w:eastAsia="ru-RU"/>
        </w:rPr>
        <w:t>;</w:t>
      </w:r>
    </w:p>
    <w:p w:rsidR="00E574B2" w:rsidRPr="005318B9" w:rsidRDefault="00E574B2" w:rsidP="00E574B2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 w:eastAsia="ru-RU"/>
        </w:rPr>
      </w:pPr>
      <w:r w:rsidRPr="005318B9">
        <w:rPr>
          <w:bCs/>
          <w:sz w:val="28"/>
          <w:szCs w:val="28"/>
          <w:lang w:val="uk-UA" w:eastAsia="ru-RU"/>
        </w:rPr>
        <w:t xml:space="preserve">кількість скарг від суб’єктів господарювання, які надійшли до </w:t>
      </w:r>
      <w:proofErr w:type="spellStart"/>
      <w:r w:rsidRPr="005318B9">
        <w:rPr>
          <w:bCs/>
          <w:sz w:val="28"/>
          <w:szCs w:val="28"/>
          <w:lang w:val="uk-UA" w:eastAsia="ru-RU"/>
        </w:rPr>
        <w:t>Міндовкілля</w:t>
      </w:r>
      <w:proofErr w:type="spellEnd"/>
      <w:r w:rsidRPr="005318B9">
        <w:rPr>
          <w:bCs/>
          <w:sz w:val="28"/>
          <w:szCs w:val="28"/>
          <w:lang w:val="uk-UA" w:eastAsia="ru-RU"/>
        </w:rPr>
        <w:t xml:space="preserve">, стосовно функціонування </w:t>
      </w:r>
      <w:r w:rsidR="005818B7">
        <w:rPr>
          <w:bCs/>
          <w:sz w:val="28"/>
          <w:szCs w:val="28"/>
          <w:lang w:val="uk-UA" w:eastAsia="ru-RU"/>
        </w:rPr>
        <w:t>процедури уповноваження на проведення державних випробувань пестицидів і агрохімікатів</w:t>
      </w:r>
      <w:r w:rsidRPr="005318B9">
        <w:rPr>
          <w:bCs/>
          <w:sz w:val="28"/>
          <w:szCs w:val="28"/>
          <w:lang w:val="uk-UA" w:eastAsia="ru-RU"/>
        </w:rPr>
        <w:t>.</w:t>
      </w:r>
    </w:p>
    <w:p w:rsidR="00E4106D" w:rsidRPr="007E607E" w:rsidRDefault="00E4106D" w:rsidP="000B5C84">
      <w:pPr>
        <w:pStyle w:val="a9"/>
        <w:widowControl w:val="0"/>
        <w:tabs>
          <w:tab w:val="left" w:pos="284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регуляторного акта здійснюватиметь</w:t>
      </w:r>
      <w:r w:rsidR="00DA1178" w:rsidRPr="007E607E">
        <w:rPr>
          <w:sz w:val="28"/>
          <w:szCs w:val="28"/>
          <w:lang w:val="uk-UA"/>
        </w:rPr>
        <w:t>ся шляхом проведення базового,</w:t>
      </w:r>
      <w:r w:rsidRPr="007E607E">
        <w:rPr>
          <w:sz w:val="28"/>
          <w:szCs w:val="28"/>
          <w:lang w:val="uk-UA"/>
        </w:rPr>
        <w:t xml:space="preserve">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 xml:space="preserve">Базове відстеження результативності цього регуляторного акта здійснюватиметься </w:t>
      </w:r>
      <w:r w:rsidR="00FE0E7C" w:rsidRPr="007E607E">
        <w:rPr>
          <w:sz w:val="28"/>
          <w:szCs w:val="28"/>
          <w:lang w:val="uk-UA"/>
        </w:rPr>
        <w:t>після набрання ним чин</w:t>
      </w:r>
      <w:bookmarkStart w:id="22" w:name="_GoBack"/>
      <w:bookmarkEnd w:id="22"/>
      <w:r w:rsidR="00FE0E7C" w:rsidRPr="007E607E">
        <w:rPr>
          <w:sz w:val="28"/>
          <w:szCs w:val="28"/>
          <w:lang w:val="uk-UA"/>
        </w:rPr>
        <w:t>ності</w:t>
      </w:r>
      <w:r w:rsidRPr="007E607E">
        <w:rPr>
          <w:sz w:val="28"/>
          <w:szCs w:val="28"/>
          <w:lang w:val="uk-UA"/>
        </w:rPr>
        <w:t>, оскільки для цього використовуватимуться</w:t>
      </w:r>
      <w:r w:rsidR="00F44DDF" w:rsidRPr="007E607E">
        <w:rPr>
          <w:sz w:val="28"/>
          <w:szCs w:val="28"/>
          <w:lang w:val="uk-UA"/>
        </w:rPr>
        <w:t xml:space="preserve"> виключно статистичні показники, але не пізніше дня, з якого починається проведення повторного відстежен</w:t>
      </w:r>
      <w:r w:rsidR="00294FD8" w:rsidRPr="007E607E">
        <w:rPr>
          <w:sz w:val="28"/>
          <w:szCs w:val="28"/>
          <w:lang w:val="uk-UA"/>
        </w:rPr>
        <w:t>ня результативності цього акта.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</w:t>
      </w:r>
      <w:r w:rsidR="00294FD8" w:rsidRPr="007E607E">
        <w:rPr>
          <w:sz w:val="28"/>
          <w:szCs w:val="28"/>
          <w:lang w:val="uk-UA"/>
        </w:rPr>
        <w:t>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7E607E">
        <w:rPr>
          <w:sz w:val="28"/>
          <w:szCs w:val="28"/>
          <w:lang w:val="uk-UA"/>
        </w:rPr>
        <w:t>блемних питань буде розглядатися</w:t>
      </w:r>
      <w:r w:rsidRPr="007E607E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E24DF2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</w:t>
      </w:r>
      <w:r w:rsidR="00F44DDF" w:rsidRPr="007E607E">
        <w:rPr>
          <w:sz w:val="28"/>
          <w:szCs w:val="28"/>
          <w:lang w:val="uk-UA"/>
        </w:rPr>
        <w:t xml:space="preserve">ляторного акта буде </w:t>
      </w:r>
      <w:r w:rsidR="000A31F0" w:rsidRPr="007E607E">
        <w:rPr>
          <w:sz w:val="28"/>
          <w:szCs w:val="28"/>
          <w:lang w:val="uk-UA"/>
        </w:rPr>
        <w:t>здійснюватися</w:t>
      </w:r>
      <w:r w:rsidR="00F44DDF" w:rsidRPr="007E607E">
        <w:rPr>
          <w:sz w:val="28"/>
          <w:szCs w:val="28"/>
          <w:lang w:val="uk-UA"/>
        </w:rPr>
        <w:t xml:space="preserve"> </w:t>
      </w:r>
      <w:r w:rsidR="00E4106D" w:rsidRPr="00E4106D">
        <w:rPr>
          <w:sz w:val="28"/>
          <w:szCs w:val="28"/>
          <w:lang w:val="uk-UA" w:eastAsia="uk-UA"/>
        </w:rPr>
        <w:t>Міністерств</w:t>
      </w:r>
      <w:r w:rsidR="00E4106D">
        <w:rPr>
          <w:sz w:val="28"/>
          <w:szCs w:val="28"/>
          <w:lang w:val="uk-UA" w:eastAsia="uk-UA"/>
        </w:rPr>
        <w:t>ом</w:t>
      </w:r>
      <w:r w:rsidR="003E709B">
        <w:rPr>
          <w:sz w:val="28"/>
          <w:szCs w:val="28"/>
          <w:lang w:val="uk-UA" w:eastAsia="uk-UA"/>
        </w:rPr>
        <w:t xml:space="preserve"> захисту довкілля та приро</w:t>
      </w:r>
      <w:r w:rsidR="00E4106D" w:rsidRPr="00E4106D">
        <w:rPr>
          <w:sz w:val="28"/>
          <w:szCs w:val="28"/>
          <w:lang w:val="uk-UA" w:eastAsia="uk-UA"/>
        </w:rPr>
        <w:t>дних ресурсів України</w:t>
      </w:r>
      <w:r w:rsidRPr="007E607E">
        <w:rPr>
          <w:sz w:val="28"/>
          <w:szCs w:val="28"/>
          <w:lang w:val="uk-UA"/>
        </w:rPr>
        <w:t xml:space="preserve"> </w:t>
      </w:r>
      <w:r w:rsidR="00F44DDF" w:rsidRPr="007E607E">
        <w:rPr>
          <w:sz w:val="28"/>
          <w:szCs w:val="28"/>
          <w:lang w:val="uk-UA"/>
        </w:rPr>
        <w:t xml:space="preserve">шляхом </w:t>
      </w:r>
      <w:r w:rsidR="00F44DDF" w:rsidRPr="007E607E">
        <w:rPr>
          <w:sz w:val="28"/>
          <w:szCs w:val="28"/>
          <w:lang w:val="uk-UA"/>
        </w:rPr>
        <w:lastRenderedPageBreak/>
        <w:t>розгляду пропозицій та зауважень, які надійдуть до нього.</w:t>
      </w:r>
    </w:p>
    <w:p w:rsidR="00A37D5A" w:rsidRPr="00D24B15" w:rsidRDefault="00A37D5A" w:rsidP="00A37D5A">
      <w:pPr>
        <w:ind w:firstLine="567"/>
        <w:jc w:val="both"/>
        <w:rPr>
          <w:sz w:val="28"/>
          <w:szCs w:val="28"/>
        </w:rPr>
      </w:pPr>
      <w:r w:rsidRPr="00D24B15">
        <w:rPr>
          <w:sz w:val="28"/>
          <w:szCs w:val="28"/>
        </w:rPr>
        <w:t xml:space="preserve">Метод </w:t>
      </w:r>
      <w:proofErr w:type="spellStart"/>
      <w:r w:rsidRPr="00D24B15">
        <w:rPr>
          <w:sz w:val="28"/>
          <w:szCs w:val="28"/>
        </w:rPr>
        <w:t>проведення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відстеження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результативності</w:t>
      </w:r>
      <w:proofErr w:type="spellEnd"/>
      <w:r w:rsidRPr="00D24B15">
        <w:rPr>
          <w:sz w:val="28"/>
          <w:szCs w:val="28"/>
        </w:rPr>
        <w:t xml:space="preserve"> – </w:t>
      </w:r>
      <w:proofErr w:type="spellStart"/>
      <w:r w:rsidRPr="00D24B15">
        <w:rPr>
          <w:sz w:val="28"/>
          <w:szCs w:val="28"/>
        </w:rPr>
        <w:t>статистичний</w:t>
      </w:r>
      <w:proofErr w:type="spellEnd"/>
      <w:r w:rsidRPr="00D24B15">
        <w:rPr>
          <w:sz w:val="28"/>
          <w:szCs w:val="28"/>
        </w:rPr>
        <w:t>.</w:t>
      </w:r>
    </w:p>
    <w:p w:rsidR="00A37D5A" w:rsidRPr="00D24B15" w:rsidRDefault="00A37D5A" w:rsidP="00A37D5A">
      <w:pPr>
        <w:ind w:firstLine="567"/>
        <w:jc w:val="both"/>
        <w:rPr>
          <w:sz w:val="28"/>
          <w:szCs w:val="28"/>
        </w:rPr>
      </w:pPr>
      <w:r w:rsidRPr="00D24B15">
        <w:rPr>
          <w:sz w:val="28"/>
          <w:szCs w:val="28"/>
        </w:rPr>
        <w:t xml:space="preserve">Вид </w:t>
      </w:r>
      <w:proofErr w:type="spellStart"/>
      <w:r w:rsidRPr="00D24B15">
        <w:rPr>
          <w:sz w:val="28"/>
          <w:szCs w:val="28"/>
        </w:rPr>
        <w:t>даних</w:t>
      </w:r>
      <w:proofErr w:type="spellEnd"/>
      <w:r w:rsidRPr="00D24B15">
        <w:rPr>
          <w:sz w:val="28"/>
          <w:szCs w:val="28"/>
        </w:rPr>
        <w:t xml:space="preserve">, за </w:t>
      </w:r>
      <w:proofErr w:type="spellStart"/>
      <w:r w:rsidRPr="00D24B15">
        <w:rPr>
          <w:sz w:val="28"/>
          <w:szCs w:val="28"/>
        </w:rPr>
        <w:t>допомогою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яких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здійснюватиметься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відстеження</w:t>
      </w:r>
      <w:proofErr w:type="spellEnd"/>
      <w:r w:rsidRPr="00D24B15">
        <w:rPr>
          <w:sz w:val="28"/>
          <w:szCs w:val="28"/>
        </w:rPr>
        <w:t xml:space="preserve"> </w:t>
      </w:r>
      <w:proofErr w:type="spellStart"/>
      <w:r w:rsidRPr="00D24B15">
        <w:rPr>
          <w:sz w:val="28"/>
          <w:szCs w:val="28"/>
        </w:rPr>
        <w:t>результативності</w:t>
      </w:r>
      <w:proofErr w:type="spellEnd"/>
      <w:r w:rsidRPr="00D24B15">
        <w:rPr>
          <w:sz w:val="28"/>
          <w:szCs w:val="28"/>
        </w:rPr>
        <w:t xml:space="preserve"> – </w:t>
      </w:r>
      <w:proofErr w:type="spellStart"/>
      <w:r w:rsidRPr="00D24B15">
        <w:rPr>
          <w:sz w:val="28"/>
          <w:szCs w:val="28"/>
        </w:rPr>
        <w:t>статистичні</w:t>
      </w:r>
      <w:proofErr w:type="spellEnd"/>
      <w:r w:rsidRPr="00D24B15">
        <w:rPr>
          <w:sz w:val="28"/>
          <w:szCs w:val="28"/>
        </w:rPr>
        <w:t>.</w:t>
      </w:r>
    </w:p>
    <w:p w:rsidR="00A37D5A" w:rsidRPr="00CE6C60" w:rsidRDefault="00A37D5A" w:rsidP="00A37D5A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CE6C60">
        <w:rPr>
          <w:sz w:val="28"/>
          <w:szCs w:val="28"/>
        </w:rPr>
        <w:t xml:space="preserve">Для </w:t>
      </w:r>
      <w:proofErr w:type="spellStart"/>
      <w:r w:rsidRPr="00CE6C60">
        <w:rPr>
          <w:sz w:val="28"/>
          <w:szCs w:val="28"/>
        </w:rPr>
        <w:t>відстеження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результативності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будуть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використовуватися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дані</w:t>
      </w:r>
      <w:proofErr w:type="spellEnd"/>
      <w:r w:rsidRPr="00CE6C60">
        <w:rPr>
          <w:sz w:val="28"/>
          <w:szCs w:val="28"/>
        </w:rPr>
        <w:t xml:space="preserve">, </w:t>
      </w:r>
      <w:proofErr w:type="spellStart"/>
      <w:r w:rsidRPr="00CE6C60">
        <w:rPr>
          <w:sz w:val="28"/>
          <w:szCs w:val="28"/>
        </w:rPr>
        <w:t>отримані</w:t>
      </w:r>
      <w:proofErr w:type="spellEnd"/>
      <w:r w:rsidRPr="00CE6C60">
        <w:rPr>
          <w:sz w:val="28"/>
          <w:szCs w:val="28"/>
        </w:rPr>
        <w:t xml:space="preserve"> за результатами </w:t>
      </w:r>
      <w:proofErr w:type="spellStart"/>
      <w:r w:rsidRPr="00CE6C60">
        <w:rPr>
          <w:sz w:val="28"/>
          <w:szCs w:val="28"/>
        </w:rPr>
        <w:t>процедури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розгляду</w:t>
      </w:r>
      <w:proofErr w:type="spellEnd"/>
      <w:r w:rsidRPr="00CE6C60">
        <w:rPr>
          <w:sz w:val="28"/>
          <w:szCs w:val="28"/>
        </w:rPr>
        <w:t xml:space="preserve"> </w:t>
      </w:r>
      <w:proofErr w:type="spellStart"/>
      <w:r w:rsidRPr="00CE6C60">
        <w:rPr>
          <w:sz w:val="28"/>
          <w:szCs w:val="28"/>
        </w:rPr>
        <w:t>заяв</w:t>
      </w:r>
      <w:proofErr w:type="spellEnd"/>
      <w:r w:rsidRPr="00CE6C60">
        <w:rPr>
          <w:sz w:val="28"/>
          <w:szCs w:val="28"/>
        </w:rPr>
        <w:t xml:space="preserve"> </w:t>
      </w:r>
      <w:r w:rsidR="005F4E84" w:rsidRPr="00CE6C60">
        <w:rPr>
          <w:sz w:val="28"/>
          <w:szCs w:val="28"/>
          <w:lang w:val="uk-UA"/>
        </w:rPr>
        <w:t xml:space="preserve">на </w:t>
      </w:r>
      <w:proofErr w:type="spellStart"/>
      <w:r w:rsidR="005F4E84" w:rsidRPr="00CE6C60">
        <w:rPr>
          <w:sz w:val="28"/>
          <w:szCs w:val="28"/>
        </w:rPr>
        <w:t>уповноваження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proofErr w:type="gramStart"/>
      <w:r w:rsidR="005F4E84" w:rsidRPr="00CE6C60">
        <w:rPr>
          <w:sz w:val="28"/>
          <w:szCs w:val="28"/>
        </w:rPr>
        <w:t>п</w:t>
      </w:r>
      <w:proofErr w:type="gramEnd"/>
      <w:r w:rsidR="005F4E84" w:rsidRPr="00CE6C60">
        <w:rPr>
          <w:sz w:val="28"/>
          <w:szCs w:val="28"/>
        </w:rPr>
        <w:t>ідприємств</w:t>
      </w:r>
      <w:proofErr w:type="spellEnd"/>
      <w:r w:rsidR="005F4E84" w:rsidRPr="00CE6C60">
        <w:rPr>
          <w:sz w:val="28"/>
          <w:szCs w:val="28"/>
        </w:rPr>
        <w:t xml:space="preserve">, </w:t>
      </w:r>
      <w:proofErr w:type="spellStart"/>
      <w:r w:rsidR="005F4E84" w:rsidRPr="00CE6C60">
        <w:rPr>
          <w:sz w:val="28"/>
          <w:szCs w:val="28"/>
        </w:rPr>
        <w:t>установ</w:t>
      </w:r>
      <w:proofErr w:type="spellEnd"/>
      <w:r w:rsidR="005F4E84" w:rsidRPr="00CE6C60">
        <w:rPr>
          <w:sz w:val="28"/>
          <w:szCs w:val="28"/>
        </w:rPr>
        <w:t xml:space="preserve">, </w:t>
      </w:r>
      <w:proofErr w:type="spellStart"/>
      <w:r w:rsidR="005F4E84" w:rsidRPr="00CE6C60">
        <w:rPr>
          <w:sz w:val="28"/>
          <w:szCs w:val="28"/>
        </w:rPr>
        <w:t>організацій</w:t>
      </w:r>
      <w:proofErr w:type="spellEnd"/>
      <w:r w:rsidR="005F4E84" w:rsidRPr="00CE6C60">
        <w:rPr>
          <w:sz w:val="28"/>
          <w:szCs w:val="28"/>
        </w:rPr>
        <w:t xml:space="preserve"> на </w:t>
      </w:r>
      <w:proofErr w:type="spellStart"/>
      <w:r w:rsidR="005F4E84" w:rsidRPr="00CE6C60">
        <w:rPr>
          <w:sz w:val="28"/>
          <w:szCs w:val="28"/>
        </w:rPr>
        <w:t>здійснення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державних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випробувань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з</w:t>
      </w:r>
      <w:proofErr w:type="spellEnd"/>
      <w:r w:rsidR="005F4E84" w:rsidRPr="00CE6C60">
        <w:rPr>
          <w:sz w:val="28"/>
          <w:szCs w:val="28"/>
        </w:rPr>
        <w:t xml:space="preserve"> метою </w:t>
      </w:r>
      <w:proofErr w:type="spellStart"/>
      <w:r w:rsidR="005F4E84" w:rsidRPr="00CE6C60">
        <w:rPr>
          <w:sz w:val="28"/>
          <w:szCs w:val="28"/>
        </w:rPr>
        <w:t>біологічної</w:t>
      </w:r>
      <w:proofErr w:type="spellEnd"/>
      <w:r w:rsidR="005F4E84" w:rsidRPr="00CE6C60">
        <w:rPr>
          <w:sz w:val="28"/>
          <w:szCs w:val="28"/>
        </w:rPr>
        <w:t xml:space="preserve">, </w:t>
      </w:r>
      <w:proofErr w:type="spellStart"/>
      <w:r w:rsidR="005F4E84" w:rsidRPr="00CE6C60">
        <w:rPr>
          <w:sz w:val="28"/>
          <w:szCs w:val="28"/>
        </w:rPr>
        <w:t>екологічної</w:t>
      </w:r>
      <w:proofErr w:type="spellEnd"/>
      <w:r w:rsidR="005F4E84" w:rsidRPr="00CE6C60">
        <w:rPr>
          <w:sz w:val="28"/>
          <w:szCs w:val="28"/>
        </w:rPr>
        <w:t xml:space="preserve"> та </w:t>
      </w:r>
      <w:proofErr w:type="spellStart"/>
      <w:r w:rsidR="005F4E84" w:rsidRPr="00CE6C60">
        <w:rPr>
          <w:sz w:val="28"/>
          <w:szCs w:val="28"/>
        </w:rPr>
        <w:t>токсиколого-гігієнічної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оцінки</w:t>
      </w:r>
      <w:proofErr w:type="spellEnd"/>
      <w:r w:rsidR="005F4E84" w:rsidRPr="00CE6C60">
        <w:rPr>
          <w:sz w:val="28"/>
          <w:szCs w:val="28"/>
        </w:rPr>
        <w:t xml:space="preserve"> для </w:t>
      </w:r>
      <w:proofErr w:type="spellStart"/>
      <w:r w:rsidR="005F4E84" w:rsidRPr="00CE6C60">
        <w:rPr>
          <w:sz w:val="28"/>
          <w:szCs w:val="28"/>
        </w:rPr>
        <w:t>цілей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державної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реєстрації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пестицидів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і</w:t>
      </w:r>
      <w:proofErr w:type="spellEnd"/>
      <w:r w:rsidR="005F4E84" w:rsidRPr="00CE6C60">
        <w:rPr>
          <w:sz w:val="28"/>
          <w:szCs w:val="28"/>
        </w:rPr>
        <w:t xml:space="preserve"> </w:t>
      </w:r>
      <w:proofErr w:type="spellStart"/>
      <w:r w:rsidR="005F4E84" w:rsidRPr="00CE6C60">
        <w:rPr>
          <w:sz w:val="28"/>
          <w:szCs w:val="28"/>
        </w:rPr>
        <w:t>агрохімікатів</w:t>
      </w:r>
      <w:proofErr w:type="spellEnd"/>
      <w:r w:rsidRPr="00CE6C60">
        <w:rPr>
          <w:sz w:val="28"/>
          <w:szCs w:val="28"/>
        </w:rPr>
        <w:t>.</w:t>
      </w:r>
    </w:p>
    <w:p w:rsidR="00135531" w:rsidRPr="007E607E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p w:rsidR="0042778B" w:rsidRPr="007E607E" w:rsidRDefault="0042778B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10"/>
        <w:gridCol w:w="4460"/>
      </w:tblGrid>
      <w:tr w:rsidR="0042778B" w:rsidRPr="007E607E" w:rsidTr="006A5D82">
        <w:tc>
          <w:tcPr>
            <w:tcW w:w="5110" w:type="dxa"/>
          </w:tcPr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E607E">
              <w:rPr>
                <w:b/>
                <w:bCs/>
                <w:sz w:val="28"/>
                <w:szCs w:val="28"/>
                <w:lang w:eastAsia="uk-UA"/>
              </w:rPr>
              <w:t>Міні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spellEnd"/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захисту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довкілля</w:t>
            </w:r>
            <w:proofErr w:type="spellEnd"/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  <w:r w:rsidRPr="007E607E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7E607E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ресурсів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України</w:t>
            </w:r>
            <w:proofErr w:type="spellEnd"/>
          </w:p>
          <w:p w:rsidR="0042778B" w:rsidRPr="00FA52F9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uk-UA"/>
              </w:rPr>
            </w:pP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E607E">
              <w:rPr>
                <w:sz w:val="28"/>
                <w:szCs w:val="28"/>
                <w:lang w:eastAsia="uk-UA"/>
              </w:rPr>
              <w:t>___ ____________ 2023 р.</w:t>
            </w: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460" w:type="dxa"/>
          </w:tcPr>
          <w:p w:rsidR="0042778B" w:rsidRPr="007E607E" w:rsidRDefault="0042778B" w:rsidP="006A5D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uk-UA"/>
              </w:rPr>
            </w:pPr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Руслан 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>ІЛЕЦЬ</w:t>
            </w:r>
          </w:p>
        </w:tc>
      </w:tr>
    </w:tbl>
    <w:p w:rsidR="00BB0008" w:rsidRDefault="00B8014C">
      <w:pPr>
        <w:spacing w:after="160" w:line="259" w:lineRule="auto"/>
        <w:rPr>
          <w:rFonts w:eastAsia="Times New Roman"/>
          <w:b/>
          <w:sz w:val="28"/>
          <w:szCs w:val="28"/>
          <w:lang w:val="uk-UA" w:eastAsia="ru-RU"/>
        </w:rPr>
        <w:sectPr w:rsidR="00BB0008" w:rsidSect="00A35E41">
          <w:headerReference w:type="default" r:id="rId8"/>
          <w:pgSz w:w="11906" w:h="16838"/>
          <w:pgMar w:top="1134" w:right="567" w:bottom="1134" w:left="1701" w:header="709" w:footer="680" w:gutter="0"/>
          <w:cols w:space="708"/>
          <w:titlePg/>
          <w:docGrid w:linePitch="360"/>
        </w:sectPr>
      </w:pPr>
      <w:r w:rsidRPr="007E607E">
        <w:rPr>
          <w:rFonts w:eastAsia="Times New Roman"/>
          <w:b/>
          <w:sz w:val="28"/>
          <w:szCs w:val="28"/>
          <w:lang w:val="uk-UA" w:eastAsia="ru-RU"/>
        </w:rPr>
        <w:br w:type="page"/>
      </w:r>
    </w:p>
    <w:p w:rsidR="00B8014C" w:rsidRPr="007E607E" w:rsidRDefault="00B8014C" w:rsidP="007735A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  <w:r w:rsidRPr="007E607E">
        <w:rPr>
          <w:rStyle w:val="rvts15"/>
          <w:b/>
          <w:bCs/>
          <w:sz w:val="28"/>
          <w:szCs w:val="28"/>
          <w:shd w:val="clear" w:color="auto" w:fill="FFFFFF"/>
        </w:rPr>
        <w:lastRenderedPageBreak/>
        <w:t>ВИТРАТИ</w:t>
      </w:r>
      <w:r w:rsidRPr="007E607E">
        <w:rPr>
          <w:sz w:val="28"/>
          <w:szCs w:val="28"/>
        </w:rPr>
        <w:br/>
      </w:r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на одного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суб’єкта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господарювання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середнього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п</w:t>
      </w:r>
      <w:proofErr w:type="gram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ідприємництва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виникають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регуляторного акта </w:t>
      </w:r>
    </w:p>
    <w:p w:rsidR="00B8014C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  <w:lang w:val="uk-UA"/>
        </w:rPr>
      </w:pPr>
    </w:p>
    <w:tbl>
      <w:tblPr>
        <w:tblStyle w:val="af6"/>
        <w:tblW w:w="5000" w:type="pct"/>
        <w:tblLayout w:type="fixed"/>
        <w:tblLook w:val="04A0"/>
      </w:tblPr>
      <w:tblGrid>
        <w:gridCol w:w="1242"/>
        <w:gridCol w:w="5102"/>
        <w:gridCol w:w="1703"/>
        <w:gridCol w:w="286"/>
        <w:gridCol w:w="1521"/>
      </w:tblGrid>
      <w:tr w:rsidR="000B22DC" w:rsidRPr="003B5F40" w:rsidTr="003B5F40">
        <w:tc>
          <w:tcPr>
            <w:tcW w:w="630" w:type="pct"/>
          </w:tcPr>
          <w:p w:rsidR="000B22DC" w:rsidRPr="003B5F40" w:rsidRDefault="003B5F40" w:rsidP="00F40F2F">
            <w:pPr>
              <w:jc w:val="center"/>
              <w:rPr>
                <w:rFonts w:eastAsia="Times New Roman"/>
                <w:b/>
                <w:lang w:val="uk-UA"/>
              </w:rPr>
            </w:pPr>
            <w:r w:rsidRPr="003B5F40">
              <w:rPr>
                <w:b/>
                <w:lang w:val="uk-UA"/>
              </w:rPr>
              <w:t>№ З/П</w:t>
            </w:r>
          </w:p>
        </w:tc>
        <w:tc>
          <w:tcPr>
            <w:tcW w:w="2589" w:type="pct"/>
          </w:tcPr>
          <w:p w:rsidR="000B22DC" w:rsidRPr="003B5F40" w:rsidRDefault="000B22DC" w:rsidP="00F40F2F">
            <w:pPr>
              <w:jc w:val="center"/>
              <w:rPr>
                <w:rFonts w:eastAsia="Times New Roman"/>
                <w:b/>
              </w:rPr>
            </w:pPr>
            <w:proofErr w:type="spellStart"/>
            <w:r w:rsidRPr="003B5F40">
              <w:rPr>
                <w:b/>
              </w:rPr>
              <w:t>Витрати</w:t>
            </w:r>
            <w:proofErr w:type="spellEnd"/>
          </w:p>
        </w:tc>
        <w:tc>
          <w:tcPr>
            <w:tcW w:w="864" w:type="pct"/>
          </w:tcPr>
          <w:p w:rsidR="000B22DC" w:rsidRPr="003B5F40" w:rsidRDefault="000B22DC" w:rsidP="002E368E">
            <w:pPr>
              <w:jc w:val="center"/>
              <w:rPr>
                <w:rFonts w:eastAsia="Times New Roman"/>
                <w:b/>
              </w:rPr>
            </w:pPr>
            <w:r w:rsidRPr="003B5F40">
              <w:rPr>
                <w:b/>
              </w:rPr>
              <w:t xml:space="preserve">За перший </w:t>
            </w:r>
            <w:proofErr w:type="spellStart"/>
            <w:proofErr w:type="gramStart"/>
            <w:r w:rsidRPr="003B5F40">
              <w:rPr>
                <w:b/>
              </w:rPr>
              <w:t>р</w:t>
            </w:r>
            <w:proofErr w:type="gramEnd"/>
            <w:r w:rsidRPr="003B5F40">
              <w:rPr>
                <w:b/>
              </w:rPr>
              <w:t>ік</w:t>
            </w:r>
            <w:proofErr w:type="spellEnd"/>
          </w:p>
        </w:tc>
        <w:tc>
          <w:tcPr>
            <w:tcW w:w="917" w:type="pct"/>
            <w:gridSpan w:val="2"/>
          </w:tcPr>
          <w:p w:rsidR="000B22DC" w:rsidRPr="003B5F40" w:rsidRDefault="000B22DC" w:rsidP="002E368E">
            <w:pPr>
              <w:jc w:val="center"/>
              <w:rPr>
                <w:rFonts w:eastAsia="Times New Roman"/>
                <w:b/>
              </w:rPr>
            </w:pPr>
            <w:r w:rsidRPr="003B5F40">
              <w:rPr>
                <w:b/>
              </w:rPr>
              <w:t xml:space="preserve">За </w:t>
            </w:r>
            <w:proofErr w:type="spellStart"/>
            <w:proofErr w:type="gramStart"/>
            <w:r w:rsidRPr="003B5F40">
              <w:rPr>
                <w:b/>
              </w:rPr>
              <w:t>п’ять</w:t>
            </w:r>
            <w:proofErr w:type="spellEnd"/>
            <w:proofErr w:type="gramEnd"/>
            <w:r w:rsidRPr="003B5F40">
              <w:rPr>
                <w:b/>
              </w:rPr>
              <w:t xml:space="preserve"> </w:t>
            </w:r>
            <w:proofErr w:type="spellStart"/>
            <w:r w:rsidRPr="003B5F40">
              <w:rPr>
                <w:b/>
              </w:rPr>
              <w:t>років</w:t>
            </w:r>
            <w:proofErr w:type="spellEnd"/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89" w:type="pct"/>
          </w:tcPr>
          <w:p w:rsidR="000B22DC" w:rsidRPr="007E237B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придбання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основних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фондів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приладів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сервісне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обслуговування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/ </w:t>
            </w:r>
            <w:proofErr w:type="spellStart"/>
            <w:proofErr w:type="gram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кваліфікації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персоналу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917" w:type="pct"/>
            <w:gridSpan w:val="2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89" w:type="pct"/>
          </w:tcPr>
          <w:p w:rsidR="000B22DC" w:rsidRPr="007E237B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Податки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збори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зміна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розміру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податків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виникнення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необхідності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сплаті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податків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зборів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917" w:type="pct"/>
            <w:gridSpan w:val="2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89" w:type="pct"/>
          </w:tcPr>
          <w:p w:rsidR="000B22DC" w:rsidRPr="007E237B" w:rsidRDefault="00720D37" w:rsidP="00720D37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20D37">
              <w:rPr>
                <w:sz w:val="28"/>
                <w:szCs w:val="28"/>
              </w:rPr>
              <w:t>Витрати</w:t>
            </w:r>
            <w:proofErr w:type="spellEnd"/>
            <w:r w:rsidRPr="00720D37">
              <w:rPr>
                <w:sz w:val="28"/>
                <w:szCs w:val="28"/>
              </w:rPr>
              <w:t xml:space="preserve">, </w:t>
            </w:r>
            <w:proofErr w:type="spellStart"/>
            <w:r w:rsidRPr="00720D37">
              <w:rPr>
                <w:sz w:val="28"/>
                <w:szCs w:val="28"/>
              </w:rPr>
              <w:t>пов’язані</w:t>
            </w:r>
            <w:proofErr w:type="spellEnd"/>
            <w:r w:rsidRPr="00720D37">
              <w:rPr>
                <w:sz w:val="28"/>
                <w:szCs w:val="28"/>
              </w:rPr>
              <w:t xml:space="preserve"> </w:t>
            </w:r>
            <w:proofErr w:type="spellStart"/>
            <w:r w:rsidRPr="00720D37">
              <w:rPr>
                <w:sz w:val="28"/>
                <w:szCs w:val="28"/>
              </w:rPr>
              <w:t>з</w:t>
            </w:r>
            <w:proofErr w:type="spellEnd"/>
            <w:r w:rsidRPr="00720D3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0D37">
              <w:rPr>
                <w:sz w:val="28"/>
                <w:szCs w:val="28"/>
              </w:rPr>
              <w:t>п</w:t>
            </w:r>
            <w:proofErr w:type="gramEnd"/>
            <w:r w:rsidRPr="00720D37">
              <w:rPr>
                <w:sz w:val="28"/>
                <w:szCs w:val="28"/>
              </w:rPr>
              <w:t>ідготовкою</w:t>
            </w:r>
            <w:proofErr w:type="spellEnd"/>
            <w:r w:rsidRPr="00720D37">
              <w:rPr>
                <w:sz w:val="28"/>
                <w:szCs w:val="28"/>
              </w:rPr>
              <w:t xml:space="preserve"> </w:t>
            </w:r>
            <w:proofErr w:type="spellStart"/>
            <w:r w:rsidRPr="00720D37">
              <w:rPr>
                <w:sz w:val="28"/>
                <w:szCs w:val="28"/>
              </w:rPr>
              <w:t>документів</w:t>
            </w:r>
            <w:proofErr w:type="spellEnd"/>
            <w:r w:rsidRPr="00720D37">
              <w:rPr>
                <w:sz w:val="28"/>
                <w:szCs w:val="28"/>
              </w:rPr>
              <w:t xml:space="preserve">, </w:t>
            </w:r>
            <w:proofErr w:type="spellStart"/>
            <w:r w:rsidRPr="00720D37">
              <w:rPr>
                <w:sz w:val="28"/>
                <w:szCs w:val="28"/>
              </w:rPr>
              <w:t>необхідних</w:t>
            </w:r>
            <w:proofErr w:type="spellEnd"/>
            <w:r w:rsidRPr="00720D37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  <w:lang w:val="uk-UA"/>
              </w:rPr>
              <w:t>уповноваження</w:t>
            </w:r>
            <w:r w:rsidRPr="00720D37">
              <w:rPr>
                <w:sz w:val="28"/>
                <w:szCs w:val="28"/>
              </w:rPr>
              <w:t xml:space="preserve">, </w:t>
            </w:r>
            <w:proofErr w:type="spellStart"/>
            <w:r w:rsidRPr="00720D37">
              <w:rPr>
                <w:sz w:val="28"/>
                <w:szCs w:val="28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E860B4" w:rsidRDefault="00720D37" w:rsidP="002E368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20D37">
              <w:rPr>
                <w:rFonts w:eastAsia="Times New Roman"/>
                <w:sz w:val="28"/>
                <w:szCs w:val="28"/>
              </w:rPr>
              <w:t xml:space="preserve">40,46* </w:t>
            </w:r>
            <w:proofErr w:type="spellStart"/>
            <w:r w:rsidRPr="00720D37">
              <w:rPr>
                <w:rFonts w:eastAsia="Times New Roman"/>
                <w:sz w:val="28"/>
                <w:szCs w:val="28"/>
              </w:rPr>
              <w:t>х</w:t>
            </w:r>
            <w:proofErr w:type="spellEnd"/>
            <w:r w:rsidRPr="00720D37">
              <w:rPr>
                <w:rFonts w:eastAsia="Times New Roman"/>
                <w:sz w:val="28"/>
                <w:szCs w:val="28"/>
              </w:rPr>
              <w:t xml:space="preserve"> 5 (</w:t>
            </w:r>
            <w:proofErr w:type="spellStart"/>
            <w:r w:rsidRPr="00BB7238">
              <w:rPr>
                <w:rFonts w:eastAsia="Times New Roman"/>
                <w:sz w:val="20"/>
                <w:szCs w:val="20"/>
              </w:rPr>
              <w:t>планові</w:t>
            </w:r>
            <w:proofErr w:type="spellEnd"/>
            <w:r w:rsidRPr="00BB72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B7238">
              <w:rPr>
                <w:rFonts w:eastAsia="Times New Roman"/>
                <w:sz w:val="20"/>
                <w:szCs w:val="20"/>
              </w:rPr>
              <w:t>витрати</w:t>
            </w:r>
            <w:proofErr w:type="spellEnd"/>
            <w:r w:rsidRPr="00BB7238">
              <w:rPr>
                <w:rFonts w:eastAsia="Times New Roman"/>
                <w:sz w:val="20"/>
                <w:szCs w:val="20"/>
              </w:rPr>
              <w:t xml:space="preserve"> часу </w:t>
            </w:r>
            <w:proofErr w:type="spellStart"/>
            <w:r w:rsidRPr="00BB7238">
              <w:rPr>
                <w:rFonts w:eastAsia="Times New Roman"/>
                <w:sz w:val="20"/>
                <w:szCs w:val="20"/>
              </w:rPr>
              <w:t>суб’єкта</w:t>
            </w:r>
            <w:proofErr w:type="spellEnd"/>
            <w:r w:rsidRPr="00BB72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B7238">
              <w:rPr>
                <w:rFonts w:eastAsia="Times New Roman"/>
                <w:sz w:val="20"/>
                <w:szCs w:val="20"/>
              </w:rPr>
              <w:t>господарювання</w:t>
            </w:r>
            <w:proofErr w:type="spellEnd"/>
            <w:r w:rsidRPr="00BB7238">
              <w:rPr>
                <w:rFonts w:eastAsia="Times New Roman"/>
                <w:sz w:val="20"/>
                <w:szCs w:val="20"/>
              </w:rPr>
              <w:t>)</w:t>
            </w:r>
            <w:r w:rsidRPr="00720D37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B22DC" w:rsidRPr="007E237B" w:rsidRDefault="00720D37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06001">
              <w:rPr>
                <w:rFonts w:eastAsia="Times New Roman"/>
                <w:b/>
                <w:sz w:val="28"/>
                <w:szCs w:val="28"/>
              </w:rPr>
              <w:t>202,3</w:t>
            </w:r>
          </w:p>
        </w:tc>
        <w:tc>
          <w:tcPr>
            <w:tcW w:w="917" w:type="pct"/>
            <w:gridSpan w:val="2"/>
          </w:tcPr>
          <w:p w:rsidR="00F40A75" w:rsidRPr="00F40A75" w:rsidRDefault="00B93C7F" w:rsidP="00CE6C6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06001">
              <w:rPr>
                <w:rFonts w:eastAsia="Times New Roman"/>
                <w:b/>
                <w:sz w:val="28"/>
                <w:szCs w:val="28"/>
              </w:rPr>
              <w:t>202,3</w:t>
            </w:r>
            <w:r w:rsidRPr="00844644">
              <w:rPr>
                <w:sz w:val="20"/>
                <w:szCs w:val="20"/>
              </w:rPr>
              <w:t xml:space="preserve"> </w:t>
            </w:r>
            <w:r w:rsidR="00F40A75" w:rsidRPr="00844644">
              <w:rPr>
                <w:sz w:val="20"/>
                <w:szCs w:val="20"/>
              </w:rPr>
              <w:t xml:space="preserve">(припущено, </w:t>
            </w:r>
            <w:proofErr w:type="spellStart"/>
            <w:r w:rsidR="00F40A75" w:rsidRPr="00844644">
              <w:rPr>
                <w:sz w:val="20"/>
                <w:szCs w:val="20"/>
              </w:rPr>
              <w:t>що</w:t>
            </w:r>
            <w:proofErr w:type="spellEnd"/>
            <w:r w:rsidR="00F40A75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F40A75" w:rsidRPr="00844644">
              <w:rPr>
                <w:sz w:val="20"/>
                <w:szCs w:val="20"/>
              </w:rPr>
              <w:t>суб’єкт</w:t>
            </w:r>
            <w:proofErr w:type="spellEnd"/>
            <w:r w:rsidR="00F40A75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F40A75" w:rsidRPr="00844644">
              <w:rPr>
                <w:sz w:val="20"/>
                <w:szCs w:val="20"/>
              </w:rPr>
              <w:t>господарювання</w:t>
            </w:r>
            <w:proofErr w:type="spellEnd"/>
            <w:r w:rsidR="00F40A75" w:rsidRPr="00844644">
              <w:rPr>
                <w:sz w:val="20"/>
                <w:szCs w:val="20"/>
              </w:rPr>
              <w:t xml:space="preserve"> повинен </w:t>
            </w:r>
            <w:proofErr w:type="spellStart"/>
            <w:r w:rsidR="00F40A75" w:rsidRPr="00844644">
              <w:rPr>
                <w:sz w:val="20"/>
                <w:szCs w:val="20"/>
              </w:rPr>
              <w:t>виконувати</w:t>
            </w:r>
            <w:proofErr w:type="spellEnd"/>
            <w:r w:rsidR="00F40A75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F40A75" w:rsidRPr="00844644">
              <w:rPr>
                <w:sz w:val="20"/>
                <w:szCs w:val="20"/>
              </w:rPr>
              <w:t>вимоги</w:t>
            </w:r>
            <w:proofErr w:type="spellEnd"/>
            <w:r w:rsidR="00F40A75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F40A75" w:rsidRPr="00844644">
              <w:rPr>
                <w:sz w:val="20"/>
                <w:szCs w:val="20"/>
              </w:rPr>
              <w:t>ре</w:t>
            </w:r>
            <w:r w:rsidR="00F40A75">
              <w:rPr>
                <w:sz w:val="20"/>
                <w:szCs w:val="20"/>
              </w:rPr>
              <w:t>гулювання</w:t>
            </w:r>
            <w:proofErr w:type="spellEnd"/>
            <w:r w:rsidR="00F40A75">
              <w:rPr>
                <w:sz w:val="20"/>
                <w:szCs w:val="20"/>
              </w:rPr>
              <w:t xml:space="preserve"> </w:t>
            </w:r>
            <w:proofErr w:type="spellStart"/>
            <w:r w:rsidR="00F40A75">
              <w:rPr>
                <w:sz w:val="20"/>
                <w:szCs w:val="20"/>
              </w:rPr>
              <w:t>лише</w:t>
            </w:r>
            <w:proofErr w:type="spellEnd"/>
            <w:r w:rsidR="00F40A75">
              <w:rPr>
                <w:sz w:val="20"/>
                <w:szCs w:val="20"/>
              </w:rPr>
              <w:t xml:space="preserve"> в перший </w:t>
            </w:r>
            <w:proofErr w:type="spellStart"/>
            <w:proofErr w:type="gramStart"/>
            <w:r w:rsidR="00F40A75">
              <w:rPr>
                <w:sz w:val="20"/>
                <w:szCs w:val="20"/>
              </w:rPr>
              <w:t>р</w:t>
            </w:r>
            <w:proofErr w:type="gramEnd"/>
            <w:r w:rsidR="00F40A75">
              <w:rPr>
                <w:sz w:val="20"/>
                <w:szCs w:val="20"/>
              </w:rPr>
              <w:t>ік</w:t>
            </w:r>
            <w:proofErr w:type="spellEnd"/>
            <w:r w:rsidR="00F40A75" w:rsidRPr="00844644">
              <w:rPr>
                <w:sz w:val="20"/>
                <w:szCs w:val="20"/>
              </w:rPr>
              <w:t>)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89" w:type="pct"/>
          </w:tcPr>
          <w:p w:rsidR="000B22DC" w:rsidRPr="007E237B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отримання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послуг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дозволів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л</w:t>
            </w:r>
            <w:proofErr w:type="gram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іцензій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сертифікатів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атестатів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погоджень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висновків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незалежних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обов’язкових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експертиз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сертифікації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атестації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 та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послуг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наукових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експертиз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страхування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0B22DC" w:rsidRPr="007E237B" w:rsidRDefault="00217DDC" w:rsidP="002E368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917" w:type="pct"/>
            <w:gridSpan w:val="2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89" w:type="pct"/>
          </w:tcPr>
          <w:p w:rsidR="000B22DC" w:rsidRPr="007E237B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пов’язані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адмініструванням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заходів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державного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нагляду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(контролю)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перевірок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штрафних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санкцій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ішень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/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приписів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864" w:type="pct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917" w:type="pct"/>
            <w:gridSpan w:val="2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89" w:type="pct"/>
          </w:tcPr>
          <w:p w:rsidR="00A9094F" w:rsidRDefault="000B22DC" w:rsidP="00F40F2F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оборотні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активи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матеріали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канцелярські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товари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  <w:p w:rsidR="008701F5" w:rsidRPr="00A35E41" w:rsidRDefault="00A9094F" w:rsidP="00F40F2F">
            <w:pPr>
              <w:rPr>
                <w:sz w:val="20"/>
                <w:szCs w:val="20"/>
                <w:lang w:val="uk-UA"/>
              </w:rPr>
            </w:pPr>
            <w:r w:rsidRPr="00A35E41">
              <w:rPr>
                <w:sz w:val="28"/>
                <w:szCs w:val="28"/>
                <w:lang w:val="uk-UA"/>
              </w:rPr>
              <w:t>(</w:t>
            </w:r>
            <w:r w:rsidR="008701F5" w:rsidRPr="00A35E41">
              <w:rPr>
                <w:sz w:val="20"/>
                <w:szCs w:val="20"/>
                <w:lang w:val="uk-UA"/>
              </w:rPr>
              <w:t xml:space="preserve">Середня кількість аркушів в одній справі про уповноваження – </w:t>
            </w:r>
            <w:r w:rsidR="00F80A73" w:rsidRPr="00A35E41">
              <w:rPr>
                <w:sz w:val="20"/>
                <w:szCs w:val="20"/>
                <w:lang w:val="uk-UA"/>
              </w:rPr>
              <w:t>22</w:t>
            </w:r>
            <w:r w:rsidR="008701F5" w:rsidRPr="00A35E41">
              <w:rPr>
                <w:sz w:val="20"/>
                <w:szCs w:val="20"/>
                <w:lang w:val="uk-UA"/>
              </w:rPr>
              <w:t>5.</w:t>
            </w:r>
          </w:p>
          <w:p w:rsidR="008701F5" w:rsidRPr="00A35E41" w:rsidRDefault="008701F5" w:rsidP="00F40F2F">
            <w:pPr>
              <w:rPr>
                <w:sz w:val="20"/>
                <w:szCs w:val="20"/>
                <w:lang w:val="uk-UA"/>
              </w:rPr>
            </w:pPr>
            <w:r w:rsidRPr="00A35E41">
              <w:rPr>
                <w:sz w:val="20"/>
                <w:szCs w:val="20"/>
                <w:lang w:val="uk-UA"/>
              </w:rPr>
              <w:t>Звідси витрати на:</w:t>
            </w:r>
          </w:p>
          <w:p w:rsidR="008701F5" w:rsidRPr="00A35E41" w:rsidRDefault="00083913" w:rsidP="00F40F2F">
            <w:pPr>
              <w:rPr>
                <w:sz w:val="20"/>
                <w:szCs w:val="20"/>
                <w:lang w:val="uk-UA"/>
              </w:rPr>
            </w:pPr>
            <w:r w:rsidRPr="00A35E41">
              <w:rPr>
                <w:sz w:val="20"/>
                <w:szCs w:val="20"/>
                <w:lang w:val="uk-UA"/>
              </w:rPr>
              <w:t>п</w:t>
            </w:r>
            <w:r w:rsidR="008701F5" w:rsidRPr="00A35E41">
              <w:rPr>
                <w:sz w:val="20"/>
                <w:szCs w:val="20"/>
                <w:lang w:val="uk-UA"/>
              </w:rPr>
              <w:t xml:space="preserve">ридбання паперу </w:t>
            </w:r>
            <w:r w:rsidR="00F80A73" w:rsidRPr="00A35E41">
              <w:rPr>
                <w:sz w:val="20"/>
                <w:szCs w:val="20"/>
                <w:lang w:val="uk-UA"/>
              </w:rPr>
              <w:t xml:space="preserve">2,5 </w:t>
            </w:r>
            <w:r w:rsidRPr="00A35E41">
              <w:rPr>
                <w:sz w:val="20"/>
                <w:szCs w:val="20"/>
                <w:lang w:val="uk-UA"/>
              </w:rPr>
              <w:t>(</w:t>
            </w:r>
            <w:r w:rsidR="002D0967" w:rsidRPr="00A35E41">
              <w:rPr>
                <w:sz w:val="20"/>
                <w:szCs w:val="20"/>
                <w:lang w:val="uk-UA"/>
              </w:rPr>
              <w:t>грн.</w:t>
            </w:r>
            <w:r w:rsidR="00F80A73" w:rsidRPr="00A35E41">
              <w:rPr>
                <w:sz w:val="20"/>
                <w:szCs w:val="20"/>
                <w:lang w:val="uk-UA"/>
              </w:rPr>
              <w:t>/арк.</w:t>
            </w:r>
            <w:r w:rsidRPr="00A35E41">
              <w:rPr>
                <w:sz w:val="20"/>
                <w:szCs w:val="20"/>
                <w:lang w:val="uk-UA"/>
              </w:rPr>
              <w:t>)</w:t>
            </w:r>
            <w:r w:rsidR="00F80A73" w:rsidRPr="00A35E41">
              <w:rPr>
                <w:sz w:val="20"/>
                <w:szCs w:val="20"/>
                <w:lang w:val="uk-UA"/>
              </w:rPr>
              <w:t xml:space="preserve"> </w:t>
            </w:r>
            <w:r w:rsidRPr="00A35E41">
              <w:rPr>
                <w:sz w:val="20"/>
                <w:szCs w:val="20"/>
                <w:lang w:val="uk-UA"/>
              </w:rPr>
              <w:t>Х 225 = 562,5 грн.;</w:t>
            </w:r>
          </w:p>
          <w:p w:rsidR="00083913" w:rsidRPr="00A35E41" w:rsidRDefault="00083913" w:rsidP="00F40F2F">
            <w:pPr>
              <w:rPr>
                <w:sz w:val="20"/>
                <w:szCs w:val="20"/>
                <w:lang w:val="uk-UA"/>
              </w:rPr>
            </w:pPr>
            <w:r w:rsidRPr="00A35E41">
              <w:rPr>
                <w:sz w:val="20"/>
                <w:szCs w:val="20"/>
                <w:lang w:val="uk-UA"/>
              </w:rPr>
              <w:t xml:space="preserve">друк копій </w:t>
            </w:r>
            <w:r w:rsidR="005A0907" w:rsidRPr="00A35E41">
              <w:rPr>
                <w:sz w:val="20"/>
                <w:szCs w:val="20"/>
                <w:lang w:val="uk-UA"/>
              </w:rPr>
              <w:t>–</w:t>
            </w:r>
            <w:r w:rsidRPr="00A35E41">
              <w:rPr>
                <w:sz w:val="20"/>
                <w:szCs w:val="20"/>
                <w:lang w:val="uk-UA"/>
              </w:rPr>
              <w:t xml:space="preserve"> </w:t>
            </w:r>
            <w:r w:rsidR="005A0907" w:rsidRPr="00A35E41">
              <w:rPr>
                <w:sz w:val="20"/>
                <w:szCs w:val="20"/>
                <w:lang w:val="uk-UA"/>
              </w:rPr>
              <w:t>3 (</w:t>
            </w:r>
            <w:r w:rsidR="002D0967" w:rsidRPr="00A35E41">
              <w:rPr>
                <w:sz w:val="20"/>
                <w:szCs w:val="20"/>
                <w:lang w:val="uk-UA"/>
              </w:rPr>
              <w:t>грн.</w:t>
            </w:r>
            <w:r w:rsidR="005A0907" w:rsidRPr="00A35E41">
              <w:rPr>
                <w:sz w:val="20"/>
                <w:szCs w:val="20"/>
                <w:lang w:val="uk-UA"/>
              </w:rPr>
              <w:t>/арк.) Х 75 = 225 грн.;</w:t>
            </w:r>
          </w:p>
          <w:p w:rsidR="000B22DC" w:rsidRPr="007E237B" w:rsidRDefault="00C14612" w:rsidP="002D0967">
            <w:pPr>
              <w:rPr>
                <w:rFonts w:eastAsia="Times New Roman"/>
                <w:sz w:val="28"/>
                <w:szCs w:val="28"/>
              </w:rPr>
            </w:pPr>
            <w:r w:rsidRPr="00A35E41">
              <w:rPr>
                <w:sz w:val="20"/>
                <w:szCs w:val="20"/>
                <w:lang w:val="uk-UA"/>
              </w:rPr>
              <w:t>ксерокопіювання документів 1 (</w:t>
            </w:r>
            <w:r w:rsidR="002D0967" w:rsidRPr="00A35E41">
              <w:rPr>
                <w:sz w:val="20"/>
                <w:szCs w:val="20"/>
                <w:lang w:val="uk-UA"/>
              </w:rPr>
              <w:t>грн.</w:t>
            </w:r>
            <w:r w:rsidRPr="00A35E41">
              <w:rPr>
                <w:sz w:val="20"/>
                <w:szCs w:val="20"/>
                <w:lang w:val="uk-UA"/>
              </w:rPr>
              <w:t>/арк.) Х 150 = 150 грн.</w:t>
            </w:r>
            <w:r w:rsidR="00A35E4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864" w:type="pct"/>
          </w:tcPr>
          <w:p w:rsidR="000B22DC" w:rsidRPr="002E368E" w:rsidRDefault="002E368E" w:rsidP="002E368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562,5+225+150 = </w:t>
            </w: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</w:p>
          <w:p w:rsidR="00A9094F" w:rsidRPr="007E237B" w:rsidRDefault="00A9094F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17" w:type="pct"/>
            <w:gridSpan w:val="2"/>
          </w:tcPr>
          <w:p w:rsidR="002E368E" w:rsidRPr="002E368E" w:rsidRDefault="00B93C7F" w:rsidP="002D0967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  <w:r w:rsidRPr="00844644">
              <w:rPr>
                <w:sz w:val="20"/>
                <w:szCs w:val="20"/>
              </w:rPr>
              <w:t xml:space="preserve"> </w:t>
            </w:r>
            <w:r w:rsidR="002E368E" w:rsidRPr="00844644">
              <w:rPr>
                <w:sz w:val="20"/>
                <w:szCs w:val="20"/>
              </w:rPr>
              <w:t xml:space="preserve">(припущено, </w:t>
            </w:r>
            <w:proofErr w:type="spellStart"/>
            <w:r w:rsidR="002E368E" w:rsidRPr="00844644">
              <w:rPr>
                <w:sz w:val="20"/>
                <w:szCs w:val="20"/>
              </w:rPr>
              <w:t>що</w:t>
            </w:r>
            <w:proofErr w:type="spellEnd"/>
            <w:r w:rsidR="002E368E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2E368E" w:rsidRPr="00844644">
              <w:rPr>
                <w:sz w:val="20"/>
                <w:szCs w:val="20"/>
              </w:rPr>
              <w:t>суб’єкт</w:t>
            </w:r>
            <w:proofErr w:type="spellEnd"/>
            <w:r w:rsidR="002E368E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2E368E" w:rsidRPr="00844644">
              <w:rPr>
                <w:sz w:val="20"/>
                <w:szCs w:val="20"/>
              </w:rPr>
              <w:t>господарювання</w:t>
            </w:r>
            <w:proofErr w:type="spellEnd"/>
            <w:r w:rsidR="002E368E" w:rsidRPr="00844644">
              <w:rPr>
                <w:sz w:val="20"/>
                <w:szCs w:val="20"/>
              </w:rPr>
              <w:t xml:space="preserve"> повинен </w:t>
            </w:r>
            <w:proofErr w:type="spellStart"/>
            <w:r w:rsidR="002E368E" w:rsidRPr="00844644">
              <w:rPr>
                <w:sz w:val="20"/>
                <w:szCs w:val="20"/>
              </w:rPr>
              <w:t>виконувати</w:t>
            </w:r>
            <w:proofErr w:type="spellEnd"/>
            <w:r w:rsidR="002E368E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2E368E" w:rsidRPr="00844644">
              <w:rPr>
                <w:sz w:val="20"/>
                <w:szCs w:val="20"/>
              </w:rPr>
              <w:t>вимоги</w:t>
            </w:r>
            <w:proofErr w:type="spellEnd"/>
            <w:r w:rsidR="002E368E" w:rsidRPr="00844644">
              <w:rPr>
                <w:sz w:val="20"/>
                <w:szCs w:val="20"/>
              </w:rPr>
              <w:t xml:space="preserve"> </w:t>
            </w:r>
            <w:proofErr w:type="spellStart"/>
            <w:r w:rsidR="002E368E" w:rsidRPr="00844644">
              <w:rPr>
                <w:sz w:val="20"/>
                <w:szCs w:val="20"/>
              </w:rPr>
              <w:t>ре</w:t>
            </w:r>
            <w:r w:rsidR="002E368E">
              <w:rPr>
                <w:sz w:val="20"/>
                <w:szCs w:val="20"/>
              </w:rPr>
              <w:t>гулювання</w:t>
            </w:r>
            <w:proofErr w:type="spellEnd"/>
            <w:r w:rsidR="002E368E">
              <w:rPr>
                <w:sz w:val="20"/>
                <w:szCs w:val="20"/>
              </w:rPr>
              <w:t xml:space="preserve"> </w:t>
            </w:r>
            <w:proofErr w:type="spellStart"/>
            <w:r w:rsidR="002E368E">
              <w:rPr>
                <w:sz w:val="20"/>
                <w:szCs w:val="20"/>
              </w:rPr>
              <w:t>лише</w:t>
            </w:r>
            <w:proofErr w:type="spellEnd"/>
            <w:r w:rsidR="002E368E">
              <w:rPr>
                <w:sz w:val="20"/>
                <w:szCs w:val="20"/>
              </w:rPr>
              <w:t xml:space="preserve"> в перший </w:t>
            </w:r>
            <w:proofErr w:type="spellStart"/>
            <w:r w:rsidR="002E368E">
              <w:rPr>
                <w:sz w:val="20"/>
                <w:szCs w:val="20"/>
              </w:rPr>
              <w:t>рік</w:t>
            </w:r>
            <w:proofErr w:type="spellEnd"/>
            <w:r w:rsidR="002E368E" w:rsidRPr="00844644">
              <w:rPr>
                <w:sz w:val="20"/>
                <w:szCs w:val="20"/>
              </w:rPr>
              <w:t>)</w:t>
            </w:r>
          </w:p>
        </w:tc>
      </w:tr>
      <w:tr w:rsidR="000B22DC" w:rsidRPr="007E237B" w:rsidTr="003B5F40">
        <w:tc>
          <w:tcPr>
            <w:tcW w:w="630" w:type="pct"/>
          </w:tcPr>
          <w:p w:rsidR="000B22DC" w:rsidRPr="007E237B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89" w:type="pct"/>
          </w:tcPr>
          <w:p w:rsidR="002D0967" w:rsidRPr="002D0967" w:rsidRDefault="000B22DC" w:rsidP="00CE6C60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Витрати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proofErr w:type="gram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пов’язан</w:t>
            </w:r>
            <w:proofErr w:type="gram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із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наймом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додаткового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персоналу,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  <w:tc>
          <w:tcPr>
            <w:tcW w:w="917" w:type="pct"/>
            <w:gridSpan w:val="2"/>
          </w:tcPr>
          <w:p w:rsidR="000B22DC" w:rsidRPr="007E237B" w:rsidRDefault="000B22DC" w:rsidP="002E36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0,00</w:t>
            </w:r>
          </w:p>
        </w:tc>
      </w:tr>
      <w:tr w:rsidR="00217DDC" w:rsidRPr="007E237B" w:rsidTr="003B5F40">
        <w:tc>
          <w:tcPr>
            <w:tcW w:w="630" w:type="pct"/>
          </w:tcPr>
          <w:p w:rsidR="00217DDC" w:rsidRPr="007E237B" w:rsidRDefault="00217D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E237B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89" w:type="pct"/>
          </w:tcPr>
          <w:p w:rsidR="00217DDC" w:rsidRDefault="00217DDC" w:rsidP="00F40F2F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Інше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уточнити</w:t>
            </w:r>
            <w:proofErr w:type="spellEnd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7E237B">
              <w:rPr>
                <w:rFonts w:eastAsia="Times New Roman"/>
                <w:sz w:val="28"/>
                <w:szCs w:val="28"/>
                <w:lang w:eastAsia="uk-UA"/>
              </w:rPr>
              <w:t>гривень</w:t>
            </w:r>
            <w:proofErr w:type="spellEnd"/>
          </w:p>
          <w:p w:rsidR="00217DDC" w:rsidRPr="00217DDC" w:rsidRDefault="00217DDC" w:rsidP="00F40F2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(</w:t>
            </w:r>
            <w:proofErr w:type="spellStart"/>
            <w:r w:rsidRPr="00494E7B">
              <w:rPr>
                <w:sz w:val="26"/>
                <w:szCs w:val="26"/>
              </w:rPr>
              <w:t>Процедури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отримання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первинної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інформації</w:t>
            </w:r>
            <w:proofErr w:type="spellEnd"/>
            <w:r w:rsidRPr="00494E7B">
              <w:rPr>
                <w:sz w:val="26"/>
                <w:szCs w:val="26"/>
              </w:rPr>
              <w:t xml:space="preserve"> про </w:t>
            </w:r>
            <w:proofErr w:type="spellStart"/>
            <w:r w:rsidRPr="00494E7B">
              <w:rPr>
                <w:sz w:val="26"/>
                <w:szCs w:val="26"/>
              </w:rPr>
              <w:t>вимоги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864" w:type="pct"/>
          </w:tcPr>
          <w:p w:rsidR="00D06001" w:rsidRDefault="00D06001" w:rsidP="002E368E">
            <w:pPr>
              <w:jc w:val="center"/>
              <w:rPr>
                <w:sz w:val="26"/>
                <w:szCs w:val="26"/>
                <w:lang w:val="uk-UA"/>
              </w:rPr>
            </w:pPr>
            <w:r w:rsidRPr="00D06001">
              <w:rPr>
                <w:b/>
                <w:sz w:val="26"/>
                <w:szCs w:val="26"/>
              </w:rPr>
              <w:lastRenderedPageBreak/>
              <w:t>40,46</w:t>
            </w:r>
            <w:r w:rsidR="002F6E4C">
              <w:rPr>
                <w:b/>
                <w:sz w:val="26"/>
                <w:szCs w:val="26"/>
                <w:lang w:val="uk-UA"/>
              </w:rPr>
              <w:t>*</w:t>
            </w:r>
            <w:r>
              <w:rPr>
                <w:b/>
                <w:sz w:val="26"/>
                <w:szCs w:val="26"/>
                <w:lang w:val="uk-UA"/>
              </w:rPr>
              <w:t xml:space="preserve"> х 1</w:t>
            </w:r>
          </w:p>
          <w:p w:rsidR="00D06001" w:rsidRDefault="00217DDC" w:rsidP="002E368E">
            <w:pPr>
              <w:jc w:val="center"/>
              <w:rPr>
                <w:sz w:val="26"/>
                <w:szCs w:val="26"/>
                <w:lang w:val="uk-UA"/>
              </w:rPr>
            </w:pPr>
            <w:r w:rsidRPr="00D06001">
              <w:rPr>
                <w:sz w:val="20"/>
                <w:szCs w:val="20"/>
              </w:rPr>
              <w:lastRenderedPageBreak/>
              <w:t xml:space="preserve">(час, </w:t>
            </w:r>
            <w:proofErr w:type="spellStart"/>
            <w:r w:rsidRPr="00D06001">
              <w:rPr>
                <w:sz w:val="20"/>
                <w:szCs w:val="20"/>
              </w:rPr>
              <w:t>який</w:t>
            </w:r>
            <w:proofErr w:type="spellEnd"/>
            <w:r w:rsidRPr="00D06001">
              <w:rPr>
                <w:sz w:val="20"/>
                <w:szCs w:val="20"/>
              </w:rPr>
              <w:t xml:space="preserve"> </w:t>
            </w:r>
            <w:proofErr w:type="spellStart"/>
            <w:r w:rsidRPr="00D06001">
              <w:rPr>
                <w:sz w:val="20"/>
                <w:szCs w:val="20"/>
              </w:rPr>
              <w:t>витрачається</w:t>
            </w:r>
            <w:proofErr w:type="spellEnd"/>
            <w:r w:rsidRPr="00D06001">
              <w:rPr>
                <w:sz w:val="20"/>
                <w:szCs w:val="20"/>
              </w:rPr>
              <w:t xml:space="preserve"> </w:t>
            </w:r>
            <w:r w:rsidR="00234393" w:rsidRPr="00D06001">
              <w:rPr>
                <w:sz w:val="20"/>
                <w:szCs w:val="20"/>
                <w:lang w:val="uk-UA"/>
              </w:rPr>
              <w:t>суб’єктом господарювання</w:t>
            </w:r>
            <w:r w:rsidRPr="00D06001">
              <w:rPr>
                <w:sz w:val="20"/>
                <w:szCs w:val="20"/>
              </w:rPr>
              <w:t xml:space="preserve"> на </w:t>
            </w:r>
            <w:proofErr w:type="spellStart"/>
            <w:r w:rsidRPr="00D06001">
              <w:rPr>
                <w:sz w:val="20"/>
                <w:szCs w:val="20"/>
              </w:rPr>
              <w:t>пошук</w:t>
            </w:r>
            <w:proofErr w:type="spellEnd"/>
            <w:r w:rsidRPr="00D06001">
              <w:rPr>
                <w:sz w:val="20"/>
                <w:szCs w:val="20"/>
              </w:rPr>
              <w:t xml:space="preserve"> </w:t>
            </w:r>
            <w:proofErr w:type="gramStart"/>
            <w:r w:rsidRPr="00D06001">
              <w:rPr>
                <w:sz w:val="20"/>
                <w:szCs w:val="20"/>
              </w:rPr>
              <w:t>нормативно-правового</w:t>
            </w:r>
            <w:proofErr w:type="gramEnd"/>
            <w:r w:rsidRPr="00D06001">
              <w:rPr>
                <w:sz w:val="20"/>
                <w:szCs w:val="20"/>
              </w:rPr>
              <w:t xml:space="preserve"> акту в </w:t>
            </w:r>
            <w:proofErr w:type="spellStart"/>
            <w:r w:rsidRPr="00D06001">
              <w:rPr>
                <w:sz w:val="20"/>
                <w:szCs w:val="20"/>
              </w:rPr>
              <w:t>мережі</w:t>
            </w:r>
            <w:proofErr w:type="spellEnd"/>
            <w:r w:rsidRPr="00D06001">
              <w:rPr>
                <w:sz w:val="20"/>
                <w:szCs w:val="20"/>
              </w:rPr>
              <w:t xml:space="preserve"> </w:t>
            </w:r>
            <w:proofErr w:type="spellStart"/>
            <w:r w:rsidRPr="00D06001">
              <w:rPr>
                <w:sz w:val="20"/>
                <w:szCs w:val="20"/>
              </w:rPr>
              <w:t>Інтернет</w:t>
            </w:r>
            <w:proofErr w:type="spellEnd"/>
            <w:r w:rsidRPr="00D06001">
              <w:rPr>
                <w:sz w:val="20"/>
                <w:szCs w:val="20"/>
              </w:rPr>
              <w:t xml:space="preserve"> та </w:t>
            </w:r>
            <w:proofErr w:type="spellStart"/>
            <w:r w:rsidRPr="00D06001">
              <w:rPr>
                <w:sz w:val="20"/>
                <w:szCs w:val="20"/>
              </w:rPr>
              <w:t>ознайомлення</w:t>
            </w:r>
            <w:proofErr w:type="spellEnd"/>
            <w:r w:rsidRPr="00D06001">
              <w:rPr>
                <w:sz w:val="20"/>
                <w:szCs w:val="20"/>
              </w:rPr>
              <w:t xml:space="preserve"> </w:t>
            </w:r>
            <w:proofErr w:type="spellStart"/>
            <w:r w:rsidRPr="00D06001">
              <w:rPr>
                <w:sz w:val="20"/>
                <w:szCs w:val="20"/>
              </w:rPr>
              <w:t>з</w:t>
            </w:r>
            <w:proofErr w:type="spellEnd"/>
            <w:r w:rsidRPr="00D06001">
              <w:rPr>
                <w:sz w:val="20"/>
                <w:szCs w:val="20"/>
              </w:rPr>
              <w:t xml:space="preserve"> ним)</w:t>
            </w:r>
            <w:r w:rsidR="00D06001">
              <w:rPr>
                <w:sz w:val="26"/>
                <w:szCs w:val="26"/>
              </w:rPr>
              <w:t xml:space="preserve"> </w:t>
            </w:r>
          </w:p>
          <w:p w:rsidR="00217DDC" w:rsidRPr="00D06001" w:rsidRDefault="00217DDC" w:rsidP="002E368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06001">
              <w:rPr>
                <w:b/>
                <w:sz w:val="26"/>
                <w:szCs w:val="26"/>
              </w:rPr>
              <w:t xml:space="preserve">40,46 </w:t>
            </w:r>
          </w:p>
        </w:tc>
        <w:tc>
          <w:tcPr>
            <w:tcW w:w="917" w:type="pct"/>
            <w:gridSpan w:val="2"/>
          </w:tcPr>
          <w:p w:rsidR="00217DDC" w:rsidRPr="00234393" w:rsidRDefault="00D06001" w:rsidP="002E368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06001">
              <w:rPr>
                <w:b/>
                <w:sz w:val="26"/>
                <w:szCs w:val="26"/>
              </w:rPr>
              <w:lastRenderedPageBreak/>
              <w:t>40,46</w:t>
            </w:r>
          </w:p>
          <w:p w:rsidR="00217DDC" w:rsidRPr="00844644" w:rsidRDefault="00217DDC" w:rsidP="002E368E">
            <w:pPr>
              <w:jc w:val="center"/>
              <w:rPr>
                <w:sz w:val="20"/>
                <w:szCs w:val="20"/>
              </w:rPr>
            </w:pPr>
            <w:r w:rsidRPr="00844644">
              <w:rPr>
                <w:sz w:val="20"/>
                <w:szCs w:val="20"/>
              </w:rPr>
              <w:lastRenderedPageBreak/>
              <w:t xml:space="preserve">(припущено, </w:t>
            </w:r>
            <w:proofErr w:type="spellStart"/>
            <w:r w:rsidRPr="00844644">
              <w:rPr>
                <w:sz w:val="20"/>
                <w:szCs w:val="20"/>
              </w:rPr>
              <w:t>що</w:t>
            </w:r>
            <w:proofErr w:type="spellEnd"/>
            <w:r w:rsidRPr="00844644">
              <w:rPr>
                <w:sz w:val="20"/>
                <w:szCs w:val="20"/>
              </w:rPr>
              <w:t xml:space="preserve"> </w:t>
            </w:r>
            <w:proofErr w:type="spellStart"/>
            <w:r w:rsidRPr="00844644">
              <w:rPr>
                <w:sz w:val="20"/>
                <w:szCs w:val="20"/>
              </w:rPr>
              <w:t>суб’єкт</w:t>
            </w:r>
            <w:proofErr w:type="spellEnd"/>
            <w:r w:rsidRPr="00844644">
              <w:rPr>
                <w:sz w:val="20"/>
                <w:szCs w:val="20"/>
              </w:rPr>
              <w:t xml:space="preserve"> </w:t>
            </w:r>
            <w:proofErr w:type="spellStart"/>
            <w:r w:rsidRPr="00844644">
              <w:rPr>
                <w:sz w:val="20"/>
                <w:szCs w:val="20"/>
              </w:rPr>
              <w:t>господарювання</w:t>
            </w:r>
            <w:proofErr w:type="spellEnd"/>
            <w:r w:rsidRPr="00844644">
              <w:rPr>
                <w:sz w:val="20"/>
                <w:szCs w:val="20"/>
              </w:rPr>
              <w:t xml:space="preserve"> повинен </w:t>
            </w:r>
            <w:proofErr w:type="spellStart"/>
            <w:r w:rsidRPr="00844644">
              <w:rPr>
                <w:sz w:val="20"/>
                <w:szCs w:val="20"/>
              </w:rPr>
              <w:t>виконувати</w:t>
            </w:r>
            <w:proofErr w:type="spellEnd"/>
            <w:r w:rsidRPr="00844644">
              <w:rPr>
                <w:sz w:val="20"/>
                <w:szCs w:val="20"/>
              </w:rPr>
              <w:t xml:space="preserve"> </w:t>
            </w:r>
            <w:proofErr w:type="spellStart"/>
            <w:r w:rsidRPr="00844644">
              <w:rPr>
                <w:sz w:val="20"/>
                <w:szCs w:val="20"/>
              </w:rPr>
              <w:t>вимоги</w:t>
            </w:r>
            <w:proofErr w:type="spellEnd"/>
            <w:r w:rsidRPr="00844644">
              <w:rPr>
                <w:sz w:val="20"/>
                <w:szCs w:val="20"/>
              </w:rPr>
              <w:t xml:space="preserve"> </w:t>
            </w:r>
            <w:proofErr w:type="spellStart"/>
            <w:r w:rsidRPr="00844644">
              <w:rPr>
                <w:sz w:val="20"/>
                <w:szCs w:val="20"/>
              </w:rPr>
              <w:t>ре</w:t>
            </w:r>
            <w:r w:rsidR="002F6E4C">
              <w:rPr>
                <w:sz w:val="20"/>
                <w:szCs w:val="20"/>
              </w:rPr>
              <w:t>гулювання</w:t>
            </w:r>
            <w:proofErr w:type="spellEnd"/>
            <w:r w:rsidR="002F6E4C">
              <w:rPr>
                <w:sz w:val="20"/>
                <w:szCs w:val="20"/>
              </w:rPr>
              <w:t xml:space="preserve"> </w:t>
            </w:r>
            <w:proofErr w:type="spellStart"/>
            <w:r w:rsidR="002F6E4C">
              <w:rPr>
                <w:sz w:val="20"/>
                <w:szCs w:val="20"/>
              </w:rPr>
              <w:t>лише</w:t>
            </w:r>
            <w:proofErr w:type="spellEnd"/>
            <w:r w:rsidR="002F6E4C">
              <w:rPr>
                <w:sz w:val="20"/>
                <w:szCs w:val="20"/>
              </w:rPr>
              <w:t xml:space="preserve"> в перший </w:t>
            </w:r>
            <w:proofErr w:type="spellStart"/>
            <w:proofErr w:type="gramStart"/>
            <w:r w:rsidR="002F6E4C">
              <w:rPr>
                <w:sz w:val="20"/>
                <w:szCs w:val="20"/>
              </w:rPr>
              <w:t>р</w:t>
            </w:r>
            <w:proofErr w:type="gramEnd"/>
            <w:r w:rsidR="002F6E4C">
              <w:rPr>
                <w:sz w:val="20"/>
                <w:szCs w:val="20"/>
              </w:rPr>
              <w:t>ік</w:t>
            </w:r>
            <w:proofErr w:type="spellEnd"/>
            <w:r w:rsidRPr="00844644">
              <w:rPr>
                <w:sz w:val="20"/>
                <w:szCs w:val="20"/>
              </w:rPr>
              <w:t>)</w:t>
            </w:r>
          </w:p>
        </w:tc>
      </w:tr>
      <w:tr w:rsidR="001B5E5F" w:rsidRPr="0023553A" w:rsidTr="003B5F40">
        <w:tc>
          <w:tcPr>
            <w:tcW w:w="630" w:type="pct"/>
          </w:tcPr>
          <w:p w:rsidR="001B5E5F" w:rsidRPr="0023553A" w:rsidRDefault="001B5E5F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53A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9" w:type="pct"/>
          </w:tcPr>
          <w:p w:rsidR="001B5E5F" w:rsidRPr="0023553A" w:rsidRDefault="001B5E5F" w:rsidP="00F40F2F">
            <w:pPr>
              <w:rPr>
                <w:rFonts w:eastAsia="Times New Roman"/>
                <w:sz w:val="28"/>
                <w:szCs w:val="28"/>
              </w:rPr>
            </w:pPr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РАЗОМ (сума рядків:1+2+3+4+5+6+7+8),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864" w:type="pct"/>
          </w:tcPr>
          <w:p w:rsidR="001B5E5F" w:rsidRPr="00AE7454" w:rsidRDefault="0023553A" w:rsidP="002E368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7454">
              <w:rPr>
                <w:b/>
                <w:sz w:val="26"/>
                <w:szCs w:val="26"/>
                <w:lang w:val="uk-UA"/>
              </w:rPr>
              <w:t>1 180,26</w:t>
            </w:r>
          </w:p>
        </w:tc>
        <w:tc>
          <w:tcPr>
            <w:tcW w:w="917" w:type="pct"/>
            <w:gridSpan w:val="2"/>
          </w:tcPr>
          <w:p w:rsidR="001B5E5F" w:rsidRPr="00AE7454" w:rsidRDefault="0023553A" w:rsidP="002E368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E7454">
              <w:rPr>
                <w:b/>
                <w:sz w:val="26"/>
                <w:szCs w:val="26"/>
                <w:lang w:val="uk-UA"/>
              </w:rPr>
              <w:t>1 180,26</w:t>
            </w:r>
          </w:p>
        </w:tc>
      </w:tr>
      <w:tr w:rsidR="000B22DC" w:rsidRPr="0023553A" w:rsidTr="003B5F40">
        <w:tc>
          <w:tcPr>
            <w:tcW w:w="630" w:type="pct"/>
          </w:tcPr>
          <w:p w:rsidR="000B22DC" w:rsidRPr="0023553A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53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589" w:type="pct"/>
          </w:tcPr>
          <w:p w:rsidR="000B22DC" w:rsidRPr="0023553A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ідприємництва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буде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поширено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3553A">
              <w:rPr>
                <w:rFonts w:eastAsia="Times New Roman"/>
                <w:sz w:val="28"/>
                <w:szCs w:val="28"/>
                <w:lang w:eastAsia="uk-UA"/>
              </w:rPr>
              <w:t>одиниць</w:t>
            </w:r>
            <w:proofErr w:type="spellEnd"/>
          </w:p>
        </w:tc>
        <w:tc>
          <w:tcPr>
            <w:tcW w:w="1781" w:type="pct"/>
            <w:gridSpan w:val="3"/>
            <w:vAlign w:val="center"/>
          </w:tcPr>
          <w:p w:rsidR="000B22DC" w:rsidRPr="0023553A" w:rsidRDefault="000B22DC" w:rsidP="002E368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3553A">
              <w:rPr>
                <w:rFonts w:eastAsia="Times New Roman"/>
                <w:sz w:val="28"/>
                <w:szCs w:val="28"/>
                <w:lang w:val="uk-UA" w:eastAsia="uk-UA"/>
              </w:rPr>
              <w:t>46</w:t>
            </w:r>
          </w:p>
        </w:tc>
      </w:tr>
      <w:tr w:rsidR="000B22DC" w:rsidRPr="0023553A" w:rsidTr="003B5F40">
        <w:tc>
          <w:tcPr>
            <w:tcW w:w="630" w:type="pct"/>
          </w:tcPr>
          <w:p w:rsidR="000B22DC" w:rsidRPr="0023553A" w:rsidRDefault="000B22DC" w:rsidP="00F40F2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3553A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589" w:type="pct"/>
          </w:tcPr>
          <w:p w:rsidR="000B22DC" w:rsidRPr="0023553A" w:rsidRDefault="000B22DC" w:rsidP="00F40F2F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Сумарні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витрати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великого та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середнього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п</w:t>
            </w:r>
            <w:proofErr w:type="gram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ідприємництва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вартість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регулювання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) (рядок 9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х</w:t>
            </w:r>
            <w:proofErr w:type="spellEnd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 xml:space="preserve"> рядок 10), </w:t>
            </w:r>
            <w:proofErr w:type="spellStart"/>
            <w:r w:rsidRPr="0023553A">
              <w:rPr>
                <w:rFonts w:eastAsia="Times New Roman"/>
                <w:bCs/>
                <w:sz w:val="28"/>
                <w:szCs w:val="28"/>
                <w:lang w:eastAsia="uk-UA"/>
              </w:rPr>
              <w:t>гривень</w:t>
            </w:r>
            <w:proofErr w:type="spellEnd"/>
          </w:p>
        </w:tc>
        <w:tc>
          <w:tcPr>
            <w:tcW w:w="1009" w:type="pct"/>
            <w:gridSpan w:val="2"/>
          </w:tcPr>
          <w:p w:rsidR="000B22DC" w:rsidRPr="00AE7454" w:rsidRDefault="0023553A" w:rsidP="002E368E">
            <w:pPr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AE7454">
              <w:rPr>
                <w:b/>
                <w:sz w:val="26"/>
                <w:szCs w:val="26"/>
                <w:lang w:val="uk-UA"/>
              </w:rPr>
              <w:t>54 291,96</w:t>
            </w:r>
          </w:p>
        </w:tc>
        <w:tc>
          <w:tcPr>
            <w:tcW w:w="772" w:type="pct"/>
          </w:tcPr>
          <w:p w:rsidR="000B22DC" w:rsidRPr="00AE7454" w:rsidRDefault="0023553A" w:rsidP="002E368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E7454">
              <w:rPr>
                <w:rFonts w:eastAsia="Times New Roman"/>
                <w:b/>
                <w:sz w:val="28"/>
                <w:szCs w:val="28"/>
              </w:rPr>
              <w:t>54 291,96</w:t>
            </w:r>
          </w:p>
        </w:tc>
      </w:tr>
    </w:tbl>
    <w:p w:rsidR="000B22DC" w:rsidRDefault="00DB0F9B" w:rsidP="00DB0F9B">
      <w:pPr>
        <w:jc w:val="both"/>
        <w:rPr>
          <w:rStyle w:val="rvts15"/>
          <w:bCs/>
          <w:sz w:val="20"/>
          <w:szCs w:val="20"/>
          <w:shd w:val="clear" w:color="auto" w:fill="FFFFFF"/>
          <w:lang w:val="uk-UA"/>
        </w:rPr>
      </w:pPr>
      <w:r>
        <w:rPr>
          <w:rStyle w:val="rvts15"/>
          <w:b/>
          <w:bCs/>
          <w:sz w:val="28"/>
          <w:szCs w:val="28"/>
          <w:shd w:val="clear" w:color="auto" w:fill="FFFFFF"/>
          <w:lang w:val="uk-UA"/>
        </w:rPr>
        <w:t xml:space="preserve">* </w:t>
      </w:r>
      <w:r w:rsidR="00E40FBF" w:rsidRPr="00E40FBF">
        <w:rPr>
          <w:rStyle w:val="rvts15"/>
          <w:bCs/>
          <w:sz w:val="20"/>
          <w:szCs w:val="20"/>
          <w:shd w:val="clear" w:color="auto" w:fill="FFFFFF"/>
          <w:lang w:val="uk-UA"/>
        </w:rPr>
        <w:t xml:space="preserve"> У розрахунку вартості 1 години роботи використано вартість 1 години роботи, яка відповідно до Закону України «Про Державний бюджет України на 2023 рік», з 1 січня 202</w:t>
      </w:r>
      <w:r w:rsidR="00E40FBF">
        <w:rPr>
          <w:rStyle w:val="rvts15"/>
          <w:bCs/>
          <w:sz w:val="20"/>
          <w:szCs w:val="20"/>
          <w:shd w:val="clear" w:color="auto" w:fill="FFFFFF"/>
          <w:lang w:val="uk-UA"/>
        </w:rPr>
        <w:t>3 року становить – 40,46 гривень</w:t>
      </w:r>
      <w:r w:rsidRPr="00DB0F9B">
        <w:rPr>
          <w:rStyle w:val="rvts15"/>
          <w:bCs/>
          <w:sz w:val="20"/>
          <w:szCs w:val="20"/>
          <w:shd w:val="clear" w:color="auto" w:fill="FFFFFF"/>
          <w:lang w:val="uk-UA"/>
        </w:rPr>
        <w:t>.</w:t>
      </w:r>
    </w:p>
    <w:p w:rsidR="00DB0F9B" w:rsidRPr="00DB0F9B" w:rsidRDefault="00DB0F9B" w:rsidP="00DB0F9B">
      <w:pPr>
        <w:jc w:val="both"/>
        <w:rPr>
          <w:rStyle w:val="rvts15"/>
          <w:bCs/>
          <w:sz w:val="20"/>
          <w:szCs w:val="20"/>
          <w:shd w:val="clear" w:color="auto" w:fill="FFFFFF"/>
          <w:lang w:val="uk-UA"/>
        </w:rPr>
      </w:pPr>
    </w:p>
    <w:p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  <w:proofErr w:type="spellStart"/>
      <w:r w:rsidRPr="007E607E">
        <w:rPr>
          <w:sz w:val="28"/>
          <w:szCs w:val="28"/>
          <w:lang w:eastAsia="uk-UA"/>
        </w:rPr>
        <w:t>Розрахунок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відповідних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витрат</w:t>
      </w:r>
      <w:proofErr w:type="spellEnd"/>
      <w:r w:rsidRPr="007E607E">
        <w:rPr>
          <w:sz w:val="28"/>
          <w:szCs w:val="28"/>
          <w:lang w:eastAsia="uk-UA"/>
        </w:rPr>
        <w:t xml:space="preserve"> на одного </w:t>
      </w:r>
      <w:proofErr w:type="spellStart"/>
      <w:r w:rsidRPr="007E607E">
        <w:rPr>
          <w:sz w:val="28"/>
          <w:szCs w:val="28"/>
          <w:lang w:eastAsia="uk-UA"/>
        </w:rPr>
        <w:t>суб’єкта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89"/>
        <w:gridCol w:w="485"/>
        <w:gridCol w:w="1169"/>
        <w:gridCol w:w="875"/>
        <w:gridCol w:w="775"/>
        <w:gridCol w:w="144"/>
        <w:gridCol w:w="1271"/>
        <w:gridCol w:w="282"/>
        <w:gridCol w:w="1579"/>
      </w:tblGrid>
      <w:tr w:rsidR="00B8014C" w:rsidRPr="00806E29" w:rsidTr="00CE311D">
        <w:tc>
          <w:tcPr>
            <w:tcW w:w="1908" w:type="pct"/>
            <w:gridSpan w:val="3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7" w:type="pct"/>
            <w:gridSpan w:val="2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У перший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1111" w:type="pct"/>
            <w:gridSpan w:val="3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</w:p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44" w:type="pct"/>
            <w:gridSpan w:val="2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5428E5">
        <w:tc>
          <w:tcPr>
            <w:tcW w:w="1908" w:type="pct"/>
            <w:gridSpan w:val="3"/>
            <w:tcBorders>
              <w:bottom w:val="single" w:sz="4" w:space="0" w:color="auto"/>
            </w:tcBorders>
          </w:tcPr>
          <w:p w:rsidR="00B8014C" w:rsidRDefault="00B8014C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придбання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основних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фондів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обладнання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приладів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сервісне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обслуговування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навчання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ідвищення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кваліфікації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</w:p>
          <w:p w:rsid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234393" w:rsidRPr="00234393" w:rsidRDefault="00234393" w:rsidP="006A5D8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806E29" w:rsidRPr="00741E38" w:rsidRDefault="00806E29" w:rsidP="006A5D82">
            <w:pPr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B8014C" w:rsidRPr="00806E29" w:rsidRDefault="00680384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</w:p>
        </w:tc>
        <w:tc>
          <w:tcPr>
            <w:tcW w:w="1111" w:type="pct"/>
            <w:gridSpan w:val="3"/>
            <w:tcBorders>
              <w:bottom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06E29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B8014C" w:rsidRPr="00806E29" w:rsidRDefault="00680384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</w:p>
        </w:tc>
      </w:tr>
      <w:tr w:rsidR="005428E5" w:rsidRPr="00806E29" w:rsidTr="005428E5">
        <w:tc>
          <w:tcPr>
            <w:tcW w:w="1908" w:type="pct"/>
            <w:gridSpan w:val="3"/>
            <w:tcBorders>
              <w:left w:val="nil"/>
              <w:right w:val="nil"/>
            </w:tcBorders>
          </w:tcPr>
          <w:p w:rsidR="005428E5" w:rsidRPr="00806E29" w:rsidRDefault="005428E5" w:rsidP="006A5D82">
            <w:pPr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37" w:type="pct"/>
            <w:gridSpan w:val="2"/>
            <w:tcBorders>
              <w:left w:val="nil"/>
              <w:right w:val="nil"/>
            </w:tcBorders>
          </w:tcPr>
          <w:p w:rsidR="005428E5" w:rsidRPr="002E368E" w:rsidRDefault="005428E5" w:rsidP="006A5D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1" w:type="pct"/>
            <w:gridSpan w:val="3"/>
            <w:tcBorders>
              <w:left w:val="nil"/>
              <w:right w:val="nil"/>
            </w:tcBorders>
          </w:tcPr>
          <w:p w:rsidR="005428E5" w:rsidRPr="00806E29" w:rsidRDefault="005428E5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44" w:type="pct"/>
            <w:gridSpan w:val="2"/>
            <w:tcBorders>
              <w:left w:val="nil"/>
              <w:right w:val="nil"/>
            </w:tcBorders>
          </w:tcPr>
          <w:p w:rsidR="005428E5" w:rsidRPr="002E368E" w:rsidRDefault="005428E5" w:rsidP="006A5D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8014C" w:rsidRPr="00806E29" w:rsidTr="00CE311D">
        <w:tc>
          <w:tcPr>
            <w:tcW w:w="1662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676" w:type="pct"/>
            <w:gridSpan w:val="4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нововведених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62" w:type="pct"/>
            <w:gridSpan w:val="4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996EA2">
        <w:tc>
          <w:tcPr>
            <w:tcW w:w="1662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зміна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розміру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виникнення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необхідності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76" w:type="pct"/>
            <w:gridSpan w:val="4"/>
            <w:tcBorders>
              <w:bottom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662" w:type="pct"/>
            <w:gridSpan w:val="4"/>
            <w:tcBorders>
              <w:bottom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5428E5" w:rsidRPr="00806E29" w:rsidTr="00996EA2">
        <w:tc>
          <w:tcPr>
            <w:tcW w:w="1662" w:type="pct"/>
            <w:gridSpan w:val="2"/>
            <w:tcBorders>
              <w:left w:val="nil"/>
              <w:bottom w:val="nil"/>
              <w:right w:val="nil"/>
            </w:tcBorders>
          </w:tcPr>
          <w:p w:rsidR="005428E5" w:rsidRDefault="005428E5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5428E5" w:rsidRPr="005428E5" w:rsidRDefault="005428E5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6" w:type="pct"/>
            <w:gridSpan w:val="4"/>
            <w:tcBorders>
              <w:left w:val="nil"/>
              <w:bottom w:val="nil"/>
              <w:right w:val="nil"/>
            </w:tcBorders>
          </w:tcPr>
          <w:p w:rsidR="005428E5" w:rsidRPr="00806E29" w:rsidRDefault="005428E5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2" w:type="pct"/>
            <w:gridSpan w:val="4"/>
            <w:tcBorders>
              <w:left w:val="nil"/>
              <w:bottom w:val="nil"/>
              <w:right w:val="nil"/>
            </w:tcBorders>
          </w:tcPr>
          <w:p w:rsidR="005428E5" w:rsidRPr="00806E29" w:rsidRDefault="005428E5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996EA2" w:rsidRPr="00806E29" w:rsidTr="00996EA2">
        <w:tc>
          <w:tcPr>
            <w:tcW w:w="16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A2" w:rsidRDefault="00996EA2" w:rsidP="006A5D82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6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A2" w:rsidRPr="00806E29" w:rsidRDefault="00996EA2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  <w:tc>
          <w:tcPr>
            <w:tcW w:w="1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EA2" w:rsidRPr="00806E29" w:rsidRDefault="00996EA2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</w:tc>
      </w:tr>
      <w:tr w:rsidR="00B8014C" w:rsidRPr="00806E29" w:rsidTr="00996EA2">
        <w:tc>
          <w:tcPr>
            <w:tcW w:w="1515" w:type="pct"/>
            <w:tcBorders>
              <w:top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88" w:type="pct"/>
            <w:gridSpan w:val="2"/>
            <w:tcBorders>
              <w:top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680384">
        <w:tc>
          <w:tcPr>
            <w:tcW w:w="1515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підготовкою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державним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органам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 персоналу)</w:t>
            </w:r>
          </w:p>
        </w:tc>
        <w:tc>
          <w:tcPr>
            <w:tcW w:w="986" w:type="pct"/>
            <w:gridSpan w:val="3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10" w:type="pct"/>
            <w:gridSpan w:val="3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88" w:type="pct"/>
            <w:gridSpan w:val="2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01" w:type="pct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B8014C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bookmarkStart w:id="23" w:name="n182"/>
      <w:bookmarkStart w:id="24" w:name="n183"/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7"/>
        <w:gridCol w:w="1984"/>
        <w:gridCol w:w="175"/>
        <w:gridCol w:w="1710"/>
        <w:gridCol w:w="62"/>
        <w:gridCol w:w="1470"/>
        <w:gridCol w:w="113"/>
        <w:gridCol w:w="1273"/>
      </w:tblGrid>
      <w:tr w:rsidR="00B8014C" w:rsidRPr="00806E29" w:rsidTr="00C64AB6">
        <w:tc>
          <w:tcPr>
            <w:tcW w:w="1393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127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06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штраф-них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усунення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виявлених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порушень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4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50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2F31B9">
        <w:tc>
          <w:tcPr>
            <w:tcW w:w="1393" w:type="pct"/>
            <w:tcBorders>
              <w:bottom w:val="single" w:sz="4" w:space="0" w:color="auto"/>
            </w:tcBorders>
          </w:tcPr>
          <w:p w:rsidR="00806E29" w:rsidRDefault="00B8014C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перевірок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виконання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приписів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  <w:p w:rsidR="002F31B9" w:rsidRPr="002F31B9" w:rsidRDefault="002F31B9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</w:tr>
      <w:tr w:rsidR="002F31B9" w:rsidRPr="00806E29" w:rsidTr="002F31B9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C60548" w:rsidRPr="00C60548" w:rsidRDefault="00C60548" w:rsidP="00806E2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проходження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відповідних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процедур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безпосередньо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ліцензії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страхові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поліси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-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686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отримання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адміністративних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іцензій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погоджень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</w:t>
            </w:r>
            <w:r w:rsidR="00826BA7">
              <w:rPr>
                <w:sz w:val="26"/>
                <w:szCs w:val="26"/>
                <w:lang w:eastAsia="uk-UA"/>
              </w:rPr>
              <w:t>исновків</w:t>
            </w:r>
            <w:proofErr w:type="spellEnd"/>
            <w:r w:rsidR="00826BA7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="00826BA7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="00826BA7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="00826BA7">
              <w:rPr>
                <w:sz w:val="26"/>
                <w:szCs w:val="26"/>
                <w:lang w:eastAsia="uk-UA"/>
              </w:rPr>
              <w:lastRenderedPageBreak/>
              <w:t>незалежних</w:t>
            </w:r>
            <w:proofErr w:type="spellEnd"/>
            <w:r w:rsidR="005428E5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обов’язкових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наукових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страхування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lastRenderedPageBreak/>
              <w:t>0</w:t>
            </w:r>
          </w:p>
        </w:tc>
        <w:tc>
          <w:tcPr>
            <w:tcW w:w="1038" w:type="pct"/>
            <w:gridSpan w:val="3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3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686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B8014C" w:rsidRPr="00806E29" w:rsidTr="00806E29"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наступний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1250" w:type="pct"/>
          </w:tcPr>
          <w:p w:rsidR="00B8014C" w:rsidRPr="00806E29" w:rsidRDefault="00B8014C" w:rsidP="00826BA7">
            <w:pPr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оборотні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активи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матеріали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канцелярські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товари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361A46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</w:p>
        </w:tc>
        <w:tc>
          <w:tcPr>
            <w:tcW w:w="125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50" w:type="pct"/>
          </w:tcPr>
          <w:p w:rsidR="00B8014C" w:rsidRPr="00806E29" w:rsidRDefault="00361A46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2E368E">
              <w:rPr>
                <w:b/>
                <w:sz w:val="28"/>
                <w:szCs w:val="28"/>
                <w:lang w:val="uk-UA"/>
              </w:rPr>
              <w:t>937,5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3065"/>
        <w:gridCol w:w="2737"/>
      </w:tblGrid>
      <w:tr w:rsidR="00B8014C" w:rsidRPr="00806E29" w:rsidTr="00806E29">
        <w:tc>
          <w:tcPr>
            <w:tcW w:w="2056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bookmarkStart w:id="25" w:name="n187"/>
            <w:bookmarkStart w:id="26" w:name="n188"/>
            <w:bookmarkEnd w:id="25"/>
            <w:bookmarkEnd w:id="26"/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555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праці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найманого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389" w:type="pct"/>
          </w:tcPr>
          <w:p w:rsidR="00B8014C" w:rsidRPr="00806E29" w:rsidRDefault="00B8014C" w:rsidP="00173634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</w:t>
            </w:r>
            <w:r w:rsidR="00173634">
              <w:rPr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2056" w:type="pct"/>
          </w:tcPr>
          <w:p w:rsidR="00B8014C" w:rsidRPr="00806E29" w:rsidRDefault="00B8014C" w:rsidP="006A5D82">
            <w:pPr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пов’язан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наймом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</w:t>
            </w:r>
          </w:p>
        </w:tc>
        <w:tc>
          <w:tcPr>
            <w:tcW w:w="1555" w:type="pct"/>
          </w:tcPr>
          <w:p w:rsidR="00B8014C" w:rsidRPr="00461459" w:rsidRDefault="00173634" w:rsidP="006A5D82">
            <w:pPr>
              <w:jc w:val="center"/>
              <w:rPr>
                <w:vanish/>
                <w:sz w:val="26"/>
                <w:szCs w:val="26"/>
                <w:lang w:val="uk-UA"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389" w:type="pct"/>
          </w:tcPr>
          <w:p w:rsidR="00B8014C" w:rsidRPr="00461459" w:rsidRDefault="00173634" w:rsidP="006A5D82">
            <w:pPr>
              <w:jc w:val="center"/>
              <w:rPr>
                <w:vanish/>
                <w:sz w:val="26"/>
                <w:szCs w:val="26"/>
                <w:lang w:val="uk-UA"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FA3F6D" w:rsidRPr="007E607E" w:rsidRDefault="00361A46" w:rsidP="00361A46">
      <w:pPr>
        <w:ind w:hanging="142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______________________</w:t>
      </w:r>
    </w:p>
    <w:sectPr w:rsidR="00FA3F6D" w:rsidRPr="007E607E" w:rsidSect="002E15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8B" w:rsidRDefault="0081018B" w:rsidP="00D61ACA">
      <w:r>
        <w:separator/>
      </w:r>
    </w:p>
  </w:endnote>
  <w:endnote w:type="continuationSeparator" w:id="0">
    <w:p w:rsidR="0081018B" w:rsidRDefault="0081018B" w:rsidP="00D6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8B" w:rsidRDefault="0081018B" w:rsidP="00D61ACA">
      <w:r>
        <w:separator/>
      </w:r>
    </w:p>
  </w:footnote>
  <w:footnote w:type="continuationSeparator" w:id="0">
    <w:p w:rsidR="0081018B" w:rsidRDefault="0081018B" w:rsidP="00D61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050219"/>
      <w:docPartObj>
        <w:docPartGallery w:val="Page Numbers (Top of Page)"/>
        <w:docPartUnique/>
      </w:docPartObj>
    </w:sdtPr>
    <w:sdtContent>
      <w:p w:rsidR="00A35E41" w:rsidRDefault="00A35E41">
        <w:pPr>
          <w:pStyle w:val="aa"/>
          <w:jc w:val="center"/>
        </w:pPr>
        <w:fldSimple w:instr=" PAGE   \* MERGEFORMAT ">
          <w:r w:rsidR="00C13B0F">
            <w:rPr>
              <w:noProof/>
            </w:rPr>
            <w:t>13</w:t>
          </w:r>
        </w:fldSimple>
      </w:p>
    </w:sdtContent>
  </w:sdt>
  <w:p w:rsidR="00BB0008" w:rsidRDefault="00BB00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A65CA7"/>
    <w:multiLevelType w:val="hybridMultilevel"/>
    <w:tmpl w:val="FA7E4DEE"/>
    <w:lvl w:ilvl="0" w:tplc="622ED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76F3F65"/>
    <w:multiLevelType w:val="hybridMultilevel"/>
    <w:tmpl w:val="5CEC4806"/>
    <w:lvl w:ilvl="0" w:tplc="0D3AB2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5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F2"/>
    <w:rsid w:val="00015372"/>
    <w:rsid w:val="00017D07"/>
    <w:rsid w:val="0003025C"/>
    <w:rsid w:val="00037753"/>
    <w:rsid w:val="0003779C"/>
    <w:rsid w:val="000443BB"/>
    <w:rsid w:val="00044948"/>
    <w:rsid w:val="00044A2E"/>
    <w:rsid w:val="00047F78"/>
    <w:rsid w:val="00051FB5"/>
    <w:rsid w:val="00052BB9"/>
    <w:rsid w:val="000530FE"/>
    <w:rsid w:val="00053ADE"/>
    <w:rsid w:val="00054807"/>
    <w:rsid w:val="00060037"/>
    <w:rsid w:val="00065A10"/>
    <w:rsid w:val="00071F96"/>
    <w:rsid w:val="00083913"/>
    <w:rsid w:val="00084E6C"/>
    <w:rsid w:val="00087AFE"/>
    <w:rsid w:val="000960FB"/>
    <w:rsid w:val="000A0D08"/>
    <w:rsid w:val="000A31F0"/>
    <w:rsid w:val="000B22DC"/>
    <w:rsid w:val="000B45A8"/>
    <w:rsid w:val="000B5C84"/>
    <w:rsid w:val="000B6CA1"/>
    <w:rsid w:val="000C0552"/>
    <w:rsid w:val="000C1F52"/>
    <w:rsid w:val="000C3060"/>
    <w:rsid w:val="000D25E7"/>
    <w:rsid w:val="000D29CD"/>
    <w:rsid w:val="000D715C"/>
    <w:rsid w:val="000D7AAF"/>
    <w:rsid w:val="000E0B27"/>
    <w:rsid w:val="000F07A7"/>
    <w:rsid w:val="000F32FD"/>
    <w:rsid w:val="000F6180"/>
    <w:rsid w:val="000F7E8E"/>
    <w:rsid w:val="00105795"/>
    <w:rsid w:val="00105FC6"/>
    <w:rsid w:val="00113ED1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41738"/>
    <w:rsid w:val="001503CF"/>
    <w:rsid w:val="001541EF"/>
    <w:rsid w:val="0015562C"/>
    <w:rsid w:val="00157062"/>
    <w:rsid w:val="00162E41"/>
    <w:rsid w:val="00170784"/>
    <w:rsid w:val="00171F40"/>
    <w:rsid w:val="00173634"/>
    <w:rsid w:val="001746B4"/>
    <w:rsid w:val="00183293"/>
    <w:rsid w:val="00190C73"/>
    <w:rsid w:val="001914EA"/>
    <w:rsid w:val="00191722"/>
    <w:rsid w:val="00197F16"/>
    <w:rsid w:val="001A3C5B"/>
    <w:rsid w:val="001A62B4"/>
    <w:rsid w:val="001A6ADA"/>
    <w:rsid w:val="001A7583"/>
    <w:rsid w:val="001B320C"/>
    <w:rsid w:val="001B3819"/>
    <w:rsid w:val="001B447A"/>
    <w:rsid w:val="001B5E5F"/>
    <w:rsid w:val="001C1F88"/>
    <w:rsid w:val="001D2411"/>
    <w:rsid w:val="001D6C68"/>
    <w:rsid w:val="001E431E"/>
    <w:rsid w:val="001E514F"/>
    <w:rsid w:val="001E6092"/>
    <w:rsid w:val="001E762A"/>
    <w:rsid w:val="001F414F"/>
    <w:rsid w:val="00202329"/>
    <w:rsid w:val="002141F6"/>
    <w:rsid w:val="00214265"/>
    <w:rsid w:val="00217DDC"/>
    <w:rsid w:val="00220ACA"/>
    <w:rsid w:val="002227A5"/>
    <w:rsid w:val="00222CF0"/>
    <w:rsid w:val="00231E81"/>
    <w:rsid w:val="00234393"/>
    <w:rsid w:val="0023553A"/>
    <w:rsid w:val="002407BB"/>
    <w:rsid w:val="00246D69"/>
    <w:rsid w:val="0025165C"/>
    <w:rsid w:val="00251BDB"/>
    <w:rsid w:val="00272600"/>
    <w:rsid w:val="00282DD6"/>
    <w:rsid w:val="00282EB2"/>
    <w:rsid w:val="00286DF5"/>
    <w:rsid w:val="002870B6"/>
    <w:rsid w:val="00287A5D"/>
    <w:rsid w:val="00294FD8"/>
    <w:rsid w:val="00297466"/>
    <w:rsid w:val="002A2121"/>
    <w:rsid w:val="002B2B1E"/>
    <w:rsid w:val="002B4AF4"/>
    <w:rsid w:val="002C14EB"/>
    <w:rsid w:val="002C65B1"/>
    <w:rsid w:val="002D0967"/>
    <w:rsid w:val="002D3093"/>
    <w:rsid w:val="002D427F"/>
    <w:rsid w:val="002D46E1"/>
    <w:rsid w:val="002D54C5"/>
    <w:rsid w:val="002D7A5E"/>
    <w:rsid w:val="002E159D"/>
    <w:rsid w:val="002E368E"/>
    <w:rsid w:val="002E745C"/>
    <w:rsid w:val="002F31B9"/>
    <w:rsid w:val="002F381F"/>
    <w:rsid w:val="002F57DD"/>
    <w:rsid w:val="002F69DC"/>
    <w:rsid w:val="002F6E4C"/>
    <w:rsid w:val="002F79EF"/>
    <w:rsid w:val="00301203"/>
    <w:rsid w:val="00325162"/>
    <w:rsid w:val="00326C5C"/>
    <w:rsid w:val="00327630"/>
    <w:rsid w:val="00332F9D"/>
    <w:rsid w:val="00334588"/>
    <w:rsid w:val="00335F22"/>
    <w:rsid w:val="00337247"/>
    <w:rsid w:val="00340EB2"/>
    <w:rsid w:val="00342876"/>
    <w:rsid w:val="003428A4"/>
    <w:rsid w:val="00344926"/>
    <w:rsid w:val="0034558E"/>
    <w:rsid w:val="00353436"/>
    <w:rsid w:val="00356C1D"/>
    <w:rsid w:val="00356CD5"/>
    <w:rsid w:val="00360B74"/>
    <w:rsid w:val="00361A46"/>
    <w:rsid w:val="00363649"/>
    <w:rsid w:val="00364DC6"/>
    <w:rsid w:val="003747E8"/>
    <w:rsid w:val="00377A15"/>
    <w:rsid w:val="00383735"/>
    <w:rsid w:val="00384EBC"/>
    <w:rsid w:val="003862DB"/>
    <w:rsid w:val="0039480F"/>
    <w:rsid w:val="003A2D19"/>
    <w:rsid w:val="003A323E"/>
    <w:rsid w:val="003A6194"/>
    <w:rsid w:val="003A7DB6"/>
    <w:rsid w:val="003B2C26"/>
    <w:rsid w:val="003B309F"/>
    <w:rsid w:val="003B5C99"/>
    <w:rsid w:val="003B5F40"/>
    <w:rsid w:val="003C3647"/>
    <w:rsid w:val="003C3B67"/>
    <w:rsid w:val="003C54BA"/>
    <w:rsid w:val="003D2C5E"/>
    <w:rsid w:val="003E1308"/>
    <w:rsid w:val="003E1C4A"/>
    <w:rsid w:val="003E38CE"/>
    <w:rsid w:val="003E6FC4"/>
    <w:rsid w:val="003E709B"/>
    <w:rsid w:val="003F59B5"/>
    <w:rsid w:val="00401B23"/>
    <w:rsid w:val="00403AC3"/>
    <w:rsid w:val="0042778B"/>
    <w:rsid w:val="0043069E"/>
    <w:rsid w:val="00431356"/>
    <w:rsid w:val="0043576B"/>
    <w:rsid w:val="00436B22"/>
    <w:rsid w:val="00445DB8"/>
    <w:rsid w:val="00461459"/>
    <w:rsid w:val="00463736"/>
    <w:rsid w:val="00470AB3"/>
    <w:rsid w:val="00472CAC"/>
    <w:rsid w:val="00474C3B"/>
    <w:rsid w:val="0049007B"/>
    <w:rsid w:val="0049342C"/>
    <w:rsid w:val="004934CF"/>
    <w:rsid w:val="00494E7B"/>
    <w:rsid w:val="004A449F"/>
    <w:rsid w:val="004C14F4"/>
    <w:rsid w:val="004C4429"/>
    <w:rsid w:val="004C4609"/>
    <w:rsid w:val="004D126E"/>
    <w:rsid w:val="004E4E4B"/>
    <w:rsid w:val="004F0107"/>
    <w:rsid w:val="004F3852"/>
    <w:rsid w:val="004F40D0"/>
    <w:rsid w:val="004F5F8C"/>
    <w:rsid w:val="004F7C0A"/>
    <w:rsid w:val="00506C75"/>
    <w:rsid w:val="00513BBB"/>
    <w:rsid w:val="00514F33"/>
    <w:rsid w:val="00517D36"/>
    <w:rsid w:val="00517E01"/>
    <w:rsid w:val="00521072"/>
    <w:rsid w:val="00521D43"/>
    <w:rsid w:val="005232C6"/>
    <w:rsid w:val="00530048"/>
    <w:rsid w:val="00530AA4"/>
    <w:rsid w:val="005339F3"/>
    <w:rsid w:val="00536764"/>
    <w:rsid w:val="005428E5"/>
    <w:rsid w:val="00545D20"/>
    <w:rsid w:val="00550F82"/>
    <w:rsid w:val="00565783"/>
    <w:rsid w:val="00574A8E"/>
    <w:rsid w:val="00574B36"/>
    <w:rsid w:val="00575C18"/>
    <w:rsid w:val="00575C69"/>
    <w:rsid w:val="0058084E"/>
    <w:rsid w:val="005818B7"/>
    <w:rsid w:val="00585950"/>
    <w:rsid w:val="0058682F"/>
    <w:rsid w:val="005A0907"/>
    <w:rsid w:val="005A1F91"/>
    <w:rsid w:val="005A3ECA"/>
    <w:rsid w:val="005A44F4"/>
    <w:rsid w:val="005B1568"/>
    <w:rsid w:val="005C1434"/>
    <w:rsid w:val="005C445C"/>
    <w:rsid w:val="005D13AD"/>
    <w:rsid w:val="005D2695"/>
    <w:rsid w:val="005D45EC"/>
    <w:rsid w:val="005D70E3"/>
    <w:rsid w:val="005E3D79"/>
    <w:rsid w:val="005E55DA"/>
    <w:rsid w:val="005F15A0"/>
    <w:rsid w:val="005F4E84"/>
    <w:rsid w:val="00601807"/>
    <w:rsid w:val="00615A39"/>
    <w:rsid w:val="00615B31"/>
    <w:rsid w:val="0062582B"/>
    <w:rsid w:val="00633AAA"/>
    <w:rsid w:val="0063468B"/>
    <w:rsid w:val="00640C76"/>
    <w:rsid w:val="006411BB"/>
    <w:rsid w:val="00643463"/>
    <w:rsid w:val="00643D3C"/>
    <w:rsid w:val="006445AC"/>
    <w:rsid w:val="00646515"/>
    <w:rsid w:val="00650857"/>
    <w:rsid w:val="006522DE"/>
    <w:rsid w:val="00662F48"/>
    <w:rsid w:val="0067094B"/>
    <w:rsid w:val="006744B4"/>
    <w:rsid w:val="00675884"/>
    <w:rsid w:val="00680384"/>
    <w:rsid w:val="006A460E"/>
    <w:rsid w:val="006A5D82"/>
    <w:rsid w:val="006A75E7"/>
    <w:rsid w:val="006B3AB8"/>
    <w:rsid w:val="006B786A"/>
    <w:rsid w:val="006C2BD5"/>
    <w:rsid w:val="006D0983"/>
    <w:rsid w:val="006D3744"/>
    <w:rsid w:val="006D6C7A"/>
    <w:rsid w:val="006F0F74"/>
    <w:rsid w:val="00703D4C"/>
    <w:rsid w:val="0071397F"/>
    <w:rsid w:val="00720D37"/>
    <w:rsid w:val="007336CD"/>
    <w:rsid w:val="00735032"/>
    <w:rsid w:val="00741E38"/>
    <w:rsid w:val="00744B5F"/>
    <w:rsid w:val="00754FF6"/>
    <w:rsid w:val="0076009E"/>
    <w:rsid w:val="00763140"/>
    <w:rsid w:val="00764BB3"/>
    <w:rsid w:val="00764C81"/>
    <w:rsid w:val="00765380"/>
    <w:rsid w:val="0076546B"/>
    <w:rsid w:val="00767B08"/>
    <w:rsid w:val="00771047"/>
    <w:rsid w:val="007735AB"/>
    <w:rsid w:val="00777CE1"/>
    <w:rsid w:val="00782EA2"/>
    <w:rsid w:val="007850A0"/>
    <w:rsid w:val="00797868"/>
    <w:rsid w:val="007A407E"/>
    <w:rsid w:val="007A67E4"/>
    <w:rsid w:val="007B1CDB"/>
    <w:rsid w:val="007B3DB4"/>
    <w:rsid w:val="007B559B"/>
    <w:rsid w:val="007B61A7"/>
    <w:rsid w:val="007C0C1F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4F43"/>
    <w:rsid w:val="007E51B4"/>
    <w:rsid w:val="007E607E"/>
    <w:rsid w:val="007F123B"/>
    <w:rsid w:val="007F335A"/>
    <w:rsid w:val="007F3C66"/>
    <w:rsid w:val="00806E29"/>
    <w:rsid w:val="0081018B"/>
    <w:rsid w:val="0081732E"/>
    <w:rsid w:val="00825D05"/>
    <w:rsid w:val="00826221"/>
    <w:rsid w:val="0082649C"/>
    <w:rsid w:val="00826BA7"/>
    <w:rsid w:val="00826ED6"/>
    <w:rsid w:val="0082776C"/>
    <w:rsid w:val="00840D4D"/>
    <w:rsid w:val="00842675"/>
    <w:rsid w:val="00844644"/>
    <w:rsid w:val="008550EA"/>
    <w:rsid w:val="00855161"/>
    <w:rsid w:val="00860798"/>
    <w:rsid w:val="008612FF"/>
    <w:rsid w:val="00866693"/>
    <w:rsid w:val="008701F5"/>
    <w:rsid w:val="008713B7"/>
    <w:rsid w:val="008720D3"/>
    <w:rsid w:val="00873A60"/>
    <w:rsid w:val="008754E8"/>
    <w:rsid w:val="008803AF"/>
    <w:rsid w:val="00881CA2"/>
    <w:rsid w:val="00885AFC"/>
    <w:rsid w:val="00885C70"/>
    <w:rsid w:val="008870A5"/>
    <w:rsid w:val="008915FE"/>
    <w:rsid w:val="00891964"/>
    <w:rsid w:val="008A2AC6"/>
    <w:rsid w:val="008A475C"/>
    <w:rsid w:val="008B2471"/>
    <w:rsid w:val="008C0FDC"/>
    <w:rsid w:val="008C7372"/>
    <w:rsid w:val="008C7567"/>
    <w:rsid w:val="008D0E5D"/>
    <w:rsid w:val="008D0E8E"/>
    <w:rsid w:val="008D6FCA"/>
    <w:rsid w:val="008D7471"/>
    <w:rsid w:val="008E2EE5"/>
    <w:rsid w:val="008E34FB"/>
    <w:rsid w:val="00902460"/>
    <w:rsid w:val="009152E1"/>
    <w:rsid w:val="0092062B"/>
    <w:rsid w:val="009212A7"/>
    <w:rsid w:val="0092196A"/>
    <w:rsid w:val="00922E54"/>
    <w:rsid w:val="009249BF"/>
    <w:rsid w:val="009361F5"/>
    <w:rsid w:val="00944C3E"/>
    <w:rsid w:val="009451B8"/>
    <w:rsid w:val="0095170F"/>
    <w:rsid w:val="00952AE7"/>
    <w:rsid w:val="0096015D"/>
    <w:rsid w:val="0096141B"/>
    <w:rsid w:val="00961F8C"/>
    <w:rsid w:val="00962A71"/>
    <w:rsid w:val="00962CF4"/>
    <w:rsid w:val="00965959"/>
    <w:rsid w:val="00966893"/>
    <w:rsid w:val="009774F3"/>
    <w:rsid w:val="00980C59"/>
    <w:rsid w:val="0099204E"/>
    <w:rsid w:val="00993754"/>
    <w:rsid w:val="00996EA2"/>
    <w:rsid w:val="009B127F"/>
    <w:rsid w:val="009B2228"/>
    <w:rsid w:val="009B53FC"/>
    <w:rsid w:val="009C11CD"/>
    <w:rsid w:val="009C4562"/>
    <w:rsid w:val="009C4C97"/>
    <w:rsid w:val="009D21DB"/>
    <w:rsid w:val="009E6CA3"/>
    <w:rsid w:val="009F51EC"/>
    <w:rsid w:val="00A046E2"/>
    <w:rsid w:val="00A13182"/>
    <w:rsid w:val="00A2095E"/>
    <w:rsid w:val="00A32C5E"/>
    <w:rsid w:val="00A35E41"/>
    <w:rsid w:val="00A37D5A"/>
    <w:rsid w:val="00A41BFA"/>
    <w:rsid w:val="00A45964"/>
    <w:rsid w:val="00A46B61"/>
    <w:rsid w:val="00A57949"/>
    <w:rsid w:val="00A60034"/>
    <w:rsid w:val="00A65FFF"/>
    <w:rsid w:val="00A75393"/>
    <w:rsid w:val="00A8220D"/>
    <w:rsid w:val="00A83279"/>
    <w:rsid w:val="00A863C8"/>
    <w:rsid w:val="00A867BF"/>
    <w:rsid w:val="00A9094F"/>
    <w:rsid w:val="00A950F6"/>
    <w:rsid w:val="00AA046C"/>
    <w:rsid w:val="00AA554C"/>
    <w:rsid w:val="00AC2EBB"/>
    <w:rsid w:val="00AC5EBA"/>
    <w:rsid w:val="00AC6521"/>
    <w:rsid w:val="00AD4022"/>
    <w:rsid w:val="00AE07B2"/>
    <w:rsid w:val="00AE2D68"/>
    <w:rsid w:val="00AE58D3"/>
    <w:rsid w:val="00AE7454"/>
    <w:rsid w:val="00AE7570"/>
    <w:rsid w:val="00AF064A"/>
    <w:rsid w:val="00AF10BB"/>
    <w:rsid w:val="00AF1D40"/>
    <w:rsid w:val="00AF2F20"/>
    <w:rsid w:val="00AF679D"/>
    <w:rsid w:val="00B00DB5"/>
    <w:rsid w:val="00B029F3"/>
    <w:rsid w:val="00B02E61"/>
    <w:rsid w:val="00B14E0C"/>
    <w:rsid w:val="00B157A2"/>
    <w:rsid w:val="00B17B1D"/>
    <w:rsid w:val="00B2010C"/>
    <w:rsid w:val="00B20475"/>
    <w:rsid w:val="00B21008"/>
    <w:rsid w:val="00B44B26"/>
    <w:rsid w:val="00B45913"/>
    <w:rsid w:val="00B45C5E"/>
    <w:rsid w:val="00B626CC"/>
    <w:rsid w:val="00B669DD"/>
    <w:rsid w:val="00B727FF"/>
    <w:rsid w:val="00B76F0B"/>
    <w:rsid w:val="00B778A1"/>
    <w:rsid w:val="00B77DF6"/>
    <w:rsid w:val="00B8014C"/>
    <w:rsid w:val="00B82131"/>
    <w:rsid w:val="00B86B7A"/>
    <w:rsid w:val="00B915E6"/>
    <w:rsid w:val="00B93C7F"/>
    <w:rsid w:val="00B979BA"/>
    <w:rsid w:val="00BB0008"/>
    <w:rsid w:val="00BB47DD"/>
    <w:rsid w:val="00BB6AEE"/>
    <w:rsid w:val="00BB7238"/>
    <w:rsid w:val="00BB7375"/>
    <w:rsid w:val="00BC0833"/>
    <w:rsid w:val="00BC1694"/>
    <w:rsid w:val="00BC28FD"/>
    <w:rsid w:val="00BD19D0"/>
    <w:rsid w:val="00BE189B"/>
    <w:rsid w:val="00BE210A"/>
    <w:rsid w:val="00BE6618"/>
    <w:rsid w:val="00BE7C24"/>
    <w:rsid w:val="00BF2118"/>
    <w:rsid w:val="00BF617B"/>
    <w:rsid w:val="00C03212"/>
    <w:rsid w:val="00C055F7"/>
    <w:rsid w:val="00C05802"/>
    <w:rsid w:val="00C13AEE"/>
    <w:rsid w:val="00C13B0F"/>
    <w:rsid w:val="00C14612"/>
    <w:rsid w:val="00C146F2"/>
    <w:rsid w:val="00C15424"/>
    <w:rsid w:val="00C227F3"/>
    <w:rsid w:val="00C2328D"/>
    <w:rsid w:val="00C2650D"/>
    <w:rsid w:val="00C27EB2"/>
    <w:rsid w:val="00C31D10"/>
    <w:rsid w:val="00C40406"/>
    <w:rsid w:val="00C46734"/>
    <w:rsid w:val="00C53F5D"/>
    <w:rsid w:val="00C55B04"/>
    <w:rsid w:val="00C57952"/>
    <w:rsid w:val="00C60548"/>
    <w:rsid w:val="00C61447"/>
    <w:rsid w:val="00C6251B"/>
    <w:rsid w:val="00C64AB6"/>
    <w:rsid w:val="00C66E89"/>
    <w:rsid w:val="00C76932"/>
    <w:rsid w:val="00C7723B"/>
    <w:rsid w:val="00C80FB2"/>
    <w:rsid w:val="00C8103D"/>
    <w:rsid w:val="00C9383D"/>
    <w:rsid w:val="00CA1634"/>
    <w:rsid w:val="00CA24AE"/>
    <w:rsid w:val="00CA5349"/>
    <w:rsid w:val="00CA6782"/>
    <w:rsid w:val="00CB1124"/>
    <w:rsid w:val="00CB33B8"/>
    <w:rsid w:val="00CB472A"/>
    <w:rsid w:val="00CC447E"/>
    <w:rsid w:val="00CD01A8"/>
    <w:rsid w:val="00CD418F"/>
    <w:rsid w:val="00CD6240"/>
    <w:rsid w:val="00CD699A"/>
    <w:rsid w:val="00CE2849"/>
    <w:rsid w:val="00CE311D"/>
    <w:rsid w:val="00CE527D"/>
    <w:rsid w:val="00CE6C60"/>
    <w:rsid w:val="00D00F8D"/>
    <w:rsid w:val="00D04D45"/>
    <w:rsid w:val="00D06001"/>
    <w:rsid w:val="00D0769A"/>
    <w:rsid w:val="00D10056"/>
    <w:rsid w:val="00D110B4"/>
    <w:rsid w:val="00D11924"/>
    <w:rsid w:val="00D22F76"/>
    <w:rsid w:val="00D31B30"/>
    <w:rsid w:val="00D33707"/>
    <w:rsid w:val="00D36CD1"/>
    <w:rsid w:val="00D413B8"/>
    <w:rsid w:val="00D42F43"/>
    <w:rsid w:val="00D47A5B"/>
    <w:rsid w:val="00D53B70"/>
    <w:rsid w:val="00D60B47"/>
    <w:rsid w:val="00D61ACA"/>
    <w:rsid w:val="00D707C2"/>
    <w:rsid w:val="00D81FE8"/>
    <w:rsid w:val="00D836BA"/>
    <w:rsid w:val="00D851AE"/>
    <w:rsid w:val="00D85A9C"/>
    <w:rsid w:val="00D93249"/>
    <w:rsid w:val="00D961C7"/>
    <w:rsid w:val="00DA1178"/>
    <w:rsid w:val="00DA5B89"/>
    <w:rsid w:val="00DB0F9B"/>
    <w:rsid w:val="00DB2FB5"/>
    <w:rsid w:val="00DC0F74"/>
    <w:rsid w:val="00DC5C43"/>
    <w:rsid w:val="00DD056E"/>
    <w:rsid w:val="00DD5452"/>
    <w:rsid w:val="00DE5ACA"/>
    <w:rsid w:val="00DE6D07"/>
    <w:rsid w:val="00DE7260"/>
    <w:rsid w:val="00DF5DF1"/>
    <w:rsid w:val="00E01BED"/>
    <w:rsid w:val="00E0471B"/>
    <w:rsid w:val="00E10539"/>
    <w:rsid w:val="00E1147C"/>
    <w:rsid w:val="00E15E3B"/>
    <w:rsid w:val="00E15F97"/>
    <w:rsid w:val="00E16A63"/>
    <w:rsid w:val="00E17959"/>
    <w:rsid w:val="00E21BB1"/>
    <w:rsid w:val="00E23467"/>
    <w:rsid w:val="00E24DF2"/>
    <w:rsid w:val="00E276E6"/>
    <w:rsid w:val="00E32E71"/>
    <w:rsid w:val="00E40FBF"/>
    <w:rsid w:val="00E4106D"/>
    <w:rsid w:val="00E429C9"/>
    <w:rsid w:val="00E462EE"/>
    <w:rsid w:val="00E47A5B"/>
    <w:rsid w:val="00E51CEB"/>
    <w:rsid w:val="00E53527"/>
    <w:rsid w:val="00E574B2"/>
    <w:rsid w:val="00E600ED"/>
    <w:rsid w:val="00E66FEE"/>
    <w:rsid w:val="00E71A7A"/>
    <w:rsid w:val="00E860B4"/>
    <w:rsid w:val="00E9362E"/>
    <w:rsid w:val="00EA35BA"/>
    <w:rsid w:val="00EA4A1C"/>
    <w:rsid w:val="00EB06EF"/>
    <w:rsid w:val="00EB2C18"/>
    <w:rsid w:val="00ED1D11"/>
    <w:rsid w:val="00EE1B78"/>
    <w:rsid w:val="00EE21C3"/>
    <w:rsid w:val="00EE3916"/>
    <w:rsid w:val="00EF348E"/>
    <w:rsid w:val="00EF4420"/>
    <w:rsid w:val="00EF4C9C"/>
    <w:rsid w:val="00EF4DEA"/>
    <w:rsid w:val="00F074AE"/>
    <w:rsid w:val="00F118C1"/>
    <w:rsid w:val="00F12936"/>
    <w:rsid w:val="00F21CC8"/>
    <w:rsid w:val="00F230C0"/>
    <w:rsid w:val="00F233A4"/>
    <w:rsid w:val="00F353AC"/>
    <w:rsid w:val="00F35C5B"/>
    <w:rsid w:val="00F40A75"/>
    <w:rsid w:val="00F40F2F"/>
    <w:rsid w:val="00F44DDF"/>
    <w:rsid w:val="00F45E64"/>
    <w:rsid w:val="00F47044"/>
    <w:rsid w:val="00F47CEC"/>
    <w:rsid w:val="00F61F9A"/>
    <w:rsid w:val="00F63B36"/>
    <w:rsid w:val="00F64275"/>
    <w:rsid w:val="00F66AED"/>
    <w:rsid w:val="00F73929"/>
    <w:rsid w:val="00F80A73"/>
    <w:rsid w:val="00F8669E"/>
    <w:rsid w:val="00F91688"/>
    <w:rsid w:val="00F92D90"/>
    <w:rsid w:val="00FA3F6D"/>
    <w:rsid w:val="00FA52F9"/>
    <w:rsid w:val="00FA64D4"/>
    <w:rsid w:val="00FA7DFA"/>
    <w:rsid w:val="00FB09A3"/>
    <w:rsid w:val="00FC3FB3"/>
    <w:rsid w:val="00FE0E7C"/>
    <w:rsid w:val="00FE3AC3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link w:val="10"/>
    <w:uiPriority w:val="9"/>
    <w:qFormat/>
    <w:rsid w:val="008A47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Назва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1">
    <w:name w:val="Основний текст1"/>
    <w:link w:val="a6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8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2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c">
    <w:name w:val="footer"/>
    <w:basedOn w:val="a"/>
    <w:link w:val="ad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e">
    <w:name w:val="Balloon Text"/>
    <w:basedOn w:val="a"/>
    <w:link w:val="af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8A47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7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6">
    <w:name w:val="Основний текст_"/>
    <w:basedOn w:val="a0"/>
    <w:link w:val="11"/>
    <w:uiPriority w:val="99"/>
    <w:rsid w:val="00C66E89"/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1">
    <w:name w:val="Основний текст2"/>
    <w:basedOn w:val="a6"/>
    <w:uiPriority w:val="99"/>
    <w:rsid w:val="00C66E89"/>
    <w:rPr>
      <w:u w:val="none"/>
    </w:rPr>
  </w:style>
  <w:style w:type="paragraph" w:customStyle="1" w:styleId="Textbody">
    <w:name w:val="Text body"/>
    <w:basedOn w:val="a"/>
    <w:uiPriority w:val="99"/>
    <w:rsid w:val="003862D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rvps14">
    <w:name w:val="rvps14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2">
    <w:name w:val="rvps12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2">
    <w:name w:val="footnote reference"/>
    <w:basedOn w:val="a0"/>
    <w:uiPriority w:val="99"/>
    <w:rsid w:val="009249BF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9249BF"/>
    <w:rPr>
      <w:rFonts w:eastAsia="Times New Roman"/>
      <w:sz w:val="20"/>
      <w:szCs w:val="20"/>
      <w:lang w:eastAsia="ru-RU"/>
    </w:rPr>
  </w:style>
  <w:style w:type="character" w:customStyle="1" w:styleId="af4">
    <w:name w:val="Текст виноски Знак"/>
    <w:basedOn w:val="a0"/>
    <w:link w:val="af3"/>
    <w:uiPriority w:val="99"/>
    <w:rsid w:val="009249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Нормальний текст"/>
    <w:basedOn w:val="a"/>
    <w:rsid w:val="004F7C0A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15">
    <w:name w:val="rvts15"/>
    <w:rsid w:val="00B8014C"/>
  </w:style>
  <w:style w:type="table" w:styleId="af6">
    <w:name w:val="Table Grid"/>
    <w:basedOn w:val="a1"/>
    <w:uiPriority w:val="59"/>
    <w:rsid w:val="000B22DC"/>
    <w:pPr>
      <w:spacing w:after="0" w:line="240" w:lineRule="auto"/>
    </w:pPr>
    <w:rPr>
      <w:rFonts w:ascii="Arial" w:eastAsia="Arial" w:hAnsi="Arial" w:cs="Arial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642B-FD68-4543-93B4-5D91CAC7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13636</Words>
  <Characters>7773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Martynenko</dc:creator>
  <cp:lastModifiedBy>yu_bondarenko</cp:lastModifiedBy>
  <cp:revision>9</cp:revision>
  <cp:lastPrinted>2023-05-19T08:18:00Z</cp:lastPrinted>
  <dcterms:created xsi:type="dcterms:W3CDTF">2023-06-14T08:43:00Z</dcterms:created>
  <dcterms:modified xsi:type="dcterms:W3CDTF">2023-06-14T10:21:00Z</dcterms:modified>
</cp:coreProperties>
</file>