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1CCF" w14:textId="77777777" w:rsidR="007F0AAD" w:rsidRPr="00A2089F" w:rsidRDefault="007F0AAD" w:rsidP="00B80CD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2E0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ЗАТВЕРДЖЕНО</w:t>
      </w:r>
    </w:p>
    <w:p w14:paraId="2BE0E6D9" w14:textId="77777777" w:rsidR="007F0AAD" w:rsidRPr="00A2089F" w:rsidRDefault="007F0AAD" w:rsidP="00B80CD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A208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постановою Кабінету Міністрів України</w:t>
      </w:r>
    </w:p>
    <w:p w14:paraId="6E04EEC4" w14:textId="77777777" w:rsidR="007F0AAD" w:rsidRPr="002E06D1" w:rsidRDefault="007F0AAD" w:rsidP="00B80CD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2E0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від _______________ 2023 р. № _____</w:t>
      </w:r>
    </w:p>
    <w:p w14:paraId="4E48D089" w14:textId="77777777" w:rsidR="007F0AAD" w:rsidRDefault="007F0AAD" w:rsidP="007F0AA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hd w:val="clear" w:color="auto" w:fill="FFFFFF"/>
          <w:lang w:val="uk-UA"/>
        </w:rPr>
      </w:pPr>
    </w:p>
    <w:p w14:paraId="20B1F4F0" w14:textId="77777777" w:rsidR="001213D7" w:rsidRPr="001213D7" w:rsidRDefault="001213D7" w:rsidP="007F0AA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hd w:val="clear" w:color="auto" w:fill="FFFFFF"/>
          <w:lang w:val="uk-UA"/>
        </w:rPr>
      </w:pPr>
    </w:p>
    <w:p w14:paraId="5A74F102" w14:textId="77777777" w:rsidR="007F0AAD" w:rsidRPr="002E06D1" w:rsidRDefault="007F0AAD" w:rsidP="007F0AA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2E06D1">
        <w:rPr>
          <w:b/>
          <w:caps/>
          <w:color w:val="333333"/>
          <w:sz w:val="28"/>
          <w:szCs w:val="28"/>
          <w:shd w:val="clear" w:color="auto" w:fill="FFFFFF"/>
          <w:lang w:val="uk-UA"/>
        </w:rPr>
        <w:t>Критерії</w:t>
      </w:r>
      <w:r w:rsidRPr="002E06D1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534EC061" w14:textId="77777777" w:rsidR="007F0AAD" w:rsidRPr="00A2089F" w:rsidRDefault="007F0AAD" w:rsidP="007F0A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A20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віднесення речовин або предметів до побічних продуктів</w:t>
      </w:r>
    </w:p>
    <w:p w14:paraId="0F371D3C" w14:textId="77777777" w:rsidR="007F0AAD" w:rsidRDefault="007F0AAD" w:rsidP="007F0AA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1A171C"/>
          <w:sz w:val="28"/>
          <w:szCs w:val="28"/>
          <w:lang w:val="uk-UA"/>
        </w:rPr>
      </w:pPr>
    </w:p>
    <w:tbl>
      <w:tblPr>
        <w:tblStyle w:val="a6"/>
        <w:tblW w:w="9647" w:type="dxa"/>
        <w:tblLook w:val="04A0" w:firstRow="1" w:lastRow="0" w:firstColumn="1" w:lastColumn="0" w:noHBand="0" w:noVBand="1"/>
      </w:tblPr>
      <w:tblGrid>
        <w:gridCol w:w="4957"/>
        <w:gridCol w:w="4690"/>
      </w:tblGrid>
      <w:tr w:rsidR="007F0AAD" w:rsidRPr="002E06D1" w14:paraId="0DE41B2E" w14:textId="77777777" w:rsidTr="0008583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5206" w14:textId="77777777" w:rsidR="007F0AAD" w:rsidRPr="002E06D1" w:rsidRDefault="007F0AAD" w:rsidP="00A6086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color w:val="1A171C"/>
                <w:lang w:val="uk-UA"/>
              </w:rPr>
            </w:pPr>
            <w:r w:rsidRPr="002E06D1">
              <w:rPr>
                <w:b/>
                <w:bCs/>
                <w:color w:val="1A171C"/>
                <w:lang w:val="uk-UA"/>
              </w:rPr>
              <w:t>Критерії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981A" w14:textId="77777777" w:rsidR="007F0AAD" w:rsidRPr="002E06D1" w:rsidRDefault="007F0AAD" w:rsidP="00A6086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color w:val="1A171C"/>
                <w:lang w:val="uk-UA"/>
              </w:rPr>
            </w:pPr>
            <w:r w:rsidRPr="002E06D1">
              <w:rPr>
                <w:b/>
                <w:bCs/>
                <w:color w:val="1A171C"/>
                <w:lang w:val="uk-UA"/>
              </w:rPr>
              <w:t>Підтвердження відповідності критеріям</w:t>
            </w:r>
          </w:p>
        </w:tc>
      </w:tr>
      <w:tr w:rsidR="007F0AAD" w:rsidRPr="001D0DE7" w14:paraId="4D9F7B8F" w14:textId="77777777" w:rsidTr="00085835"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F66" w14:textId="77777777" w:rsidR="007F0AAD" w:rsidRPr="002E06D1" w:rsidRDefault="007F0AAD" w:rsidP="00085835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60"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6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Визначено подальше використання виробничого залишку</w:t>
            </w:r>
          </w:p>
        </w:tc>
      </w:tr>
      <w:tr w:rsidR="007F0AAD" w:rsidRPr="00E63580" w14:paraId="5C3E5628" w14:textId="77777777" w:rsidTr="0008583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53FCEE" w14:textId="77777777" w:rsidR="007F0AAD" w:rsidRDefault="007F0AAD" w:rsidP="00B80CD2">
            <w:pPr>
              <w:pStyle w:val="tevilnatoka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color w:val="000000" w:themeColor="text1"/>
                <w:lang w:val="uk-UA"/>
              </w:rPr>
            </w:pPr>
            <w:r w:rsidRPr="00501CC9">
              <w:rPr>
                <w:color w:val="000000" w:themeColor="text1"/>
                <w:lang w:val="uk-UA"/>
              </w:rPr>
              <w:t>Подальше використання виробничого залишку є визначеним, якщо:</w:t>
            </w:r>
          </w:p>
          <w:p w14:paraId="031B4175" w14:textId="77777777" w:rsidR="007F0AAD" w:rsidRPr="00501CC9" w:rsidRDefault="007F0AAD" w:rsidP="00B80CD2">
            <w:pPr>
              <w:pStyle w:val="tevilnatoka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lang w:val="uk-UA"/>
              </w:rPr>
            </w:pPr>
            <w:r w:rsidRPr="00501CC9">
              <w:rPr>
                <w:color w:val="000000" w:themeColor="text1"/>
                <w:lang w:val="uk-UA"/>
              </w:rPr>
              <w:t>існує договір (договори) між утворювачем виробничого залишку та кінцевим споживачем, з якого (яких) слідує</w:t>
            </w:r>
            <w:r w:rsidRPr="00501CC9">
              <w:rPr>
                <w:lang w:val="uk-UA"/>
              </w:rPr>
              <w:t>, що подальше використання виробничого залишку забезпечується; та</w:t>
            </w:r>
          </w:p>
          <w:p w14:paraId="47AAD6E2" w14:textId="77777777" w:rsidR="007F0AAD" w:rsidRPr="00501CC9" w:rsidRDefault="007F0AAD" w:rsidP="00B80CD2">
            <w:pPr>
              <w:pStyle w:val="tevilnatoka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color w:val="000000" w:themeColor="text1"/>
                <w:lang w:val="uk-UA"/>
              </w:rPr>
            </w:pPr>
            <w:r w:rsidRPr="00501CC9">
              <w:rPr>
                <w:color w:val="000000" w:themeColor="text1"/>
                <w:lang w:val="uk-UA"/>
              </w:rPr>
              <w:t xml:space="preserve">договір (договори) між утворювачем виробничого залишку та кінцевим споживачем </w:t>
            </w:r>
            <w:r w:rsidRPr="00501CC9">
              <w:rPr>
                <w:lang w:val="uk-UA"/>
              </w:rPr>
              <w:t>є відплатним(и)</w:t>
            </w:r>
            <w:r w:rsidRPr="00501CC9">
              <w:rPr>
                <w:color w:val="000000" w:themeColor="text1"/>
                <w:lang w:val="uk-UA"/>
              </w:rPr>
              <w:t>.</w:t>
            </w:r>
          </w:p>
          <w:p w14:paraId="00026A7C" w14:textId="77777777" w:rsidR="00E24FE3" w:rsidRDefault="007F0AAD" w:rsidP="00B80CD2">
            <w:pPr>
              <w:pStyle w:val="tevilnatoka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color w:val="000000" w:themeColor="text1"/>
                <w:lang w:val="uk-UA"/>
              </w:rPr>
            </w:pPr>
            <w:r w:rsidRPr="00501CC9">
              <w:rPr>
                <w:color w:val="000000" w:themeColor="text1"/>
                <w:lang w:val="uk-UA"/>
              </w:rPr>
              <w:t>Виробничий залишок, віднесений до  побічного продукту, повинен бути реалізований кінцевому споживачу у повному обсязі протягом трьох років з дати подання звіту про віднесення такого виробничого залишку до побічних продуктів, а у разі неподання – з дати, до якої звіт мав бути поданий, відповідно до Порядку віднесення речовин або предметів до побічних продуктів, затвердженого постановою Кабінету Міністрів України</w:t>
            </w:r>
            <w:r w:rsidR="00DA1EE8">
              <w:rPr>
                <w:color w:val="000000" w:themeColor="text1"/>
                <w:lang w:val="uk-UA"/>
              </w:rPr>
              <w:t>.</w:t>
            </w:r>
            <w:r w:rsidRPr="00501CC9">
              <w:rPr>
                <w:color w:val="000000" w:themeColor="text1"/>
                <w:lang w:val="uk-UA"/>
              </w:rPr>
              <w:t xml:space="preserve"> </w:t>
            </w:r>
          </w:p>
          <w:p w14:paraId="77BBBB02" w14:textId="77777777" w:rsidR="007F0AAD" w:rsidRPr="00501CC9" w:rsidRDefault="007F0AAD" w:rsidP="00B80CD2">
            <w:pPr>
              <w:pStyle w:val="tevilnatoka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color w:val="1A171C"/>
                <w:lang w:val="uk-UA"/>
              </w:rPr>
            </w:pPr>
            <w:r w:rsidRPr="00501CC9">
              <w:rPr>
                <w:color w:val="000000" w:themeColor="text1"/>
                <w:lang w:val="uk-UA"/>
              </w:rPr>
              <w:t xml:space="preserve">У разі зберігання виробничого залишку більше зазначеного </w:t>
            </w:r>
            <w:r w:rsidR="00DA1EE8">
              <w:rPr>
                <w:color w:val="000000" w:themeColor="text1"/>
                <w:lang w:val="uk-UA"/>
              </w:rPr>
              <w:t>строку, він вважається відходами</w:t>
            </w:r>
            <w:r w:rsidRPr="00501CC9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2431F" w14:textId="77777777" w:rsidR="007F0AAD" w:rsidRDefault="007F0AAD" w:rsidP="00B80CD2">
            <w:pPr>
              <w:tabs>
                <w:tab w:val="left" w:pos="1134"/>
              </w:tabs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  <w:p w14:paraId="09D5EC95" w14:textId="77777777" w:rsidR="00B13706" w:rsidRPr="00E7536E" w:rsidRDefault="007F0AAD" w:rsidP="00B80CD2">
            <w:pPr>
              <w:pStyle w:val="ab"/>
              <w:numPr>
                <w:ilvl w:val="0"/>
                <w:numId w:val="4"/>
              </w:numPr>
              <w:tabs>
                <w:tab w:val="left" w:pos="903"/>
              </w:tabs>
              <w:spacing w:before="120"/>
              <w:ind w:left="0" w:firstLine="4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договору (договорів) між утворювачем виробничого залишку та кінцевим споживачем, </w:t>
            </w:r>
            <w:r w:rsidR="00B13706" w:rsidRPr="00E75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</w:t>
            </w:r>
            <w:r w:rsidRPr="00E75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13706" w:rsidRPr="00E75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5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13706" w:rsidRPr="00E75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передбачає (</w:t>
            </w:r>
            <w:proofErr w:type="spellStart"/>
            <w:r w:rsidR="00B13706" w:rsidRPr="00E75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="00B13706" w:rsidRPr="00E75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):</w:t>
            </w:r>
          </w:p>
          <w:p w14:paraId="6EE1CE64" w14:textId="77777777" w:rsidR="007F0AAD" w:rsidRPr="00501CC9" w:rsidRDefault="007F0AAD" w:rsidP="00B80CD2">
            <w:pPr>
              <w:spacing w:before="120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подальше використання виро</w:t>
            </w:r>
            <w:r w:rsidR="00B1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бничого залишку забезпечується;</w:t>
            </w:r>
          </w:p>
          <w:p w14:paraId="67B7D05B" w14:textId="77777777" w:rsidR="00B13706" w:rsidRDefault="007F0AAD" w:rsidP="00B80CD2">
            <w:pPr>
              <w:tabs>
                <w:tab w:val="left" w:pos="1134"/>
              </w:tabs>
              <w:spacing w:before="120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власності на побічні продукти</w:t>
            </w:r>
            <w:r w:rsidR="00B1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1C120FB" w14:textId="77777777" w:rsidR="007F0AAD" w:rsidRPr="00501CC9" w:rsidRDefault="007F0AAD" w:rsidP="00B80CD2">
            <w:pPr>
              <w:tabs>
                <w:tab w:val="left" w:pos="1134"/>
              </w:tabs>
              <w:spacing w:before="120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 побічний продукт</w:t>
            </w:r>
            <w:r w:rsidR="00B1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91B0291" w14:textId="77777777" w:rsidR="007F0AAD" w:rsidRPr="00501CC9" w:rsidRDefault="00B941D4" w:rsidP="00B80CD2">
            <w:pPr>
              <w:tabs>
                <w:tab w:val="left" w:pos="1134"/>
              </w:tabs>
              <w:spacing w:before="120"/>
              <w:ind w:firstLine="458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  <w:lang w:val="uk-UA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F0AAD" w:rsidRPr="0050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запевнення (гарантійний лист) від кінцевого споживача в електронній чи письмовій формі, що він зобов’язується використати побічний продукт </w:t>
            </w:r>
            <w:r w:rsidR="00085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строк, який не перевищує</w:t>
            </w:r>
            <w:r w:rsidR="007F0AAD" w:rsidRPr="0050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трьох років з моменту його придбання.</w:t>
            </w:r>
          </w:p>
        </w:tc>
      </w:tr>
      <w:tr w:rsidR="007F0AAD" w:rsidRPr="00040480" w14:paraId="5B41D75C" w14:textId="77777777" w:rsidTr="00085835"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26F" w14:textId="77777777" w:rsidR="007F0AAD" w:rsidRPr="00501CC9" w:rsidRDefault="007F0AAD" w:rsidP="0058731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60" w:after="60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C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Виробничі залишки </w:t>
            </w:r>
            <w:r w:rsidR="0058731F" w:rsidRPr="002E06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можуть бути використані</w:t>
            </w:r>
            <w:r w:rsidR="00587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01C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вигляді, в якому вони були утворені, без подальшого оброблення, крім нормальної виробничої практики, пере</w:t>
            </w:r>
            <w:r w:rsidR="00501C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дбаченої галузевими стандартами</w:t>
            </w:r>
          </w:p>
        </w:tc>
      </w:tr>
      <w:tr w:rsidR="007F0AAD" w:rsidRPr="004B3683" w14:paraId="276883B3" w14:textId="77777777" w:rsidTr="0008583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8DD" w14:textId="77777777" w:rsidR="007F0AAD" w:rsidRPr="002E06D1" w:rsidRDefault="007F0AAD" w:rsidP="00B137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Цей критерій передбачає, що: </w:t>
            </w:r>
          </w:p>
          <w:p w14:paraId="175F541B" w14:textId="18585B4E" w:rsidR="007F0AAD" w:rsidRPr="001D0DE7" w:rsidRDefault="007F0AAD" w:rsidP="00B137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="00230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потрібне </w:t>
            </w: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подальше оброблення виробничих залишків перед їх використанням як побічного продукту і вони можуть бути використані в тому вигляді, в якому вони утворилися, або </w:t>
            </w:r>
          </w:p>
          <w:p w14:paraId="3F2A3DAA" w14:textId="57726B44" w:rsidR="007F0AAD" w:rsidRPr="001D0DE7" w:rsidRDefault="007F0AAD" w:rsidP="00B137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виробничого процесу до залишків можливе застосування таких операцій як фільтрація, промивання / очищення, сушіння, зміна розміру та форми, просіювання, змішування з іншими матеріалами, проведення контролю якості продукту тощо</w:t>
            </w:r>
            <w:r w:rsidRPr="002E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нормальної виробничої практики, передбаченої галузевими стандартами, технічними регламентами, </w:t>
            </w: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національними стандартами, кодексами усталеної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Нормальна виробнича практика не включає процеси, які здійснюються для видалення небезпечних речовин із виробничих залишків.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2E4" w14:textId="77777777" w:rsidR="007F0AAD" w:rsidRDefault="007F0AAD" w:rsidP="00B80CD2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Наявність:</w:t>
            </w:r>
          </w:p>
          <w:p w14:paraId="73864063" w14:textId="77777777" w:rsidR="007F0AAD" w:rsidRPr="001D0DE7" w:rsidRDefault="007F0AAD" w:rsidP="00B80CD2">
            <w:pPr>
              <w:spacing w:before="12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опис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виробничого процесу, який супроводжується технологічною схемою такого процесу, із зазначенням кожної стадію виробничого процесу. </w:t>
            </w:r>
          </w:p>
          <w:p w14:paraId="006114D3" w14:textId="52FFDC6D" w:rsidR="004B3683" w:rsidRPr="001D0DE7" w:rsidRDefault="007F0AAD" w:rsidP="00230A30">
            <w:pPr>
              <w:spacing w:before="12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обґрунтування, що додаткові операції при утворенні виробничих залишків є нормальною виробничою практикою, передбаченою галузевими стандартами, технічними регламентами, національними стандартами, кодексами усталеної практики (у випадку проведення таких додаткових операцій при утворенні виробничих залишків).</w:t>
            </w:r>
            <w:r w:rsidR="00230A30"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F0AAD" w:rsidRPr="00040480" w14:paraId="2DBE1712" w14:textId="77777777" w:rsidTr="00085835"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179" w14:textId="77777777" w:rsidR="007F0AAD" w:rsidRPr="00040480" w:rsidRDefault="007F0AAD" w:rsidP="00085835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60" w:after="60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06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Виробничі залишки утворюються як невід’ємна складова виробничого процесу</w:t>
            </w:r>
          </w:p>
        </w:tc>
      </w:tr>
      <w:tr w:rsidR="007F0AAD" w:rsidRPr="00230A30" w14:paraId="681B738A" w14:textId="77777777" w:rsidTr="0008583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79B" w14:textId="77777777" w:rsidR="007F0AAD" w:rsidRPr="001D0DE7" w:rsidRDefault="007F0AAD" w:rsidP="00B80CD2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віднесення виробничих залишків до побічних продуктів, вони повинні бути </w:t>
            </w: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утворені як невід’ємна складова виробничого процесу, тобто виробничий процес не може здійснюватися без утворення цих виробничих залишків.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CBF" w14:textId="77777777" w:rsidR="007F0AAD" w:rsidRPr="001D0DE7" w:rsidRDefault="007F0AAD" w:rsidP="00B80CD2">
            <w:pPr>
              <w:tabs>
                <w:tab w:val="left" w:pos="1134"/>
              </w:tabs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виробничого процесу, який супроводжується технологічною схемою такого процесу, із </w:t>
            </w:r>
            <w:r w:rsidRPr="0050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зазначенням кожної стадії виробничого процесу, з яких видно, що виробничий залишок утворився як </w:t>
            </w:r>
            <w:r w:rsidR="00264635" w:rsidRPr="0050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невід’ємна </w:t>
            </w:r>
            <w:r w:rsidRPr="0050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складова виробничого</w:t>
            </w:r>
            <w:r w:rsidRPr="001D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процесу.</w:t>
            </w:r>
          </w:p>
        </w:tc>
      </w:tr>
      <w:tr w:rsidR="007F0AAD" w:rsidRPr="00040480" w14:paraId="44285B37" w14:textId="77777777" w:rsidTr="00085835"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244" w14:textId="77777777" w:rsidR="007F0AAD" w:rsidRPr="001D0DE7" w:rsidRDefault="007F0AAD" w:rsidP="00085835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before="60" w:after="60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06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Виробничі залишки відповідають всім </w:t>
            </w:r>
            <w:bookmarkStart w:id="0" w:name="_Hlk125127064"/>
            <w:r w:rsidRPr="002E06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встановленим вимогам до продукції, а також вимогам щодо захисту здоров’я людей і охорони навколишнього природного середовища, їх використання не становить небезпеки для здоров’я людей та навколишнього природного середовища </w:t>
            </w:r>
            <w:bookmarkEnd w:id="0"/>
          </w:p>
        </w:tc>
      </w:tr>
      <w:tr w:rsidR="007F0AAD" w:rsidRPr="00230A30" w14:paraId="6F595E1B" w14:textId="77777777" w:rsidTr="0008583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5E1" w14:textId="007CACC8" w:rsidR="007F0AAD" w:rsidRPr="00484347" w:rsidRDefault="007F0AAD" w:rsidP="00B80CD2">
            <w:pPr>
              <w:pStyle w:val="a3"/>
              <w:tabs>
                <w:tab w:val="left" w:pos="1134"/>
              </w:tabs>
              <w:ind w:left="0" w:firstLine="5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встановленим вимогам до продукції передбачає, що виробничі залишки відповідають вимогам відповідного технічного регламенту, національного стандарту, міжнародного стандарту</w:t>
            </w:r>
            <w:r w:rsidR="00587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умов </w:t>
            </w:r>
            <w:r w:rsidR="00587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іншої </w:t>
            </w:r>
            <w:r w:rsidR="0058731F" w:rsidRPr="00DD0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специфікації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до продукції</w:t>
            </w:r>
            <w:r w:rsidR="00230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1" w:name="_GoBack"/>
            <w:bookmarkEnd w:id="1"/>
          </w:p>
          <w:p w14:paraId="495FEC5A" w14:textId="77777777" w:rsidR="007F0AAD" w:rsidRPr="00484347" w:rsidRDefault="007F0AAD" w:rsidP="00B80CD2">
            <w:pPr>
              <w:pStyle w:val="a3"/>
              <w:tabs>
                <w:tab w:val="left" w:pos="1134"/>
              </w:tabs>
              <w:ind w:left="0" w:firstLine="5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встановленим вимогам до продукції передбачає, що подальше використання побічного продукту відповідає вимогам відповідного технічного регламенту, національного стандарту, міжнародного стандарту</w:t>
            </w:r>
            <w:r w:rsidR="00587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умов </w:t>
            </w:r>
            <w:r w:rsidR="00587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іншої </w:t>
            </w:r>
            <w:r w:rsidR="0058731F" w:rsidRPr="00DD0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специфікації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</w:t>
            </w:r>
            <w:r w:rsidRPr="004843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продукції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FFB1CF2" w14:textId="77777777" w:rsidR="007F0AAD" w:rsidRPr="00484347" w:rsidRDefault="007F0AAD" w:rsidP="00B80CD2">
            <w:pPr>
              <w:pStyle w:val="a3"/>
              <w:tabs>
                <w:tab w:val="left" w:pos="1134"/>
              </w:tabs>
              <w:ind w:left="0" w:firstLine="5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встановленим вимогам до захисту здоров’я людей і охорони навколишнього природного середовища передбачає,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виробничі залишки та 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подальше використання побічного продукту не призвед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уть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несприятливого впливу на навколишнє природне середовище чи здоров'я людини та не 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 небезпеки для здоров’я людей та навколишнього природного  середовища.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177" w14:textId="77777777" w:rsidR="007F0AAD" w:rsidRDefault="007F0AAD" w:rsidP="00B80CD2">
            <w:pPr>
              <w:pStyle w:val="a3"/>
              <w:tabs>
                <w:tab w:val="left" w:pos="741"/>
              </w:tabs>
              <w:ind w:left="0" w:firstLine="45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  <w:p w14:paraId="1017BE52" w14:textId="77777777" w:rsidR="007F0AAD" w:rsidRPr="00484347" w:rsidRDefault="007F0AAD" w:rsidP="00B80CD2">
            <w:pPr>
              <w:pStyle w:val="a3"/>
              <w:numPr>
                <w:ilvl w:val="0"/>
                <w:numId w:val="1"/>
              </w:numPr>
              <w:tabs>
                <w:tab w:val="left" w:pos="741"/>
                <w:tab w:val="left" w:pos="1045"/>
              </w:tabs>
              <w:spacing w:before="120"/>
              <w:ind w:left="0" w:firstLine="45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відповідність системи управління якістю або системи екологічного управління стандартами Міжнародної організації із стандартизації (ISO) серії 9000 або серії 14000 відповідно чи за аналогічним національним стандартом; та</w:t>
            </w:r>
          </w:p>
          <w:p w14:paraId="79ED0C54" w14:textId="03D0759D" w:rsidR="007F0AAD" w:rsidRPr="00484347" w:rsidRDefault="007F0AAD" w:rsidP="00B80CD2">
            <w:pPr>
              <w:pStyle w:val="a3"/>
              <w:numPr>
                <w:ilvl w:val="0"/>
                <w:numId w:val="1"/>
              </w:numPr>
              <w:tabs>
                <w:tab w:val="left" w:pos="741"/>
                <w:tab w:val="left" w:pos="1045"/>
              </w:tabs>
              <w:spacing w:before="120"/>
              <w:ind w:left="0" w:firstLine="45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деклараці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виробника про відповідність та/або сертифікату чи іншого документу про відповідність від акредитованого органу з оцінки відповідності, який доводить, що матеріал або предмет відповідає вимогам, встановленим відповідним технічним регламентом, національним стандартом, міжнародним стандартом або технічними умовами </w:t>
            </w:r>
            <w:r w:rsidR="00121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іншою</w:t>
            </w:r>
            <w:r w:rsidR="00587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1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технічною специфікацією</w:t>
            </w:r>
            <w:r w:rsidRPr="0048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FEE9BB" w14:textId="77777777" w:rsidR="007F0AAD" w:rsidRPr="00484347" w:rsidRDefault="007F0AAD" w:rsidP="00A6086A">
            <w:pPr>
              <w:tabs>
                <w:tab w:val="left" w:pos="1134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27C3455" w14:textId="77777777" w:rsidR="00085835" w:rsidRDefault="00085835" w:rsidP="007F0AAD">
      <w:pPr>
        <w:pStyle w:val="a5"/>
        <w:shd w:val="clear" w:color="auto" w:fill="FFFFFF"/>
        <w:spacing w:before="0" w:beforeAutospacing="0" w:after="0" w:afterAutospacing="0"/>
        <w:jc w:val="center"/>
        <w:rPr>
          <w:color w:val="1A171C"/>
          <w:sz w:val="28"/>
          <w:szCs w:val="28"/>
          <w:lang w:val="uk-UA"/>
        </w:rPr>
      </w:pPr>
    </w:p>
    <w:p w14:paraId="01F08AE8" w14:textId="77777777" w:rsidR="00085835" w:rsidRDefault="00085835" w:rsidP="007F0AAD">
      <w:pPr>
        <w:pStyle w:val="a5"/>
        <w:shd w:val="clear" w:color="auto" w:fill="FFFFFF"/>
        <w:spacing w:before="0" w:beforeAutospacing="0" w:after="0" w:afterAutospacing="0"/>
        <w:jc w:val="center"/>
        <w:rPr>
          <w:color w:val="1A171C"/>
          <w:sz w:val="28"/>
          <w:szCs w:val="28"/>
          <w:lang w:val="uk-UA"/>
        </w:rPr>
      </w:pPr>
    </w:p>
    <w:p w14:paraId="040D9A96" w14:textId="77777777" w:rsidR="000E31D7" w:rsidRDefault="007F0AAD" w:rsidP="007F0AAD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color w:val="1A171C"/>
          <w:sz w:val="28"/>
          <w:szCs w:val="28"/>
          <w:lang w:val="uk-UA"/>
        </w:rPr>
        <w:t>_____________________________________________</w:t>
      </w:r>
    </w:p>
    <w:sectPr w:rsidR="000E31D7" w:rsidSect="0008484E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F85A2" w14:textId="77777777" w:rsidR="004712A6" w:rsidRDefault="004712A6" w:rsidP="007F0AAD">
      <w:pPr>
        <w:spacing w:after="0" w:line="240" w:lineRule="auto"/>
      </w:pPr>
      <w:r>
        <w:separator/>
      </w:r>
    </w:p>
  </w:endnote>
  <w:endnote w:type="continuationSeparator" w:id="0">
    <w:p w14:paraId="023FFB2A" w14:textId="77777777" w:rsidR="004712A6" w:rsidRDefault="004712A6" w:rsidP="007F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D9EA4" w14:textId="77777777" w:rsidR="004712A6" w:rsidRDefault="004712A6" w:rsidP="007F0AAD">
      <w:pPr>
        <w:spacing w:after="0" w:line="240" w:lineRule="auto"/>
      </w:pPr>
      <w:r>
        <w:separator/>
      </w:r>
    </w:p>
  </w:footnote>
  <w:footnote w:type="continuationSeparator" w:id="0">
    <w:p w14:paraId="476C89C3" w14:textId="77777777" w:rsidR="004712A6" w:rsidRDefault="004712A6" w:rsidP="007F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930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701574" w14:textId="77777777" w:rsidR="007F0AAD" w:rsidRPr="007F0AAD" w:rsidRDefault="007F0AA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0A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0A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0A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A30" w:rsidRPr="00230A30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7F0A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F3B33E" w14:textId="77777777" w:rsidR="007F0AAD" w:rsidRDefault="007F0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112B5"/>
    <w:multiLevelType w:val="hybridMultilevel"/>
    <w:tmpl w:val="17B87382"/>
    <w:lvl w:ilvl="0" w:tplc="C46E338E">
      <w:start w:val="1"/>
      <w:numFmt w:val="decimal"/>
      <w:lvlText w:val="%1)"/>
      <w:lvlJc w:val="left"/>
      <w:pPr>
        <w:ind w:left="1130" w:hanging="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150C8"/>
    <w:multiLevelType w:val="hybridMultilevel"/>
    <w:tmpl w:val="857670BC"/>
    <w:lvl w:ilvl="0" w:tplc="EF60E688">
      <w:start w:val="1"/>
      <w:numFmt w:val="decimal"/>
      <w:lvlText w:val="%1.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">
    <w:nsid w:val="40107410"/>
    <w:multiLevelType w:val="hybridMultilevel"/>
    <w:tmpl w:val="290AE822"/>
    <w:lvl w:ilvl="0" w:tplc="BD1ED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68602E"/>
    <w:multiLevelType w:val="hybridMultilevel"/>
    <w:tmpl w:val="91225170"/>
    <w:lvl w:ilvl="0" w:tplc="FFFFFFFF">
      <w:start w:val="1"/>
      <w:numFmt w:val="decimal"/>
      <w:lvlText w:val="%1."/>
      <w:lvlJc w:val="left"/>
      <w:pPr>
        <w:ind w:left="206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6"/>
    <w:rsid w:val="0008484E"/>
    <w:rsid w:val="00085835"/>
    <w:rsid w:val="000E31D7"/>
    <w:rsid w:val="001213D7"/>
    <w:rsid w:val="00123609"/>
    <w:rsid w:val="00230A30"/>
    <w:rsid w:val="002314F0"/>
    <w:rsid w:val="00237C83"/>
    <w:rsid w:val="00264635"/>
    <w:rsid w:val="002A05F0"/>
    <w:rsid w:val="00367071"/>
    <w:rsid w:val="00387C4D"/>
    <w:rsid w:val="004531F0"/>
    <w:rsid w:val="004712A6"/>
    <w:rsid w:val="004B3683"/>
    <w:rsid w:val="00501CC9"/>
    <w:rsid w:val="0055430B"/>
    <w:rsid w:val="0058731F"/>
    <w:rsid w:val="005F6F07"/>
    <w:rsid w:val="006625B3"/>
    <w:rsid w:val="006628D4"/>
    <w:rsid w:val="006C541C"/>
    <w:rsid w:val="00704AFD"/>
    <w:rsid w:val="007F0AAD"/>
    <w:rsid w:val="008163CD"/>
    <w:rsid w:val="00844DC4"/>
    <w:rsid w:val="00865FD5"/>
    <w:rsid w:val="00886F1D"/>
    <w:rsid w:val="00956746"/>
    <w:rsid w:val="009A79B0"/>
    <w:rsid w:val="00B13706"/>
    <w:rsid w:val="00B50C10"/>
    <w:rsid w:val="00B80CD2"/>
    <w:rsid w:val="00B941D4"/>
    <w:rsid w:val="00C73CAA"/>
    <w:rsid w:val="00CB7722"/>
    <w:rsid w:val="00D61A34"/>
    <w:rsid w:val="00DA1EE8"/>
    <w:rsid w:val="00E24FE3"/>
    <w:rsid w:val="00E7536E"/>
    <w:rsid w:val="00ED362A"/>
    <w:rsid w:val="00F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D507"/>
  <w15:chartTrackingRefBased/>
  <w15:docId w15:val="{BC32368A-DB7E-48A8-92B6-DB4835D6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7F0A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7F0AAD"/>
    <w:rPr>
      <w:lang w:val="ru-RU"/>
    </w:rPr>
  </w:style>
  <w:style w:type="table" w:styleId="a6">
    <w:name w:val="Table Grid"/>
    <w:basedOn w:val="a1"/>
    <w:uiPriority w:val="39"/>
    <w:rsid w:val="007F0A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vilnatoka">
    <w:name w:val="tevilnatoka"/>
    <w:basedOn w:val="a"/>
    <w:rsid w:val="007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0A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AD"/>
    <w:rPr>
      <w:lang w:val="ru-RU"/>
    </w:rPr>
  </w:style>
  <w:style w:type="paragraph" w:styleId="a9">
    <w:name w:val="footer"/>
    <w:basedOn w:val="a"/>
    <w:link w:val="aa"/>
    <w:uiPriority w:val="99"/>
    <w:unhideWhenUsed/>
    <w:rsid w:val="007F0A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AD"/>
    <w:rPr>
      <w:lang w:val="ru-RU"/>
    </w:rPr>
  </w:style>
  <w:style w:type="paragraph" w:styleId="ab">
    <w:name w:val="Body Text"/>
    <w:basedOn w:val="a"/>
    <w:link w:val="ac"/>
    <w:uiPriority w:val="1"/>
    <w:qFormat/>
    <w:rsid w:val="00E7536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9"/>
      <w:szCs w:val="19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E7536E"/>
    <w:rPr>
      <w:rFonts w:ascii="Georgia" w:eastAsia="Georgia" w:hAnsi="Georgia" w:cs="Georgia"/>
      <w:sz w:val="19"/>
      <w:szCs w:val="19"/>
      <w:lang w:val="en-US"/>
    </w:rPr>
  </w:style>
  <w:style w:type="character" w:styleId="ad">
    <w:name w:val="annotation reference"/>
    <w:basedOn w:val="a0"/>
    <w:uiPriority w:val="99"/>
    <w:semiHidden/>
    <w:unhideWhenUsed/>
    <w:rsid w:val="0058731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8731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8731F"/>
    <w:rPr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6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28D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3342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Баннікова Ірина Олександрівна</cp:lastModifiedBy>
  <cp:revision>24</cp:revision>
  <dcterms:created xsi:type="dcterms:W3CDTF">2023-02-23T09:33:00Z</dcterms:created>
  <dcterms:modified xsi:type="dcterms:W3CDTF">2023-03-24T13:41:00Z</dcterms:modified>
</cp:coreProperties>
</file>