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09" w:rsidRPr="00345661" w:rsidRDefault="00AF7E09" w:rsidP="00AF7E09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caps/>
          <w:sz w:val="28"/>
          <w:szCs w:val="28"/>
          <w:lang w:val="uk-UA"/>
        </w:rPr>
        <w:t>Пояснювальна записка</w:t>
      </w:r>
    </w:p>
    <w:p w:rsidR="00AF7E09" w:rsidRPr="00345661" w:rsidRDefault="00AF7E09" w:rsidP="00AF7E0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проекту постанови Кабінету Міністрів України </w:t>
      </w:r>
      <w:r w:rsidRPr="007631C5">
        <w:rPr>
          <w:rFonts w:ascii="Times New Roman" w:hAnsi="Times New Roman"/>
          <w:b/>
          <w:sz w:val="28"/>
          <w:szCs w:val="28"/>
          <w:lang w:val="uk-UA"/>
        </w:rPr>
        <w:t>«Про затвердження Порядку здійснення моніторингу та контролю об’єктів оброблення відходів»</w:t>
      </w:r>
    </w:p>
    <w:p w:rsidR="00AF7E09" w:rsidRPr="00345661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E09" w:rsidRPr="00345661" w:rsidRDefault="00AF7E09" w:rsidP="00AF7E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1. Мета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31C5">
        <w:rPr>
          <w:rFonts w:ascii="Times New Roman" w:hAnsi="Times New Roman"/>
          <w:sz w:val="28"/>
          <w:szCs w:val="28"/>
          <w:lang w:val="uk-UA"/>
        </w:rPr>
        <w:t>Метою проєкту постанови Кабінету Міністрів України «Про затвердження Порядку зді</w:t>
      </w:r>
      <w:r w:rsidR="00B33F97">
        <w:rPr>
          <w:rFonts w:ascii="Times New Roman" w:hAnsi="Times New Roman"/>
          <w:sz w:val="28"/>
          <w:szCs w:val="28"/>
          <w:lang w:val="uk-UA"/>
        </w:rPr>
        <w:t xml:space="preserve">йснення моніторингу </w:t>
      </w:r>
      <w:r w:rsidRPr="007631C5">
        <w:rPr>
          <w:rFonts w:ascii="Times New Roman" w:hAnsi="Times New Roman"/>
          <w:sz w:val="28"/>
          <w:szCs w:val="28"/>
          <w:lang w:val="uk-UA"/>
        </w:rPr>
        <w:t xml:space="preserve">об’єктів оброблення відходів» (далі – </w:t>
      </w:r>
      <w:proofErr w:type="spellStart"/>
      <w:r w:rsidRPr="007631C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631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33F97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7631C5">
        <w:rPr>
          <w:rFonts w:ascii="Times New Roman" w:hAnsi="Times New Roman"/>
          <w:sz w:val="28"/>
          <w:szCs w:val="28"/>
          <w:lang w:val="uk-UA"/>
        </w:rPr>
        <w:t>)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9FF">
        <w:rPr>
          <w:rFonts w:ascii="Times New Roman" w:hAnsi="Times New Roman"/>
          <w:sz w:val="28"/>
          <w:szCs w:val="28"/>
          <w:lang w:val="uk-UA"/>
        </w:rPr>
        <w:t>визначення основних вимог до організації зд</w:t>
      </w:r>
      <w:r w:rsidR="00B33F97">
        <w:rPr>
          <w:rFonts w:ascii="Times New Roman" w:hAnsi="Times New Roman"/>
          <w:sz w:val="28"/>
          <w:szCs w:val="28"/>
          <w:lang w:val="uk-UA"/>
        </w:rPr>
        <w:t xml:space="preserve">ійснення моніторингу </w:t>
      </w:r>
      <w:r w:rsidRPr="00A279FF">
        <w:rPr>
          <w:rFonts w:ascii="Times New Roman" w:hAnsi="Times New Roman"/>
          <w:sz w:val="28"/>
          <w:szCs w:val="28"/>
          <w:lang w:val="uk-UA"/>
        </w:rPr>
        <w:t xml:space="preserve"> об’єктів оброблення відходів для спостереження за станом навколишнього природного середовища та </w:t>
      </w:r>
      <w:r w:rsidR="008A72BF">
        <w:rPr>
          <w:rFonts w:ascii="Times New Roman" w:hAnsi="Times New Roman"/>
          <w:sz w:val="28"/>
          <w:szCs w:val="28"/>
          <w:lang w:val="uk-UA"/>
        </w:rPr>
        <w:t>рівнем</w:t>
      </w:r>
      <w:r w:rsidRPr="00A279FF">
        <w:rPr>
          <w:rFonts w:ascii="Times New Roman" w:hAnsi="Times New Roman"/>
          <w:sz w:val="28"/>
          <w:szCs w:val="28"/>
          <w:lang w:val="uk-UA"/>
        </w:rPr>
        <w:t xml:space="preserve"> його ймовірного забруднення на ст</w:t>
      </w:r>
      <w:r w:rsidR="00054A1D">
        <w:rPr>
          <w:rFonts w:ascii="Times New Roman" w:hAnsi="Times New Roman"/>
          <w:sz w:val="28"/>
          <w:szCs w:val="28"/>
          <w:lang w:val="uk-UA"/>
        </w:rPr>
        <w:t>аціонарному джерелі забруднення.</w:t>
      </w:r>
    </w:p>
    <w:p w:rsidR="00AF7E09" w:rsidRPr="00345661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E09" w:rsidRPr="00345661" w:rsidRDefault="00AF7E09" w:rsidP="00AF7E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345661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39549876"/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33F97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розроблено </w:t>
      </w:r>
      <w:r w:rsidRPr="007631C5">
        <w:rPr>
          <w:rFonts w:ascii="Times New Roman" w:hAnsi="Times New Roman"/>
          <w:sz w:val="28"/>
          <w:szCs w:val="28"/>
          <w:lang w:val="uk-UA"/>
        </w:rPr>
        <w:t xml:space="preserve">на виконання пункту 4 частини дванадцятої </w:t>
      </w:r>
      <w:r w:rsidR="008A72BF">
        <w:rPr>
          <w:rFonts w:ascii="Times New Roman" w:hAnsi="Times New Roman"/>
          <w:sz w:val="28"/>
          <w:szCs w:val="28"/>
          <w:lang w:val="uk-UA"/>
        </w:rPr>
        <w:br/>
      </w:r>
      <w:r w:rsidRPr="007631C5">
        <w:rPr>
          <w:rFonts w:ascii="Times New Roman" w:hAnsi="Times New Roman"/>
          <w:sz w:val="28"/>
          <w:szCs w:val="28"/>
          <w:lang w:val="uk-UA"/>
        </w:rPr>
        <w:t xml:space="preserve">статті 42 Закону України «Про управління відходами» </w:t>
      </w:r>
      <w:r w:rsidR="00B33F97">
        <w:rPr>
          <w:rFonts w:ascii="Times New Roman" w:hAnsi="Times New Roman"/>
          <w:sz w:val="28"/>
          <w:szCs w:val="28"/>
          <w:lang w:val="uk-UA"/>
        </w:rPr>
        <w:t>для</w:t>
      </w:r>
      <w:r w:rsidRPr="007631C5">
        <w:rPr>
          <w:rFonts w:ascii="Times New Roman" w:hAnsi="Times New Roman"/>
          <w:sz w:val="28"/>
          <w:szCs w:val="28"/>
          <w:lang w:val="uk-UA"/>
        </w:rPr>
        <w:t xml:space="preserve"> створення правового механізму щодо здійснення моніторингу об’єктів оброблення відходів для ефективного впровадження реформи управління відходами</w:t>
      </w:r>
      <w:r>
        <w:rPr>
          <w:rFonts w:ascii="Times New Roman" w:hAnsi="Times New Roman"/>
          <w:sz w:val="28"/>
          <w:szCs w:val="28"/>
          <w:lang w:val="uk-UA"/>
        </w:rPr>
        <w:t>, що узгоджуються з європейськими вимогами, зокрема:</w:t>
      </w:r>
    </w:p>
    <w:p w:rsidR="00AF7E09" w:rsidRPr="00FC6E84" w:rsidRDefault="00AF7E09" w:rsidP="00B33F9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6E84">
        <w:rPr>
          <w:rFonts w:ascii="Times New Roman" w:hAnsi="Times New Roman"/>
          <w:bCs/>
          <w:sz w:val="28"/>
          <w:szCs w:val="28"/>
          <w:lang w:val="uk-UA"/>
        </w:rPr>
        <w:t xml:space="preserve">Директивою Європейського Парламенту та Ради 2008/98/ЄС </w:t>
      </w:r>
      <w:r>
        <w:rPr>
          <w:rFonts w:ascii="Times New Roman" w:hAnsi="Times New Roman"/>
          <w:bCs/>
          <w:sz w:val="28"/>
          <w:szCs w:val="28"/>
          <w:lang w:val="uk-UA"/>
        </w:rPr>
        <w:br/>
      </w:r>
      <w:r w:rsidRPr="00FC6E84">
        <w:rPr>
          <w:rFonts w:ascii="Times New Roman" w:hAnsi="Times New Roman"/>
          <w:bCs/>
          <w:sz w:val="28"/>
          <w:szCs w:val="28"/>
          <w:lang w:val="uk-UA"/>
        </w:rPr>
        <w:t>від 19 листопада 2008 року про відходи та скасування директив;</w:t>
      </w:r>
    </w:p>
    <w:p w:rsidR="00AF7E09" w:rsidRPr="00FC6E84" w:rsidRDefault="00AF7E09" w:rsidP="00B33F9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6E84">
        <w:rPr>
          <w:rFonts w:ascii="Times New Roman" w:hAnsi="Times New Roman"/>
          <w:bCs/>
          <w:sz w:val="28"/>
          <w:szCs w:val="28"/>
          <w:lang w:val="uk-UA"/>
        </w:rPr>
        <w:t xml:space="preserve">Директивою Європейського Парламенту та Ради 1999/31/ЄС </w:t>
      </w:r>
      <w:r>
        <w:rPr>
          <w:rFonts w:ascii="Times New Roman" w:hAnsi="Times New Roman"/>
          <w:bCs/>
          <w:sz w:val="28"/>
          <w:szCs w:val="28"/>
          <w:lang w:val="uk-UA"/>
        </w:rPr>
        <w:br/>
      </w:r>
      <w:r w:rsidRPr="00FC6E84">
        <w:rPr>
          <w:rFonts w:ascii="Times New Roman" w:hAnsi="Times New Roman"/>
          <w:bCs/>
          <w:sz w:val="28"/>
          <w:szCs w:val="28"/>
          <w:lang w:val="uk-UA"/>
        </w:rPr>
        <w:t>від 26 квітня 1999 року про захоронення відходів;</w:t>
      </w:r>
    </w:p>
    <w:p w:rsidR="00AF7E09" w:rsidRPr="00FC6E84" w:rsidRDefault="00AF7E09" w:rsidP="00B33F9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6E84">
        <w:rPr>
          <w:rFonts w:ascii="Times New Roman" w:hAnsi="Times New Roman"/>
          <w:bCs/>
          <w:sz w:val="28"/>
          <w:szCs w:val="28"/>
          <w:lang w:val="uk-UA"/>
        </w:rPr>
        <w:t xml:space="preserve">Директивою Європейського Парламенту та Ради 2010/75/ЄС </w:t>
      </w:r>
      <w:r>
        <w:rPr>
          <w:rFonts w:ascii="Times New Roman" w:hAnsi="Times New Roman"/>
          <w:bCs/>
          <w:sz w:val="28"/>
          <w:szCs w:val="28"/>
          <w:lang w:val="uk-UA"/>
        </w:rPr>
        <w:br/>
      </w:r>
      <w:r w:rsidRPr="00FC6E84">
        <w:rPr>
          <w:rFonts w:ascii="Times New Roman" w:hAnsi="Times New Roman"/>
          <w:bCs/>
          <w:sz w:val="28"/>
          <w:szCs w:val="28"/>
          <w:lang w:val="uk-UA"/>
        </w:rPr>
        <w:t>від 24 листопада 2010 року про промислові викиди (інтегрований підхід до запобігання забрудненню та його контролю).</w:t>
      </w:r>
    </w:p>
    <w:bookmarkEnd w:id="0"/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того, </w:t>
      </w:r>
      <w:proofErr w:type="spellStart"/>
      <w:r w:rsidR="00B33F97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визначене відповідальним за виконання завдань, передбачених пунктами 1763 та 1768 </w:t>
      </w:r>
      <w:r w:rsidRPr="00542DFB">
        <w:rPr>
          <w:rFonts w:ascii="Times New Roman" w:hAnsi="Times New Roman"/>
          <w:sz w:val="28"/>
          <w:szCs w:val="28"/>
          <w:lang w:val="uk-UA"/>
        </w:rPr>
        <w:t>Плану заходів з виконання Угоди про асоціацію, затвердженого постановою Кабінету Міністрів України від 25 жовтня 2017 року № 1106</w:t>
      </w:r>
      <w:bookmarkStart w:id="1" w:name="_Hlk138068186"/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1"/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E09" w:rsidRPr="00345661" w:rsidRDefault="00AF7E09" w:rsidP="00AF7E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Основні положення проє</w:t>
      </w:r>
      <w:r w:rsidRPr="00345661">
        <w:rPr>
          <w:rFonts w:ascii="Times New Roman" w:hAnsi="Times New Roman"/>
          <w:b/>
          <w:sz w:val="28"/>
          <w:szCs w:val="28"/>
          <w:lang w:val="uk-UA"/>
        </w:rPr>
        <w:t xml:space="preserve">кту </w:t>
      </w:r>
      <w:proofErr w:type="spellStart"/>
      <w:r w:rsidRPr="00345661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</w:p>
    <w:p w:rsidR="00AF7E09" w:rsidRPr="0072648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6489">
        <w:rPr>
          <w:rFonts w:ascii="Times New Roman" w:hAnsi="Times New Roman"/>
          <w:sz w:val="28"/>
          <w:szCs w:val="28"/>
          <w:lang w:val="uk-UA"/>
        </w:rPr>
        <w:t>пропонується затвердити порядок здійснення моніторингу об’єктів оброблення відходів.</w:t>
      </w:r>
    </w:p>
    <w:p w:rsidR="00AF7E09" w:rsidRPr="0072648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6489">
        <w:rPr>
          <w:rFonts w:ascii="Times New Roman" w:hAnsi="Times New Roman"/>
          <w:sz w:val="28"/>
          <w:szCs w:val="28"/>
          <w:lang w:val="uk-UA"/>
        </w:rPr>
        <w:t xml:space="preserve">Об’єктами моніторингу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 </w:t>
      </w:r>
      <w:r w:rsidR="00054A1D" w:rsidRPr="008A72BF">
        <w:rPr>
          <w:rFonts w:ascii="Times New Roman" w:eastAsia="Times New Roman" w:hAnsi="Times New Roman" w:cs="Times New Roman"/>
          <w:sz w:val="28"/>
          <w:szCs w:val="28"/>
          <w:lang w:val="uk-UA"/>
        </w:rPr>
        <w:t>навколишнє природнє середовище території об’єкта оброблення відходів або територій, в межах впливу прилеглих до такого об’єкта оброблення відходів, які можуть зазнавати потенційного негативного</w:t>
      </w:r>
      <w:r w:rsidR="008A7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</w:t>
      </w:r>
      <w:r w:rsidRPr="00726489">
        <w:rPr>
          <w:rFonts w:ascii="Times New Roman" w:hAnsi="Times New Roman"/>
          <w:sz w:val="28"/>
          <w:szCs w:val="28"/>
          <w:lang w:val="uk-UA"/>
        </w:rPr>
        <w:t>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E09" w:rsidRPr="00345661" w:rsidRDefault="00AF7E09" w:rsidP="00AF7E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4. Правові аспекти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311BD">
        <w:rPr>
          <w:rFonts w:ascii="Times New Roman" w:hAnsi="Times New Roman"/>
          <w:bCs/>
          <w:sz w:val="28"/>
          <w:szCs w:val="28"/>
          <w:lang w:val="uk-UA"/>
        </w:rPr>
        <w:t>У цій сфері правового регулювання діють:</w:t>
      </w:r>
    </w:p>
    <w:p w:rsidR="00AF7E09" w:rsidRPr="00A279FF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1) </w:t>
      </w:r>
      <w:r w:rsidRPr="00DF2755">
        <w:rPr>
          <w:rFonts w:ascii="Times New Roman" w:hAnsi="Times New Roman"/>
          <w:bCs/>
          <w:sz w:val="28"/>
          <w:szCs w:val="28"/>
          <w:lang w:val="uk-UA"/>
        </w:rPr>
        <w:t>Угод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DF2755">
        <w:rPr>
          <w:rFonts w:ascii="Times New Roman" w:hAnsi="Times New Roman"/>
          <w:bCs/>
          <w:sz w:val="28"/>
          <w:szCs w:val="28"/>
          <w:lang w:val="uk-UA"/>
        </w:rPr>
        <w:t xml:space="preserve">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</w:t>
      </w:r>
      <w:r>
        <w:rPr>
          <w:rFonts w:ascii="Times New Roman" w:hAnsi="Times New Roman"/>
          <w:bCs/>
          <w:sz w:val="28"/>
          <w:szCs w:val="28"/>
          <w:lang w:val="uk-UA"/>
        </w:rPr>
        <w:t>, ратифікована</w:t>
      </w:r>
      <w:r w:rsidRPr="00A279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F2755">
        <w:rPr>
          <w:rFonts w:ascii="Times New Roman" w:hAnsi="Times New Roman"/>
          <w:bCs/>
          <w:sz w:val="28"/>
          <w:szCs w:val="28"/>
          <w:lang w:val="uk-UA"/>
        </w:rPr>
        <w:t>Закон</w:t>
      </w:r>
      <w:r>
        <w:rPr>
          <w:rFonts w:ascii="Times New Roman" w:hAnsi="Times New Roman"/>
          <w:bCs/>
          <w:sz w:val="28"/>
          <w:szCs w:val="28"/>
          <w:lang w:val="uk-UA"/>
        </w:rPr>
        <w:t>ом</w:t>
      </w:r>
      <w:r w:rsidRPr="00DF2755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 16 вересня 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bCs/>
          <w:sz w:val="28"/>
          <w:szCs w:val="28"/>
          <w:lang w:val="uk-UA"/>
        </w:rPr>
        <w:t>2014 року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№1678-</w:t>
      </w: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2) </w:t>
      </w:r>
      <w:r w:rsidRPr="006869AD">
        <w:rPr>
          <w:rFonts w:ascii="Times New Roman" w:hAnsi="Times New Roman"/>
          <w:bCs/>
          <w:sz w:val="28"/>
          <w:szCs w:val="28"/>
          <w:lang w:val="uk-UA"/>
        </w:rPr>
        <w:t>Закон України «Про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охорону навколишнього природного середовища</w:t>
      </w:r>
      <w:r w:rsidRPr="006869AD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3) </w:t>
      </w:r>
      <w:r w:rsidRPr="00DF2755">
        <w:rPr>
          <w:rFonts w:ascii="Times New Roman" w:hAnsi="Times New Roman"/>
          <w:bCs/>
          <w:sz w:val="28"/>
          <w:szCs w:val="28"/>
          <w:lang w:val="uk-UA"/>
        </w:rPr>
        <w:t>Закон Укр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t>аїни «Про управління відходами».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E09" w:rsidRPr="00345661" w:rsidRDefault="00AF7E09" w:rsidP="00AF7E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5. Фінансово-економічне обґрунтування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положень проє</w:t>
      </w:r>
      <w:r w:rsidRPr="00765FE3">
        <w:rPr>
          <w:rFonts w:ascii="Times New Roman" w:hAnsi="Times New Roman"/>
          <w:sz w:val="28"/>
          <w:szCs w:val="28"/>
          <w:lang w:val="uk-UA"/>
        </w:rPr>
        <w:t xml:space="preserve">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765FE3">
        <w:rPr>
          <w:rFonts w:ascii="Times New Roman" w:hAnsi="Times New Roman"/>
          <w:sz w:val="28"/>
          <w:szCs w:val="28"/>
          <w:lang w:val="uk-UA"/>
        </w:rPr>
        <w:t xml:space="preserve"> не потребує додаткових фінансових витрат з державного або місцевого бюджетів.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C71E18">
        <w:rPr>
          <w:rFonts w:ascii="Times New Roman" w:hAnsi="Times New Roman"/>
          <w:sz w:val="28"/>
          <w:szCs w:val="28"/>
          <w:lang w:val="uk-UA"/>
        </w:rPr>
        <w:t xml:space="preserve">інансування заходів з моніторингу </w:t>
      </w:r>
      <w:r>
        <w:rPr>
          <w:rFonts w:ascii="Times New Roman" w:hAnsi="Times New Roman"/>
          <w:sz w:val="28"/>
          <w:szCs w:val="28"/>
          <w:lang w:val="uk-UA"/>
        </w:rPr>
        <w:t xml:space="preserve">та контролю </w:t>
      </w:r>
      <w:r w:rsidRPr="00C71E18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71E18">
        <w:rPr>
          <w:rFonts w:ascii="Times New Roman" w:hAnsi="Times New Roman"/>
          <w:sz w:val="28"/>
          <w:szCs w:val="28"/>
          <w:lang w:val="uk-UA"/>
        </w:rPr>
        <w:t xml:space="preserve"> оброблення відходів здійснюється за рахунок власних коштів суб’єктів господарювання у сфері управління відходами, які експлуатують об’єкт оброблення відходів, незалежно від форм власності та організаційно-правових форм, а також з  інших джерел, не заборонених законодавством.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E09" w:rsidRPr="00345661" w:rsidRDefault="00AF7E09" w:rsidP="00AF7E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6. Позиція заінтересованих сторін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745">
        <w:rPr>
          <w:rFonts w:ascii="Times New Roman" w:hAnsi="Times New Roman"/>
          <w:sz w:val="28"/>
          <w:szCs w:val="28"/>
          <w:lang w:val="uk-UA"/>
        </w:rPr>
        <w:t>не стосується питань функціонування соціально-трудової сфери, прав осіб з інвалідністю, функціонування і застосування укр</w:t>
      </w:r>
      <w:r>
        <w:rPr>
          <w:rFonts w:ascii="Times New Roman" w:hAnsi="Times New Roman"/>
          <w:sz w:val="28"/>
          <w:szCs w:val="28"/>
          <w:lang w:val="uk-UA"/>
        </w:rPr>
        <w:t>аїнської мови як державної та</w:t>
      </w:r>
      <w:r w:rsidRPr="00CD47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 потребує погодження </w:t>
      </w:r>
      <w:r w:rsidRPr="00CD4745">
        <w:rPr>
          <w:rFonts w:ascii="Times New Roman" w:hAnsi="Times New Roman"/>
          <w:sz w:val="28"/>
          <w:szCs w:val="28"/>
          <w:lang w:val="uk-UA"/>
        </w:rPr>
        <w:t>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CD4745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Pr="00CD47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CD4745">
        <w:rPr>
          <w:rFonts w:ascii="Times New Roman" w:hAnsi="Times New Roman"/>
          <w:sz w:val="28"/>
          <w:szCs w:val="28"/>
          <w:lang w:val="uk-UA"/>
        </w:rPr>
        <w:t xml:space="preserve"> не стосується сфери наукової та науково-технічної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745">
        <w:rPr>
          <w:rFonts w:ascii="Times New Roman" w:hAnsi="Times New Roman"/>
          <w:sz w:val="28"/>
          <w:szCs w:val="28"/>
          <w:lang w:val="uk-UA"/>
        </w:rPr>
        <w:t>і не потребує консультацій із Науковим комітетом Національної ради з питань розвитку науки і технологій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A1D" w:rsidRPr="00FC6E84" w:rsidRDefault="007D1E73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1E73">
        <w:rPr>
          <w:rFonts w:ascii="Times New Roman" w:hAnsi="Times New Roman"/>
          <w:sz w:val="28"/>
          <w:szCs w:val="28"/>
          <w:lang w:val="uk-UA"/>
        </w:rPr>
        <w:t xml:space="preserve">З огляду на положення абзацу вісімнадцятого частини </w:t>
      </w:r>
      <w:r w:rsidR="008A72BF">
        <w:rPr>
          <w:rFonts w:ascii="Times New Roman" w:hAnsi="Times New Roman"/>
          <w:sz w:val="28"/>
          <w:szCs w:val="28"/>
          <w:lang w:val="uk-UA"/>
        </w:rPr>
        <w:t>другої статті 3 Закону України «</w:t>
      </w:r>
      <w:r w:rsidRPr="007D1E73">
        <w:rPr>
          <w:rFonts w:ascii="Times New Roman" w:hAnsi="Times New Roman"/>
          <w:sz w:val="28"/>
          <w:szCs w:val="28"/>
          <w:lang w:val="uk-UA"/>
        </w:rPr>
        <w:t>Про засади державної регуляторної політики у</w:t>
      </w:r>
      <w:r w:rsidR="008A72BF">
        <w:rPr>
          <w:rFonts w:ascii="Times New Roman" w:hAnsi="Times New Roman"/>
          <w:sz w:val="28"/>
          <w:szCs w:val="28"/>
          <w:lang w:val="uk-UA"/>
        </w:rPr>
        <w:t xml:space="preserve"> сфері господарської діяльності»</w:t>
      </w:r>
      <w:r w:rsidRPr="007D1E73">
        <w:rPr>
          <w:rFonts w:ascii="Times New Roman" w:hAnsi="Times New Roman"/>
          <w:sz w:val="28"/>
          <w:szCs w:val="28"/>
          <w:lang w:val="uk-UA"/>
        </w:rPr>
        <w:t xml:space="preserve">, згідно з яким його дія не поширюється на здійснення регуляторної діяльності, пов’язаної з прийняттям нормативно-правових актів, що містять положення, спрямовані на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 – членами, з іншої сторони, у тому числі додатків до неї, </w:t>
      </w:r>
      <w:proofErr w:type="spellStart"/>
      <w:r w:rsidRPr="007D1E7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D1E7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72BF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7D1E73">
        <w:rPr>
          <w:rFonts w:ascii="Times New Roman" w:hAnsi="Times New Roman"/>
          <w:sz w:val="28"/>
          <w:szCs w:val="28"/>
          <w:lang w:val="uk-UA"/>
        </w:rPr>
        <w:t xml:space="preserve"> не потребує погодження з Державною регуляторною службою України.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F7E09" w:rsidRPr="00345661" w:rsidRDefault="00AF7E09" w:rsidP="00AF7E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7. Оцінка відповідності</w:t>
      </w:r>
    </w:p>
    <w:p w:rsidR="00AF7E09" w:rsidRPr="00D93932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745">
        <w:rPr>
          <w:rFonts w:ascii="Times New Roman" w:hAnsi="Times New Roman"/>
          <w:bCs/>
          <w:sz w:val="28"/>
          <w:szCs w:val="28"/>
          <w:lang w:val="uk-UA"/>
        </w:rPr>
        <w:t>містить положення, що стосуються зобов’язань України у сфері європейської інтеграції</w:t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>, зокрема:</w:t>
      </w:r>
    </w:p>
    <w:p w:rsidR="00AF7E09" w:rsidRPr="00D93932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3932">
        <w:rPr>
          <w:rFonts w:ascii="Times New Roman" w:hAnsi="Times New Roman"/>
          <w:bCs/>
          <w:sz w:val="28"/>
          <w:szCs w:val="28"/>
          <w:lang w:val="uk-UA"/>
        </w:rPr>
        <w:lastRenderedPageBreak/>
        <w:tab/>
        <w:t>Директив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 xml:space="preserve"> Європейського Парламенту та Ради 2008/98/ЄС 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br/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>від 19 листопада 2008 року про відходи та скасування директив;</w:t>
      </w:r>
    </w:p>
    <w:p w:rsidR="00AF7E09" w:rsidRPr="00D93932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93932">
        <w:rPr>
          <w:rFonts w:ascii="Times New Roman" w:hAnsi="Times New Roman"/>
          <w:bCs/>
          <w:sz w:val="28"/>
          <w:szCs w:val="28"/>
          <w:lang w:val="uk-UA"/>
        </w:rPr>
        <w:tab/>
        <w:t>Директив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 xml:space="preserve"> Європейського Парламенту та Ради 1999/31/ЄС </w:t>
      </w:r>
      <w:r w:rsidR="00B33F97">
        <w:rPr>
          <w:rFonts w:ascii="Times New Roman" w:hAnsi="Times New Roman"/>
          <w:bCs/>
          <w:sz w:val="28"/>
          <w:szCs w:val="28"/>
          <w:lang w:val="uk-UA"/>
        </w:rPr>
        <w:br/>
      </w:r>
      <w:r w:rsidRPr="00D93932">
        <w:rPr>
          <w:rFonts w:ascii="Times New Roman" w:hAnsi="Times New Roman"/>
          <w:bCs/>
          <w:sz w:val="28"/>
          <w:szCs w:val="28"/>
          <w:lang w:val="uk-UA"/>
        </w:rPr>
        <w:t>від 26 квітня 1999 року про захоронення відходів;</w:t>
      </w:r>
    </w:p>
    <w:p w:rsidR="00AF7E09" w:rsidRDefault="00B33F97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AF7E09" w:rsidRPr="00D93932">
        <w:rPr>
          <w:rFonts w:ascii="Times New Roman" w:hAnsi="Times New Roman"/>
          <w:bCs/>
          <w:sz w:val="28"/>
          <w:szCs w:val="28"/>
          <w:lang w:val="uk-UA"/>
        </w:rPr>
        <w:t>Директив</w:t>
      </w:r>
      <w:r w:rsidR="00AF7E09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AF7E09" w:rsidRPr="00D93932">
        <w:rPr>
          <w:rFonts w:ascii="Times New Roman" w:hAnsi="Times New Roman"/>
          <w:bCs/>
          <w:sz w:val="28"/>
          <w:szCs w:val="28"/>
          <w:lang w:val="uk-UA"/>
        </w:rPr>
        <w:t xml:space="preserve"> Європейського Парламенту та Ради 2010/75/ЄС </w:t>
      </w:r>
      <w:r>
        <w:rPr>
          <w:rFonts w:ascii="Times New Roman" w:hAnsi="Times New Roman"/>
          <w:bCs/>
          <w:sz w:val="28"/>
          <w:szCs w:val="28"/>
          <w:lang w:val="uk-UA"/>
        </w:rPr>
        <w:br/>
      </w:r>
      <w:r w:rsidR="00AF7E09" w:rsidRPr="00D93932">
        <w:rPr>
          <w:rFonts w:ascii="Times New Roman" w:hAnsi="Times New Roman"/>
          <w:bCs/>
          <w:sz w:val="28"/>
          <w:szCs w:val="28"/>
          <w:lang w:val="uk-UA"/>
        </w:rPr>
        <w:t>від 24 листопада 2010 року про промислові викиди (інтегрований підхід до запобігання забрудненню та його контролю).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не містить положень, 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>що стосуються прав та свобод, гарантованих Конвенцією про захист прав людини і основоположних свобод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>впливає на забезпечення рівних прав т</w:t>
      </w:r>
      <w:r>
        <w:rPr>
          <w:rFonts w:ascii="Times New Roman" w:hAnsi="Times New Roman"/>
          <w:bCs/>
          <w:sz w:val="28"/>
          <w:szCs w:val="28"/>
          <w:lang w:val="uk-UA"/>
        </w:rPr>
        <w:t>а можливостей жінок і чоловіків,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 xml:space="preserve"> на ринок праці,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>не містить положень, які порушують принцип забезпечення рівних прав та можливостей жінок і чоловіків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Норми проє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>кту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CE5EA8">
        <w:rPr>
          <w:rFonts w:ascii="Times New Roman" w:hAnsi="Times New Roman"/>
          <w:bCs/>
          <w:sz w:val="28"/>
          <w:szCs w:val="28"/>
          <w:lang w:val="uk-UA"/>
        </w:rPr>
        <w:t xml:space="preserve"> не містять ризики вчинення корупційних правопорушень та правопорушень, пов’язаних з корупцією; відсутні положення, які створюють підстави для дискримінації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акта</w:t>
      </w:r>
      <w:proofErr w:type="spellEnd"/>
      <w:r w:rsidRPr="00CE5EA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буде направлено</w:t>
      </w:r>
      <w:r w:rsidRPr="00CE5EA8">
        <w:rPr>
          <w:rFonts w:ascii="Times New Roman" w:hAnsi="Times New Roman"/>
          <w:bCs/>
          <w:sz w:val="28"/>
          <w:szCs w:val="28"/>
          <w:lang w:val="uk-UA"/>
        </w:rPr>
        <w:t xml:space="preserve"> до Національного агентства з питань запобігання корупції </w:t>
      </w:r>
      <w:r w:rsidRPr="006E47F6">
        <w:rPr>
          <w:rFonts w:ascii="Times New Roman" w:hAnsi="Times New Roman"/>
          <w:bCs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визначення необхідності </w:t>
      </w:r>
      <w:r w:rsidRPr="006E47F6">
        <w:rPr>
          <w:rFonts w:ascii="Times New Roman" w:hAnsi="Times New Roman"/>
          <w:bCs/>
          <w:sz w:val="28"/>
          <w:szCs w:val="28"/>
          <w:lang w:val="uk-UA"/>
        </w:rPr>
        <w:t>проведення антикорупційної експертизи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E5EA8">
        <w:rPr>
          <w:rFonts w:ascii="Times New Roman" w:hAnsi="Times New Roman"/>
          <w:bCs/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 w:rsidRPr="00CE5EA8">
        <w:rPr>
          <w:rFonts w:ascii="Times New Roman" w:hAnsi="Times New Roman"/>
          <w:bCs/>
          <w:sz w:val="28"/>
          <w:szCs w:val="28"/>
          <w:lang w:val="uk-UA"/>
        </w:rPr>
        <w:t>антидискримінаційна</w:t>
      </w:r>
      <w:proofErr w:type="spellEnd"/>
      <w:r w:rsidRPr="00CE5EA8">
        <w:rPr>
          <w:rFonts w:ascii="Times New Roman" w:hAnsi="Times New Roman"/>
          <w:bCs/>
          <w:sz w:val="28"/>
          <w:szCs w:val="28"/>
          <w:lang w:val="uk-UA"/>
        </w:rPr>
        <w:t xml:space="preserve"> та громадська </w:t>
      </w:r>
      <w:proofErr w:type="spellStart"/>
      <w:r w:rsidRPr="00CE5EA8">
        <w:rPr>
          <w:rFonts w:ascii="Times New Roman" w:hAnsi="Times New Roman"/>
          <w:bCs/>
          <w:sz w:val="28"/>
          <w:szCs w:val="28"/>
          <w:lang w:val="uk-UA"/>
        </w:rPr>
        <w:t>гендерно</w:t>
      </w:r>
      <w:proofErr w:type="spellEnd"/>
      <w:r w:rsidRPr="00CE5EA8">
        <w:rPr>
          <w:rFonts w:ascii="Times New Roman" w:hAnsi="Times New Roman"/>
          <w:bCs/>
          <w:sz w:val="28"/>
          <w:szCs w:val="28"/>
          <w:lang w:val="uk-UA"/>
        </w:rPr>
        <w:t>-правова експертизи не проводились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E09" w:rsidRPr="00345661" w:rsidRDefault="00AF7E09" w:rsidP="00AF7E0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8. Прогноз результатів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проє</w:t>
      </w:r>
      <w:r w:rsidRPr="006E47F6">
        <w:rPr>
          <w:rFonts w:ascii="Times New Roman" w:hAnsi="Times New Roman"/>
          <w:sz w:val="28"/>
          <w:szCs w:val="28"/>
          <w:lang w:val="uk-UA"/>
        </w:rPr>
        <w:t xml:space="preserve">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6E47F6">
        <w:rPr>
          <w:rFonts w:ascii="Times New Roman" w:hAnsi="Times New Roman"/>
          <w:sz w:val="28"/>
          <w:szCs w:val="28"/>
          <w:lang w:val="uk-UA"/>
        </w:rPr>
        <w:t xml:space="preserve"> матиме позитивний вплив на </w:t>
      </w:r>
      <w:r w:rsidR="00B33F97">
        <w:rPr>
          <w:rFonts w:ascii="Times New Roman" w:hAnsi="Times New Roman"/>
          <w:sz w:val="28"/>
          <w:szCs w:val="28"/>
          <w:lang w:val="uk-UA"/>
        </w:rPr>
        <w:t xml:space="preserve">навколишнє </w:t>
      </w:r>
      <w:r w:rsidR="008A72BF">
        <w:rPr>
          <w:rFonts w:ascii="Times New Roman" w:hAnsi="Times New Roman"/>
          <w:sz w:val="28"/>
          <w:szCs w:val="28"/>
          <w:lang w:val="uk-UA"/>
        </w:rPr>
        <w:t>природне</w:t>
      </w:r>
      <w:r w:rsidR="00B33F97">
        <w:rPr>
          <w:rFonts w:ascii="Times New Roman" w:hAnsi="Times New Roman"/>
          <w:sz w:val="28"/>
          <w:szCs w:val="28"/>
          <w:lang w:val="uk-UA"/>
        </w:rPr>
        <w:t xml:space="preserve"> середовище</w:t>
      </w:r>
      <w:r w:rsidRPr="006E47F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забезпечить своєчасне здійснення суб’єктами</w:t>
      </w:r>
      <w:r w:rsidR="00B33F97">
        <w:rPr>
          <w:rFonts w:ascii="Times New Roman" w:hAnsi="Times New Roman"/>
          <w:sz w:val="28"/>
          <w:szCs w:val="28"/>
          <w:lang w:val="uk-UA"/>
        </w:rPr>
        <w:t xml:space="preserve"> господарювання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моніторингу </w:t>
      </w:r>
      <w:r w:rsidRPr="00516749">
        <w:rPr>
          <w:rFonts w:ascii="Times New Roman" w:hAnsi="Times New Roman"/>
          <w:sz w:val="28"/>
          <w:szCs w:val="28"/>
          <w:lang w:val="uk-UA"/>
        </w:rPr>
        <w:t>вимірювання показників стану атмосферного повітря, підземних та поверхових вод, ґрунту, шумового впливу</w:t>
      </w:r>
      <w:r w:rsidR="008A72B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</w:t>
      </w:r>
      <w:proofErr w:type="spellStart"/>
      <w:r w:rsidRPr="006E47F6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6E47F6">
        <w:rPr>
          <w:rFonts w:ascii="Times New Roman" w:hAnsi="Times New Roman"/>
          <w:sz w:val="28"/>
          <w:szCs w:val="28"/>
          <w:lang w:val="uk-UA"/>
        </w:rPr>
        <w:t xml:space="preserve"> призведе до покращення здоров’я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санітарно-епідеміологічного стану територій об’єктів оброблення відходів.</w:t>
      </w:r>
    </w:p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E47F6"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6E47F6">
        <w:rPr>
          <w:rFonts w:ascii="Times New Roman" w:hAnsi="Times New Roman"/>
          <w:sz w:val="28"/>
          <w:szCs w:val="28"/>
          <w:lang w:val="uk-UA"/>
        </w:rPr>
        <w:t>кту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6E47F6">
        <w:rPr>
          <w:rFonts w:ascii="Times New Roman" w:hAnsi="Times New Roman"/>
          <w:sz w:val="28"/>
          <w:szCs w:val="28"/>
          <w:lang w:val="uk-UA"/>
        </w:rPr>
        <w:t xml:space="preserve"> матиме вплив на інтереси заінтересованих сторін:</w:t>
      </w:r>
    </w:p>
    <w:tbl>
      <w:tblPr>
        <w:tblW w:w="4997" w:type="pct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30"/>
        <w:gridCol w:w="2590"/>
        <w:gridCol w:w="4836"/>
      </w:tblGrid>
      <w:tr w:rsidR="00AF7E09" w:rsidRPr="009A3E55" w:rsidTr="005C6C97">
        <w:tc>
          <w:tcPr>
            <w:tcW w:w="2222" w:type="dxa"/>
            <w:shd w:val="clear" w:color="auto" w:fill="FFFFFF"/>
            <w:vAlign w:val="center"/>
            <w:hideMark/>
          </w:tcPr>
          <w:p w:rsidR="00AF7E09" w:rsidRPr="009A3E55" w:rsidRDefault="00AF7E09" w:rsidP="005C6C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Заінтересована сторона</w:t>
            </w:r>
          </w:p>
        </w:tc>
        <w:tc>
          <w:tcPr>
            <w:tcW w:w="2581" w:type="dxa"/>
            <w:shd w:val="clear" w:color="auto" w:fill="FFFFFF"/>
            <w:vAlign w:val="center"/>
            <w:hideMark/>
          </w:tcPr>
          <w:p w:rsidR="00AF7E09" w:rsidRPr="009A3E55" w:rsidRDefault="00AF7E09" w:rsidP="005C6C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Вплив реалізації </w:t>
            </w:r>
            <w:proofErr w:type="spellStart"/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заінтересовану сторону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AF7E09" w:rsidRPr="009A3E55" w:rsidRDefault="00AF7E09" w:rsidP="005C6C9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Пояснення очікуваного впливу</w:t>
            </w:r>
          </w:p>
        </w:tc>
      </w:tr>
      <w:tr w:rsidR="00AF7E09" w:rsidRPr="008A72BF" w:rsidTr="005C6C97">
        <w:tc>
          <w:tcPr>
            <w:tcW w:w="2222" w:type="dxa"/>
            <w:vMerge w:val="restart"/>
            <w:shd w:val="clear" w:color="auto" w:fill="FFFFFF"/>
          </w:tcPr>
          <w:p w:rsidR="00AF7E09" w:rsidRPr="009A3E55" w:rsidRDefault="00AF7E09" w:rsidP="005C6C97">
            <w:pPr>
              <w:spacing w:after="0" w:line="240" w:lineRule="auto"/>
              <w:ind w:left="130"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2581" w:type="dxa"/>
            <w:shd w:val="clear" w:color="auto" w:fill="FFFFFF"/>
          </w:tcPr>
          <w:p w:rsidR="00AF7E09" w:rsidRPr="009A3E55" w:rsidRDefault="00AF7E09" w:rsidP="005C6C97">
            <w:pPr>
              <w:spacing w:after="0" w:line="240" w:lineRule="auto"/>
              <w:ind w:left="130"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4819" w:type="dxa"/>
            <w:shd w:val="clear" w:color="auto" w:fill="FFFFFF"/>
          </w:tcPr>
          <w:p w:rsidR="00AF7E09" w:rsidRPr="009A3E55" w:rsidRDefault="00AF7E09" w:rsidP="005C6C97">
            <w:pPr>
              <w:spacing w:after="0" w:line="240" w:lineRule="auto"/>
              <w:ind w:left="170" w:right="1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чіткого порядку здійснення  суб’єктами господ</w:t>
            </w:r>
            <w:r w:rsidR="00B33F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арювання моніторингу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об’єктів оброблення відходів відповідно до вимог законодавства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призведе до управління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такими об’єктами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</w:t>
            </w:r>
            <w:r w:rsidR="008A72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</w:t>
            </w:r>
            <w:r w:rsidR="008A72BF"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найкращих європейських практик та Закону України «Про управління відходами</w:t>
            </w:r>
            <w:r w:rsidR="00B33F9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дозволить запобігти чи зменшити та контролювати негативні наслідки для </w:t>
            </w:r>
            <w:r w:rsidR="008A72BF">
              <w:rPr>
                <w:rFonts w:ascii="Times New Roman" w:hAnsi="Times New Roman"/>
                <w:sz w:val="24"/>
                <w:szCs w:val="24"/>
                <w:lang w:val="uk-UA"/>
              </w:rPr>
              <w:t>навколишнього природн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 середовища в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об’єктів оброблення відходів.</w:t>
            </w:r>
          </w:p>
        </w:tc>
      </w:tr>
      <w:tr w:rsidR="00AF7E09" w:rsidRPr="008A72BF" w:rsidTr="005C6C97">
        <w:tc>
          <w:tcPr>
            <w:tcW w:w="2222" w:type="dxa"/>
            <w:vMerge/>
            <w:shd w:val="clear" w:color="auto" w:fill="FFFFFF"/>
          </w:tcPr>
          <w:p w:rsidR="00AF7E09" w:rsidRPr="009A3E55" w:rsidRDefault="00AF7E09" w:rsidP="005C6C97">
            <w:pPr>
              <w:spacing w:after="0" w:line="240" w:lineRule="auto"/>
              <w:ind w:left="130"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1" w:type="dxa"/>
            <w:shd w:val="clear" w:color="auto" w:fill="FFFFFF"/>
          </w:tcPr>
          <w:p w:rsidR="00AF7E09" w:rsidRPr="009A3E55" w:rsidRDefault="00AF7E09" w:rsidP="005C6C97">
            <w:pPr>
              <w:spacing w:after="0" w:line="240" w:lineRule="auto"/>
              <w:ind w:left="130"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4819" w:type="dxa"/>
            <w:shd w:val="clear" w:color="auto" w:fill="FFFFFF"/>
          </w:tcPr>
          <w:p w:rsidR="00AF7E09" w:rsidRPr="009A3E55" w:rsidRDefault="00AF7E09" w:rsidP="005C6C97">
            <w:pPr>
              <w:spacing w:after="0" w:line="240" w:lineRule="auto"/>
              <w:ind w:left="170" w:right="1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операційних витрат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моніторинг </w:t>
            </w:r>
            <w:r w:rsidRPr="005167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оброблення відходів 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</w:t>
            </w:r>
            <w:r w:rsidRPr="005167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обсягами забруднення навколишнього природного середовища на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стаціонарному </w:t>
            </w:r>
            <w:r w:rsidRPr="005167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джерелі забруднення та на об’єкті оброблення відходів </w:t>
            </w:r>
            <w:proofErr w:type="spellStart"/>
            <w:r w:rsidRPr="00516749">
              <w:rPr>
                <w:rFonts w:ascii="Times New Roman" w:hAnsi="Times New Roman"/>
                <w:sz w:val="24"/>
                <w:szCs w:val="24"/>
                <w:lang w:val="uk-UA"/>
              </w:rPr>
              <w:t>вцілому</w:t>
            </w:r>
            <w:proofErr w:type="spellEnd"/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F7E09" w:rsidRPr="008A72BF" w:rsidTr="005C6C97">
        <w:tc>
          <w:tcPr>
            <w:tcW w:w="2222" w:type="dxa"/>
            <w:shd w:val="clear" w:color="auto" w:fill="FFFFFF"/>
          </w:tcPr>
          <w:p w:rsidR="00AF7E09" w:rsidRPr="009A3E55" w:rsidRDefault="00AF7E09" w:rsidP="005C6C97">
            <w:pPr>
              <w:spacing w:after="0" w:line="240" w:lineRule="auto"/>
              <w:ind w:left="130" w:right="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Населення</w:t>
            </w:r>
          </w:p>
        </w:tc>
        <w:tc>
          <w:tcPr>
            <w:tcW w:w="2581" w:type="dxa"/>
            <w:shd w:val="clear" w:color="auto" w:fill="FFFFFF"/>
          </w:tcPr>
          <w:p w:rsidR="00AF7E09" w:rsidRPr="009A3E55" w:rsidRDefault="00AF7E09" w:rsidP="005C6C97">
            <w:pPr>
              <w:spacing w:after="0" w:line="240" w:lineRule="auto"/>
              <w:ind w:left="130" w:right="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Позитивний</w:t>
            </w:r>
          </w:p>
        </w:tc>
        <w:tc>
          <w:tcPr>
            <w:tcW w:w="4819" w:type="dxa"/>
            <w:shd w:val="clear" w:color="auto" w:fill="FFFFFF"/>
          </w:tcPr>
          <w:p w:rsidR="00AF7E09" w:rsidRPr="009A3E55" w:rsidRDefault="00AF7E09" w:rsidP="005C6C97">
            <w:pPr>
              <w:spacing w:after="0" w:line="240" w:lineRule="auto"/>
              <w:ind w:left="170" w:right="12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Уникнення чи зменшення шкідливого впливу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оброблення відходів 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здоров’я населення, покращення санітарно-епідеміологічного стану територій довкола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об’єктів оброблення відходів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, зменшення соціального впливу та негативного відношення населення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16749">
              <w:rPr>
                <w:rFonts w:ascii="Times New Roman" w:hAnsi="Times New Roman"/>
                <w:sz w:val="24"/>
                <w:szCs w:val="24"/>
                <w:lang w:val="uk-UA"/>
              </w:rPr>
              <w:t>об’єктів оброблення відходів</w:t>
            </w:r>
            <w:r w:rsidRPr="009A3E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F7E09" w:rsidRDefault="00AF7E09" w:rsidP="00AF7E0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E09" w:rsidRPr="00345661" w:rsidRDefault="00AF7E09" w:rsidP="00AF7E0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5661">
        <w:rPr>
          <w:rFonts w:ascii="Times New Roman" w:hAnsi="Times New Roman"/>
          <w:b/>
          <w:sz w:val="28"/>
          <w:szCs w:val="28"/>
          <w:lang w:val="uk-UA"/>
        </w:rPr>
        <w:t>Міністр захисту довкілля та природних</w:t>
      </w:r>
    </w:p>
    <w:p w:rsidR="00AF7E09" w:rsidRPr="00345661" w:rsidRDefault="00AF7E09" w:rsidP="00AF7E0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345661">
        <w:rPr>
          <w:rFonts w:ascii="Times New Roman" w:hAnsi="Times New Roman"/>
          <w:b/>
          <w:sz w:val="28"/>
          <w:szCs w:val="28"/>
          <w:lang w:val="uk-UA"/>
        </w:rPr>
        <w:t xml:space="preserve">есурсів </w:t>
      </w:r>
      <w:r>
        <w:rPr>
          <w:rFonts w:ascii="Times New Roman" w:hAnsi="Times New Roman"/>
          <w:b/>
          <w:sz w:val="28"/>
          <w:szCs w:val="28"/>
          <w:lang w:val="uk-UA"/>
        </w:rPr>
        <w:t>України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345661">
        <w:rPr>
          <w:rFonts w:ascii="Times New Roman" w:hAnsi="Times New Roman"/>
          <w:b/>
          <w:sz w:val="28"/>
          <w:szCs w:val="28"/>
          <w:lang w:val="uk-UA"/>
        </w:rPr>
        <w:t>Руслан СТРІЛЕЦЬ</w:t>
      </w:r>
    </w:p>
    <w:p w:rsidR="00AF7E09" w:rsidRDefault="00AF7E09" w:rsidP="00AF7E0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F7E09" w:rsidRPr="00345661" w:rsidRDefault="00AF7E09" w:rsidP="00AF7E0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«_____» _______________ 2023 р.</w:t>
      </w:r>
    </w:p>
    <w:p w:rsidR="00345661" w:rsidRPr="00AF7E09" w:rsidRDefault="00345661" w:rsidP="00AF7E09"/>
    <w:sectPr w:rsidR="00345661" w:rsidRPr="00AF7E09" w:rsidSect="00B15F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90" w:rsidRDefault="00AF0590" w:rsidP="00B15FF8">
      <w:pPr>
        <w:spacing w:after="0" w:line="240" w:lineRule="auto"/>
      </w:pPr>
      <w:r>
        <w:separator/>
      </w:r>
    </w:p>
  </w:endnote>
  <w:endnote w:type="continuationSeparator" w:id="0">
    <w:p w:rsidR="00AF0590" w:rsidRDefault="00AF0590" w:rsidP="00B1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90" w:rsidRDefault="00AF0590" w:rsidP="00B15FF8">
      <w:pPr>
        <w:spacing w:after="0" w:line="240" w:lineRule="auto"/>
      </w:pPr>
      <w:r>
        <w:separator/>
      </w:r>
    </w:p>
  </w:footnote>
  <w:footnote w:type="continuationSeparator" w:id="0">
    <w:p w:rsidR="00AF0590" w:rsidRDefault="00AF0590" w:rsidP="00B1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451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5FF8" w:rsidRPr="00B15FF8" w:rsidRDefault="00E613EA">
        <w:pPr>
          <w:pStyle w:val="a6"/>
          <w:jc w:val="center"/>
          <w:rPr>
            <w:rFonts w:ascii="Times New Roman" w:hAnsi="Times New Roman" w:cs="Times New Roman"/>
          </w:rPr>
        </w:pPr>
        <w:r w:rsidRPr="00B15FF8">
          <w:rPr>
            <w:rFonts w:ascii="Times New Roman" w:hAnsi="Times New Roman" w:cs="Times New Roman"/>
          </w:rPr>
          <w:fldChar w:fldCharType="begin"/>
        </w:r>
        <w:r w:rsidR="00B15FF8" w:rsidRPr="00B15FF8">
          <w:rPr>
            <w:rFonts w:ascii="Times New Roman" w:hAnsi="Times New Roman" w:cs="Times New Roman"/>
          </w:rPr>
          <w:instrText>PAGE   \* MERGEFORMAT</w:instrText>
        </w:r>
        <w:r w:rsidRPr="00B15FF8">
          <w:rPr>
            <w:rFonts w:ascii="Times New Roman" w:hAnsi="Times New Roman" w:cs="Times New Roman"/>
          </w:rPr>
          <w:fldChar w:fldCharType="separate"/>
        </w:r>
        <w:r w:rsidR="008A72BF" w:rsidRPr="008A72BF">
          <w:rPr>
            <w:rFonts w:ascii="Times New Roman" w:hAnsi="Times New Roman" w:cs="Times New Roman"/>
            <w:noProof/>
            <w:lang w:val="uk-UA"/>
          </w:rPr>
          <w:t>2</w:t>
        </w:r>
        <w:r w:rsidRPr="00B15FF8">
          <w:rPr>
            <w:rFonts w:ascii="Times New Roman" w:hAnsi="Times New Roman" w:cs="Times New Roman"/>
          </w:rPr>
          <w:fldChar w:fldCharType="end"/>
        </w:r>
      </w:p>
    </w:sdtContent>
  </w:sdt>
  <w:p w:rsidR="00B15FF8" w:rsidRDefault="00B15F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23E1"/>
    <w:multiLevelType w:val="hybridMultilevel"/>
    <w:tmpl w:val="5CE40EE2"/>
    <w:lvl w:ilvl="0" w:tplc="200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661"/>
    <w:rsid w:val="00054A1D"/>
    <w:rsid w:val="000649BF"/>
    <w:rsid w:val="000B1488"/>
    <w:rsid w:val="000B74BC"/>
    <w:rsid w:val="0025397E"/>
    <w:rsid w:val="002724CA"/>
    <w:rsid w:val="002B2432"/>
    <w:rsid w:val="002C2B3D"/>
    <w:rsid w:val="002F3320"/>
    <w:rsid w:val="002F69E4"/>
    <w:rsid w:val="00301749"/>
    <w:rsid w:val="00330464"/>
    <w:rsid w:val="00345661"/>
    <w:rsid w:val="00371E25"/>
    <w:rsid w:val="003737DA"/>
    <w:rsid w:val="00377477"/>
    <w:rsid w:val="00463B4E"/>
    <w:rsid w:val="00471236"/>
    <w:rsid w:val="00497D76"/>
    <w:rsid w:val="00516749"/>
    <w:rsid w:val="00542DFB"/>
    <w:rsid w:val="005B53A6"/>
    <w:rsid w:val="006640F7"/>
    <w:rsid w:val="006869AD"/>
    <w:rsid w:val="006B2715"/>
    <w:rsid w:val="006C087B"/>
    <w:rsid w:val="006E47F6"/>
    <w:rsid w:val="006E5BE4"/>
    <w:rsid w:val="00714408"/>
    <w:rsid w:val="00722B9F"/>
    <w:rsid w:val="007251FE"/>
    <w:rsid w:val="00726489"/>
    <w:rsid w:val="00747966"/>
    <w:rsid w:val="007631C5"/>
    <w:rsid w:val="00765FE3"/>
    <w:rsid w:val="00792F07"/>
    <w:rsid w:val="00795CD4"/>
    <w:rsid w:val="007C0DC0"/>
    <w:rsid w:val="007D1E73"/>
    <w:rsid w:val="007D62BD"/>
    <w:rsid w:val="007E08A9"/>
    <w:rsid w:val="008731C2"/>
    <w:rsid w:val="0089666F"/>
    <w:rsid w:val="008A72BF"/>
    <w:rsid w:val="008F4811"/>
    <w:rsid w:val="00940948"/>
    <w:rsid w:val="009A3E55"/>
    <w:rsid w:val="009B60E3"/>
    <w:rsid w:val="00A00D8B"/>
    <w:rsid w:val="00A029E3"/>
    <w:rsid w:val="00A141FF"/>
    <w:rsid w:val="00A25512"/>
    <w:rsid w:val="00A61C5A"/>
    <w:rsid w:val="00A90E45"/>
    <w:rsid w:val="00AA2B43"/>
    <w:rsid w:val="00AD47D3"/>
    <w:rsid w:val="00AF0590"/>
    <w:rsid w:val="00AF7E09"/>
    <w:rsid w:val="00B15FF8"/>
    <w:rsid w:val="00B33F97"/>
    <w:rsid w:val="00B65DDB"/>
    <w:rsid w:val="00C403D9"/>
    <w:rsid w:val="00C71E18"/>
    <w:rsid w:val="00C97F80"/>
    <w:rsid w:val="00CA67C5"/>
    <w:rsid w:val="00CD4745"/>
    <w:rsid w:val="00CE5EA8"/>
    <w:rsid w:val="00CE6AE7"/>
    <w:rsid w:val="00D037BE"/>
    <w:rsid w:val="00DF2755"/>
    <w:rsid w:val="00E170BA"/>
    <w:rsid w:val="00E269E0"/>
    <w:rsid w:val="00E311BD"/>
    <w:rsid w:val="00E613EA"/>
    <w:rsid w:val="00E95AE8"/>
    <w:rsid w:val="00ED518E"/>
    <w:rsid w:val="00EF59C2"/>
    <w:rsid w:val="00F2079E"/>
    <w:rsid w:val="00F52334"/>
    <w:rsid w:val="00F54BCB"/>
    <w:rsid w:val="00F57B9E"/>
    <w:rsid w:val="00FA011D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61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371E2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F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FF8"/>
  </w:style>
  <w:style w:type="paragraph" w:styleId="a8">
    <w:name w:val="footer"/>
    <w:basedOn w:val="a"/>
    <w:link w:val="a9"/>
    <w:uiPriority w:val="99"/>
    <w:unhideWhenUsed/>
    <w:rsid w:val="00B15F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61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371E2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5F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FF8"/>
  </w:style>
  <w:style w:type="paragraph" w:styleId="a8">
    <w:name w:val="footer"/>
    <w:basedOn w:val="a"/>
    <w:link w:val="a9"/>
    <w:uiPriority w:val="99"/>
    <w:unhideWhenUsed/>
    <w:rsid w:val="00B15F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4549</Words>
  <Characters>2593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ОВДІЄНКО Ірина Вікторівна</cp:lastModifiedBy>
  <cp:revision>9</cp:revision>
  <dcterms:created xsi:type="dcterms:W3CDTF">2023-07-04T12:20:00Z</dcterms:created>
  <dcterms:modified xsi:type="dcterms:W3CDTF">2023-07-17T08:33:00Z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80bfc6c88e0d21a9abc54796c6f40de13b88701bba95a57be65d7e69800f6ebe</vt:lpwstr>
  </property>
</Properties>
</file>