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49" w:rsidRPr="0056731E" w:rsidRDefault="00362149" w:rsidP="005A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6D58C3" w:rsidRPr="0056731E" w:rsidRDefault="00362149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b/>
          <w:sz w:val="28"/>
          <w:szCs w:val="28"/>
        </w:rPr>
      </w:pPr>
      <w:r w:rsidRPr="0056731E">
        <w:rPr>
          <w:b/>
          <w:sz w:val="28"/>
          <w:szCs w:val="28"/>
        </w:rPr>
        <w:t xml:space="preserve">до </w:t>
      </w:r>
      <w:proofErr w:type="spellStart"/>
      <w:r w:rsidR="006D58C3" w:rsidRPr="0056731E">
        <w:rPr>
          <w:b/>
          <w:sz w:val="28"/>
          <w:szCs w:val="28"/>
        </w:rPr>
        <w:t>проєкту</w:t>
      </w:r>
      <w:proofErr w:type="spellEnd"/>
      <w:r w:rsidR="006D58C3" w:rsidRPr="0056731E">
        <w:rPr>
          <w:b/>
          <w:sz w:val="28"/>
          <w:szCs w:val="28"/>
        </w:rPr>
        <w:t xml:space="preserve"> наказу Міністерства захисту довкілля та природних </w:t>
      </w:r>
    </w:p>
    <w:p w:rsidR="006D58C3" w:rsidRPr="00E34EEE" w:rsidRDefault="006D58C3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rStyle w:val="rvts23"/>
          <w:b/>
          <w:bCs/>
          <w:color w:val="000000"/>
          <w:sz w:val="28"/>
          <w:szCs w:val="28"/>
        </w:rPr>
      </w:pPr>
      <w:r w:rsidRPr="00E34EEE">
        <w:rPr>
          <w:b/>
          <w:sz w:val="28"/>
          <w:szCs w:val="28"/>
        </w:rPr>
        <w:t xml:space="preserve">ресурсів України «Про затвердження </w:t>
      </w:r>
      <w:r w:rsidR="00E34EEE" w:rsidRPr="00E34EEE">
        <w:rPr>
          <w:b/>
          <w:sz w:val="28"/>
          <w:szCs w:val="28"/>
        </w:rPr>
        <w:t>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Pr="00E34EEE">
        <w:rPr>
          <w:b/>
          <w:sz w:val="28"/>
          <w:szCs w:val="28"/>
        </w:rPr>
        <w:t>»</w:t>
      </w:r>
      <w:r w:rsidRPr="00E34EEE">
        <w:rPr>
          <w:rStyle w:val="rvts23"/>
          <w:b/>
          <w:bCs/>
          <w:color w:val="000000"/>
          <w:sz w:val="28"/>
          <w:szCs w:val="28"/>
        </w:rPr>
        <w:t xml:space="preserve"> </w:t>
      </w:r>
    </w:p>
    <w:p w:rsidR="00362149" w:rsidRPr="0056731E" w:rsidRDefault="00362149" w:rsidP="005A7E96">
      <w:pPr>
        <w:pStyle w:val="rvps6"/>
        <w:shd w:val="clear" w:color="auto" w:fill="FFFFFF"/>
        <w:spacing w:before="0" w:beforeAutospacing="0" w:after="0" w:afterAutospacing="0"/>
        <w:ind w:right="332"/>
        <w:jc w:val="center"/>
        <w:rPr>
          <w:rStyle w:val="rvts23"/>
          <w:bCs/>
          <w:color w:val="000000"/>
          <w:sz w:val="28"/>
          <w:szCs w:val="28"/>
        </w:rPr>
      </w:pPr>
      <w:r w:rsidRPr="0056731E">
        <w:rPr>
          <w:rStyle w:val="rvts23"/>
          <w:b/>
          <w:bCs/>
          <w:color w:val="000000"/>
          <w:sz w:val="28"/>
          <w:szCs w:val="28"/>
        </w:rPr>
        <w:t xml:space="preserve">(далі – </w:t>
      </w:r>
      <w:proofErr w:type="spellStart"/>
      <w:r w:rsidRPr="0056731E">
        <w:rPr>
          <w:rStyle w:val="rvts23"/>
          <w:b/>
          <w:bCs/>
          <w:color w:val="000000"/>
          <w:sz w:val="28"/>
          <w:szCs w:val="28"/>
        </w:rPr>
        <w:t>проєкт</w:t>
      </w:r>
      <w:proofErr w:type="spellEnd"/>
      <w:r w:rsidRPr="0056731E">
        <w:rPr>
          <w:rStyle w:val="rvts23"/>
          <w:b/>
          <w:bCs/>
          <w:color w:val="000000"/>
          <w:sz w:val="28"/>
          <w:szCs w:val="28"/>
        </w:rPr>
        <w:t xml:space="preserve"> </w:t>
      </w:r>
      <w:proofErr w:type="spellStart"/>
      <w:r w:rsidRPr="0056731E">
        <w:rPr>
          <w:rStyle w:val="rvts23"/>
          <w:b/>
          <w:bCs/>
          <w:color w:val="000000"/>
          <w:sz w:val="28"/>
          <w:szCs w:val="28"/>
        </w:rPr>
        <w:t>акта</w:t>
      </w:r>
      <w:proofErr w:type="spellEnd"/>
      <w:r w:rsidRPr="0056731E">
        <w:rPr>
          <w:rStyle w:val="rvts23"/>
          <w:b/>
          <w:bCs/>
          <w:color w:val="000000"/>
          <w:sz w:val="28"/>
          <w:szCs w:val="28"/>
        </w:rPr>
        <w:t>)</w:t>
      </w:r>
    </w:p>
    <w:p w:rsidR="0000582E" w:rsidRDefault="0000582E" w:rsidP="005A7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404" w:rsidRPr="0056731E" w:rsidRDefault="00182404" w:rsidP="005A7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149" w:rsidRPr="0056731E" w:rsidRDefault="00362149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766340" w:rsidRDefault="00766340" w:rsidP="0076634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</w:t>
      </w:r>
      <w:r w:rsidRPr="00766340">
        <w:rPr>
          <w:sz w:val="28"/>
          <w:szCs w:val="20"/>
          <w:lang w:val="uk-UA"/>
        </w:rPr>
        <w:t>айгостріши</w:t>
      </w:r>
      <w:r>
        <w:rPr>
          <w:sz w:val="28"/>
          <w:szCs w:val="20"/>
          <w:lang w:val="uk-UA"/>
        </w:rPr>
        <w:t>ми</w:t>
      </w:r>
      <w:r w:rsidRPr="00766340">
        <w:rPr>
          <w:sz w:val="28"/>
          <w:szCs w:val="20"/>
          <w:lang w:val="uk-UA"/>
        </w:rPr>
        <w:t xml:space="preserve"> проблем</w:t>
      </w:r>
      <w:r>
        <w:rPr>
          <w:sz w:val="28"/>
          <w:szCs w:val="20"/>
          <w:lang w:val="uk-UA"/>
        </w:rPr>
        <w:t>ами</w:t>
      </w:r>
      <w:r w:rsidRPr="00766340">
        <w:rPr>
          <w:sz w:val="28"/>
          <w:szCs w:val="20"/>
          <w:lang w:val="uk-UA"/>
        </w:rPr>
        <w:t xml:space="preserve"> </w:t>
      </w:r>
      <w:r w:rsidR="00182404">
        <w:rPr>
          <w:sz w:val="28"/>
          <w:szCs w:val="20"/>
          <w:lang w:val="uk-UA"/>
        </w:rPr>
        <w:t>управління</w:t>
      </w:r>
      <w:r w:rsidRPr="00766340">
        <w:rPr>
          <w:sz w:val="28"/>
          <w:szCs w:val="20"/>
          <w:lang w:val="uk-UA"/>
        </w:rPr>
        <w:t xml:space="preserve"> відходами в Україні є</w:t>
      </w:r>
      <w:r>
        <w:rPr>
          <w:sz w:val="28"/>
          <w:szCs w:val="20"/>
          <w:lang w:val="uk-UA"/>
        </w:rPr>
        <w:t>:</w:t>
      </w:r>
    </w:p>
    <w:p w:rsidR="00766340" w:rsidRDefault="00766340" w:rsidP="0049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начні обсяги накопичених відходів, збільшення кількості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несанкціонованих сміттєзвалищ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перевантажених полігонів, що не відповідають нормам екологічної безпеки; </w:t>
      </w:r>
    </w:p>
    <w:p w:rsidR="00766340" w:rsidRDefault="00766340" w:rsidP="0049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низька урегульованість на законодавчому рівні питання управління відходами, недостатній рівень імплементації європейських директив і регламентів;</w:t>
      </w:r>
    </w:p>
    <w:p w:rsidR="00766340" w:rsidRPr="00766340" w:rsidRDefault="00766340" w:rsidP="0049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відсутність дієвої системи управління відходами та ефективних заходів, спрямо</w:t>
      </w:r>
      <w:r w:rsidR="00FC2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ваних на запобігання утворенню </w:t>
      </w: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відходів;</w:t>
      </w:r>
    </w:p>
    <w:p w:rsidR="00766340" w:rsidRPr="00766340" w:rsidRDefault="00766340" w:rsidP="00492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низький рівень інформування та просвітницької роботи з населенням щодо належних методів поводження з </w:t>
      </w:r>
      <w:r w:rsidR="004926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побутовими </w:t>
      </w:r>
      <w:r w:rsidRPr="00766340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відходами.</w:t>
      </w:r>
    </w:p>
    <w:p w:rsidR="00182404" w:rsidRPr="003D2E4A" w:rsidRDefault="00182404" w:rsidP="00182404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D2E4A">
        <w:rPr>
          <w:rFonts w:ascii="Times New Roman" w:eastAsia="Calibri" w:hAnsi="Times New Roman"/>
          <w:sz w:val="28"/>
          <w:szCs w:val="28"/>
        </w:rPr>
        <w:t xml:space="preserve">Перетворення системи </w:t>
      </w:r>
      <w:r>
        <w:rPr>
          <w:rFonts w:ascii="Times New Roman" w:eastAsia="Calibri" w:hAnsi="Times New Roman"/>
          <w:sz w:val="28"/>
          <w:szCs w:val="28"/>
        </w:rPr>
        <w:t>управління</w:t>
      </w:r>
      <w:r w:rsidRPr="003D2E4A">
        <w:rPr>
          <w:rFonts w:ascii="Times New Roman" w:eastAsia="Calibri" w:hAnsi="Times New Roman"/>
          <w:sz w:val="28"/>
          <w:szCs w:val="28"/>
        </w:rPr>
        <w:t xml:space="preserve"> відходами на екологічно безпечну є для України одним із пріоритетних завдань.</w:t>
      </w:r>
    </w:p>
    <w:p w:rsidR="0091565D" w:rsidRDefault="0091565D" w:rsidP="00766340">
      <w:pPr>
        <w:pStyle w:val="3"/>
        <w:ind w:firstLine="567"/>
        <w:jc w:val="both"/>
      </w:pPr>
      <w:r>
        <w:t>Проблема накопичення побутових відходів</w:t>
      </w:r>
      <w:r w:rsidR="00B9596A">
        <w:t xml:space="preserve"> </w:t>
      </w:r>
      <w:r>
        <w:t xml:space="preserve">є одною з найважливіших в Україні. </w:t>
      </w:r>
      <w:r w:rsidR="00182404" w:rsidRPr="00182404">
        <w:t xml:space="preserve">В середньому показник утворення відходів в Україні становить </w:t>
      </w:r>
      <w:r w:rsidR="00182404">
        <w:br/>
      </w:r>
      <w:r w:rsidR="00182404" w:rsidRPr="00182404">
        <w:t>250-300 кілограмів на рік на людину</w:t>
      </w:r>
      <w:r>
        <w:t xml:space="preserve">. Основним методом </w:t>
      </w:r>
      <w:r w:rsidR="00766340">
        <w:t xml:space="preserve">управління побутовими відходами </w:t>
      </w:r>
      <w:r>
        <w:t xml:space="preserve">залишається захоронення </w:t>
      </w:r>
      <w:r w:rsidR="00766340">
        <w:t xml:space="preserve">їх </w:t>
      </w:r>
      <w:r>
        <w:t xml:space="preserve">на полігонах. </w:t>
      </w:r>
    </w:p>
    <w:p w:rsidR="00BB688C" w:rsidRPr="0056731E" w:rsidRDefault="00BB688C" w:rsidP="005A7E96">
      <w:pPr>
        <w:pStyle w:val="3"/>
        <w:ind w:firstLine="567"/>
        <w:jc w:val="both"/>
        <w:rPr>
          <w:szCs w:val="28"/>
        </w:rPr>
      </w:pPr>
      <w:r w:rsidRPr="0056731E">
        <w:rPr>
          <w:szCs w:val="28"/>
        </w:rPr>
        <w:t xml:space="preserve">За даними </w:t>
      </w:r>
      <w:proofErr w:type="spellStart"/>
      <w:r w:rsidRPr="0056731E">
        <w:rPr>
          <w:szCs w:val="28"/>
        </w:rPr>
        <w:t>Мінінфраструктури</w:t>
      </w:r>
      <w:proofErr w:type="spellEnd"/>
      <w:r w:rsidRPr="0056731E">
        <w:rPr>
          <w:szCs w:val="28"/>
        </w:rPr>
        <w:t xml:space="preserve"> за 2022 рік утворилось майже 39 млн. м</w:t>
      </w:r>
      <w:r w:rsidRPr="0056731E">
        <w:rPr>
          <w:szCs w:val="28"/>
          <w:vertAlign w:val="superscript"/>
        </w:rPr>
        <w:t xml:space="preserve">3 </w:t>
      </w:r>
      <w:r w:rsidRPr="0056731E">
        <w:rPr>
          <w:szCs w:val="28"/>
        </w:rPr>
        <w:t xml:space="preserve">побутових відходів, або понад 7 млн. тон, які </w:t>
      </w:r>
      <w:proofErr w:type="spellStart"/>
      <w:r w:rsidRPr="0056731E">
        <w:rPr>
          <w:szCs w:val="28"/>
        </w:rPr>
        <w:t>захоронюються</w:t>
      </w:r>
      <w:proofErr w:type="spellEnd"/>
      <w:r w:rsidRPr="0056731E">
        <w:rPr>
          <w:szCs w:val="28"/>
        </w:rPr>
        <w:t xml:space="preserve"> на </w:t>
      </w:r>
      <w:r w:rsidRPr="0056731E">
        <w:rPr>
          <w:szCs w:val="28"/>
        </w:rPr>
        <w:br/>
        <w:t>5,7 тис. сміттєзвалищ і полігонів загальною площею майже 8 тис. га. Кількість сміттєзвалищ, які не відповідають нормам екологічної безпеки – 693 (12%).</w:t>
      </w:r>
    </w:p>
    <w:p w:rsidR="007D7BD9" w:rsidRPr="0056731E" w:rsidRDefault="007D7BD9" w:rsidP="007D7BD9">
      <w:pPr>
        <w:pStyle w:val="ad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56731E">
        <w:rPr>
          <w:sz w:val="28"/>
          <w:szCs w:val="28"/>
          <w:lang w:val="uk-UA"/>
        </w:rPr>
        <w:t xml:space="preserve">Законом України «Про управління відходами» (далі – Закон) було </w:t>
      </w:r>
      <w:proofErr w:type="spellStart"/>
      <w:r w:rsidRPr="0056731E">
        <w:rPr>
          <w:sz w:val="28"/>
          <w:szCs w:val="28"/>
          <w:lang w:val="uk-UA"/>
        </w:rPr>
        <w:t>внесено</w:t>
      </w:r>
      <w:proofErr w:type="spellEnd"/>
      <w:r w:rsidRPr="0056731E">
        <w:rPr>
          <w:sz w:val="28"/>
          <w:szCs w:val="28"/>
          <w:lang w:val="uk-UA"/>
        </w:rPr>
        <w:t xml:space="preserve"> суттєві зміни до законодавства у сфері </w:t>
      </w:r>
      <w:r w:rsidRPr="0056731E">
        <w:rPr>
          <w:rFonts w:eastAsia="Calibri"/>
          <w:sz w:val="28"/>
          <w:szCs w:val="28"/>
          <w:lang w:val="uk-UA"/>
        </w:rPr>
        <w:t>управління побутовими відходами з урахуванням вимог відповідних європейських директив.</w:t>
      </w:r>
    </w:p>
    <w:p w:rsidR="0043762E" w:rsidRDefault="00BB688C" w:rsidP="0043762E">
      <w:pPr>
        <w:pStyle w:val="3"/>
        <w:ind w:firstLine="567"/>
        <w:jc w:val="both"/>
        <w:rPr>
          <w:szCs w:val="28"/>
        </w:rPr>
      </w:pPr>
      <w:r w:rsidRPr="0056731E">
        <w:rPr>
          <w:rFonts w:eastAsia="Calibri"/>
          <w:szCs w:val="28"/>
        </w:rPr>
        <w:t xml:space="preserve">Зокрема </w:t>
      </w:r>
      <w:r w:rsidR="0043762E">
        <w:rPr>
          <w:szCs w:val="28"/>
        </w:rPr>
        <w:t xml:space="preserve">вимогами частини третьої статті 40 </w:t>
      </w:r>
      <w:r w:rsidR="0043762E" w:rsidRPr="00561AD3">
        <w:rPr>
          <w:szCs w:val="28"/>
        </w:rPr>
        <w:t>Закону</w:t>
      </w:r>
      <w:r w:rsidR="0043762E" w:rsidRPr="0056731E">
        <w:rPr>
          <w:szCs w:val="28"/>
        </w:rPr>
        <w:t xml:space="preserve"> </w:t>
      </w:r>
      <w:r w:rsidR="0043762E">
        <w:rPr>
          <w:szCs w:val="28"/>
        </w:rPr>
        <w:t>передбачено затвердження Правил</w:t>
      </w:r>
      <w:r w:rsidR="0043762E" w:rsidRPr="0009184B">
        <w:rPr>
          <w:szCs w:val="28"/>
        </w:rPr>
        <w:t xml:space="preserve">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43762E">
        <w:rPr>
          <w:szCs w:val="28"/>
        </w:rPr>
        <w:t>.</w:t>
      </w:r>
    </w:p>
    <w:p w:rsidR="00550C76" w:rsidRPr="00550C76" w:rsidRDefault="0043762E" w:rsidP="0043762E">
      <w:pPr>
        <w:pStyle w:val="3"/>
        <w:ind w:firstLine="567"/>
        <w:jc w:val="both"/>
        <w:rPr>
          <w:szCs w:val="28"/>
        </w:rPr>
      </w:pPr>
      <w:r>
        <w:t xml:space="preserve">З метою зменшення впливу накопичених відходів на </w:t>
      </w:r>
      <w:r w:rsidR="002E21C2">
        <w:t>навколишнє природне середовище</w:t>
      </w:r>
      <w:r>
        <w:t>, а як наслідок на здоров’я людини, потрібно розробити</w:t>
      </w:r>
      <w:r w:rsidRPr="0056731E">
        <w:rPr>
          <w:szCs w:val="28"/>
        </w:rPr>
        <w:t xml:space="preserve"> </w:t>
      </w:r>
      <w:r>
        <w:rPr>
          <w:szCs w:val="28"/>
        </w:rPr>
        <w:t>та затвердити</w:t>
      </w:r>
      <w:r w:rsidRPr="0043762E">
        <w:rPr>
          <w:szCs w:val="28"/>
        </w:rPr>
        <w:t xml:space="preserve"> </w:t>
      </w:r>
      <w:r>
        <w:rPr>
          <w:szCs w:val="28"/>
        </w:rPr>
        <w:t>Правила</w:t>
      </w:r>
      <w:r w:rsidRPr="0009184B">
        <w:rPr>
          <w:szCs w:val="28"/>
        </w:rPr>
        <w:t xml:space="preserve">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550C76" w:rsidRPr="00550C76">
        <w:rPr>
          <w:szCs w:val="28"/>
        </w:rPr>
        <w:t xml:space="preserve"> (</w:t>
      </w:r>
      <w:r w:rsidR="00550C76">
        <w:rPr>
          <w:szCs w:val="28"/>
        </w:rPr>
        <w:t xml:space="preserve">далі </w:t>
      </w:r>
      <w:r w:rsidR="00550C76" w:rsidRPr="00550C76">
        <w:rPr>
          <w:szCs w:val="28"/>
        </w:rPr>
        <w:t>–</w:t>
      </w:r>
      <w:r w:rsidR="00550C76">
        <w:rPr>
          <w:szCs w:val="28"/>
        </w:rPr>
        <w:t xml:space="preserve"> </w:t>
      </w:r>
      <w:proofErr w:type="spellStart"/>
      <w:r w:rsidR="002E21C2">
        <w:rPr>
          <w:szCs w:val="28"/>
        </w:rPr>
        <w:t>проєкт</w:t>
      </w:r>
      <w:proofErr w:type="spellEnd"/>
      <w:r w:rsidR="002E21C2">
        <w:rPr>
          <w:szCs w:val="28"/>
        </w:rPr>
        <w:t xml:space="preserve"> </w:t>
      </w:r>
      <w:proofErr w:type="spellStart"/>
      <w:r w:rsidR="002E21C2">
        <w:rPr>
          <w:szCs w:val="28"/>
        </w:rPr>
        <w:t>акта</w:t>
      </w:r>
      <w:proofErr w:type="spellEnd"/>
      <w:r w:rsidR="00550C76">
        <w:rPr>
          <w:szCs w:val="28"/>
        </w:rPr>
        <w:t>)</w:t>
      </w:r>
      <w:r w:rsidR="00DC0851">
        <w:rPr>
          <w:szCs w:val="28"/>
        </w:rPr>
        <w:t>.</w:t>
      </w:r>
    </w:p>
    <w:p w:rsidR="006D58C3" w:rsidRPr="00846106" w:rsidRDefault="006D58C3" w:rsidP="00550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1C" w:rsidRPr="0056731E" w:rsidRDefault="0088611C" w:rsidP="007D7B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39"/>
        <w:gridCol w:w="3169"/>
        <w:gridCol w:w="3226"/>
      </w:tblGrid>
      <w:tr w:rsidR="0088611C" w:rsidRPr="0056731E" w:rsidTr="00B3571F">
        <w:tc>
          <w:tcPr>
            <w:tcW w:w="3239" w:type="dxa"/>
          </w:tcPr>
          <w:p w:rsidR="0088611C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Групи (підгрупи)</w:t>
            </w:r>
          </w:p>
          <w:p w:rsidR="007D7BD9" w:rsidRPr="0056731E" w:rsidRDefault="007D7BD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88611C" w:rsidRPr="0056731E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26" w:type="dxa"/>
          </w:tcPr>
          <w:p w:rsidR="0088611C" w:rsidRPr="0056731E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88611C" w:rsidRPr="0056731E" w:rsidTr="00B3571F">
        <w:tc>
          <w:tcPr>
            <w:tcW w:w="3239" w:type="dxa"/>
          </w:tcPr>
          <w:p w:rsidR="00DC0851" w:rsidRPr="0056731E" w:rsidRDefault="0088611C" w:rsidP="0084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169" w:type="dxa"/>
          </w:tcPr>
          <w:p w:rsidR="0088611C" w:rsidRPr="0056731E" w:rsidRDefault="002E21C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56731E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8611C" w:rsidRPr="0056731E" w:rsidTr="00B3571F">
        <w:tc>
          <w:tcPr>
            <w:tcW w:w="3239" w:type="dxa"/>
          </w:tcPr>
          <w:p w:rsidR="00DC0851" w:rsidRPr="0056731E" w:rsidRDefault="0088611C" w:rsidP="0084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169" w:type="dxa"/>
          </w:tcPr>
          <w:p w:rsidR="0088611C" w:rsidRPr="0056731E" w:rsidRDefault="002E21C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56731E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8611C" w:rsidRPr="0056731E" w:rsidTr="00B3571F">
        <w:tc>
          <w:tcPr>
            <w:tcW w:w="3239" w:type="dxa"/>
          </w:tcPr>
          <w:p w:rsidR="00DC0851" w:rsidRPr="0056731E" w:rsidRDefault="0088611C" w:rsidP="002E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  <w:r w:rsidR="002E21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1C2" w:rsidRPr="0056731E">
              <w:rPr>
                <w:rFonts w:ascii="Times New Roman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169" w:type="dxa"/>
          </w:tcPr>
          <w:p w:rsidR="0088611C" w:rsidRPr="0056731E" w:rsidRDefault="002E21C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88611C" w:rsidRPr="0056731E" w:rsidRDefault="0088611C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5A7E96" w:rsidRPr="00846106" w:rsidRDefault="005A7E96" w:rsidP="005A7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7420" w:rsidRDefault="0088611C" w:rsidP="00B826FE">
      <w:pPr>
        <w:pStyle w:val="3"/>
        <w:ind w:firstLine="567"/>
        <w:jc w:val="both"/>
        <w:rPr>
          <w:rFonts w:eastAsia="Calibri"/>
          <w:szCs w:val="28"/>
        </w:rPr>
      </w:pPr>
      <w:r w:rsidRPr="0056731E">
        <w:rPr>
          <w:rFonts w:eastAsia="Calibri"/>
          <w:szCs w:val="28"/>
        </w:rPr>
        <w:t xml:space="preserve">Проблема, яку пропонується врегулювати в результаті прийняття регуляторного </w:t>
      </w:r>
      <w:proofErr w:type="spellStart"/>
      <w:r w:rsidRPr="0056731E">
        <w:rPr>
          <w:rFonts w:eastAsia="Calibri"/>
          <w:szCs w:val="28"/>
        </w:rPr>
        <w:t>акта</w:t>
      </w:r>
      <w:proofErr w:type="spellEnd"/>
      <w:r w:rsidRPr="0056731E">
        <w:rPr>
          <w:rFonts w:eastAsia="Calibri"/>
          <w:szCs w:val="28"/>
        </w:rPr>
        <w:t>, не може бути розв’язана за допомогою ринкових механізмів, оскільки потребує нормативно-правового врегулювання</w:t>
      </w:r>
      <w:r w:rsidR="00182404">
        <w:rPr>
          <w:rFonts w:eastAsia="Calibri"/>
          <w:szCs w:val="28"/>
        </w:rPr>
        <w:t xml:space="preserve">, </w:t>
      </w:r>
      <w:r w:rsidR="00182404" w:rsidRPr="006B7420">
        <w:rPr>
          <w:rFonts w:eastAsia="Calibri"/>
          <w:szCs w:val="28"/>
        </w:rPr>
        <w:t xml:space="preserve">адже частиною </w:t>
      </w:r>
      <w:r w:rsidR="006B7420" w:rsidRPr="006B7420">
        <w:rPr>
          <w:rFonts w:eastAsia="Calibri"/>
          <w:szCs w:val="28"/>
        </w:rPr>
        <w:t xml:space="preserve">третьою статті 40 </w:t>
      </w:r>
      <w:r w:rsidR="00182404" w:rsidRPr="006B7420">
        <w:rPr>
          <w:rFonts w:eastAsia="Calibri"/>
          <w:szCs w:val="28"/>
        </w:rPr>
        <w:t>Закону встановлено, що</w:t>
      </w:r>
      <w:r w:rsidR="006B7420" w:rsidRPr="006B7420">
        <w:rPr>
          <w:rFonts w:eastAsia="Calibri"/>
          <w:szCs w:val="28"/>
        </w:rPr>
        <w:t xml:space="preserve"> Правила технічної експлуатації полігонів, припинення експлуатації, рекультивації та догляду за полігонами після припинення їх експлуатації затверджуються центральним органом виконавчої влади, що забезпечує формування державної політики у сфері охорони навколишнього природного середовища.</w:t>
      </w:r>
    </w:p>
    <w:p w:rsidR="00846106" w:rsidRPr="00846106" w:rsidRDefault="00846106" w:rsidP="00B826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56731E" w:rsidRDefault="00362149" w:rsidP="00B826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B826FE" w:rsidRDefault="00846106" w:rsidP="0036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</w:t>
      </w:r>
      <w:r w:rsidR="00362149" w:rsidRPr="0056731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362149" w:rsidRPr="0056731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62149" w:rsidRPr="00567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149"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62149" w:rsidRPr="0056731E">
        <w:rPr>
          <w:rFonts w:ascii="Times New Roman" w:hAnsi="Times New Roman" w:cs="Times New Roman"/>
          <w:sz w:val="28"/>
          <w:szCs w:val="28"/>
        </w:rPr>
        <w:t xml:space="preserve"> є </w:t>
      </w:r>
      <w:r w:rsidR="00412C6E">
        <w:rPr>
          <w:rFonts w:ascii="Times New Roman" w:hAnsi="Times New Roman" w:cs="Times New Roman"/>
          <w:sz w:val="28"/>
          <w:szCs w:val="28"/>
        </w:rPr>
        <w:t>визначення</w:t>
      </w:r>
      <w:r w:rsidR="00412C6E" w:rsidRPr="00816523">
        <w:rPr>
          <w:rFonts w:ascii="Times New Roman" w:hAnsi="Times New Roman" w:cs="Times New Roman"/>
          <w:sz w:val="28"/>
          <w:szCs w:val="28"/>
        </w:rPr>
        <w:t xml:space="preserve"> </w:t>
      </w:r>
      <w:r w:rsidR="00412C6E">
        <w:rPr>
          <w:rFonts w:ascii="Times New Roman" w:hAnsi="Times New Roman" w:cs="Times New Roman"/>
          <w:sz w:val="28"/>
          <w:szCs w:val="28"/>
        </w:rPr>
        <w:t>єдиних</w:t>
      </w:r>
      <w:r w:rsidR="00412C6E" w:rsidRPr="00816523">
        <w:rPr>
          <w:rFonts w:ascii="Times New Roman" w:hAnsi="Times New Roman" w:cs="Times New Roman"/>
          <w:sz w:val="28"/>
          <w:szCs w:val="28"/>
        </w:rPr>
        <w:t xml:space="preserve"> правил для всіх суб’єктів господарювання, що здійснюють технічну експлуатацію полігону, припинення експлуатації, рекультивацію та догляд за полігоном після припинення його експлуатації, відповідно до вимог законодавства</w:t>
      </w:r>
      <w:r w:rsidR="00DC0851">
        <w:rPr>
          <w:rFonts w:ascii="Times New Roman" w:hAnsi="Times New Roman" w:cs="Times New Roman"/>
          <w:sz w:val="28"/>
          <w:szCs w:val="28"/>
        </w:rPr>
        <w:t>.</w:t>
      </w:r>
    </w:p>
    <w:p w:rsidR="00570168" w:rsidRPr="0056731E" w:rsidRDefault="00570168" w:rsidP="0036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Так, основними цілями державного регулювання, що будуть досягнуті з прийняттям </w:t>
      </w:r>
      <w:proofErr w:type="spellStart"/>
      <w:r w:rsidRPr="0056731E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106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color w:val="000000"/>
          <w:sz w:val="28"/>
          <w:szCs w:val="28"/>
        </w:rPr>
        <w:t>, є:</w:t>
      </w:r>
    </w:p>
    <w:p w:rsidR="00BD4857" w:rsidRPr="0056731E" w:rsidRDefault="00BD4857" w:rsidP="003601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70168"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ахист прав, законних інтересів, життя та здоров'я громадян, </w:t>
      </w:r>
      <w:r w:rsidR="00B557C4">
        <w:rPr>
          <w:rFonts w:ascii="Times New Roman" w:hAnsi="Times New Roman" w:cs="Times New Roman"/>
          <w:color w:val="000000"/>
          <w:sz w:val="28"/>
          <w:szCs w:val="28"/>
        </w:rPr>
        <w:t xml:space="preserve">охорона </w:t>
      </w:r>
      <w:r w:rsidR="00570168" w:rsidRPr="0056731E">
        <w:rPr>
          <w:rFonts w:ascii="Times New Roman" w:hAnsi="Times New Roman" w:cs="Times New Roman"/>
          <w:color w:val="000000"/>
          <w:sz w:val="28"/>
          <w:szCs w:val="28"/>
        </w:rPr>
        <w:t>навколишнього природного середовища та забезпечення безпеки держави шляхом вживання відповідних</w:t>
      </w:r>
      <w:r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 заходів;</w:t>
      </w:r>
    </w:p>
    <w:p w:rsidR="00570168" w:rsidRPr="00266275" w:rsidRDefault="00BD4857" w:rsidP="003601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846BB"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</w:t>
      </w:r>
      <w:r w:rsidR="00B826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26FE" w:rsidRPr="00816523">
        <w:rPr>
          <w:rFonts w:ascii="Times New Roman" w:hAnsi="Times New Roman" w:cs="Times New Roman"/>
          <w:sz w:val="28"/>
          <w:szCs w:val="28"/>
        </w:rPr>
        <w:t>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F6568E">
        <w:rPr>
          <w:rFonts w:ascii="Times New Roman" w:hAnsi="Times New Roman" w:cs="Times New Roman"/>
          <w:sz w:val="28"/>
          <w:szCs w:val="28"/>
        </w:rPr>
        <w:t xml:space="preserve"> (далі – Правила)</w:t>
      </w:r>
      <w:r w:rsidR="00570168"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, вимоги яких будуть однозначними, прозорими та матимуть можливість їх суб’єктивного застосування </w:t>
      </w:r>
      <w:r w:rsidR="008846BB" w:rsidRPr="0056731E">
        <w:rPr>
          <w:rFonts w:ascii="Times New Roman" w:hAnsi="Times New Roman" w:cs="Times New Roman"/>
          <w:sz w:val="28"/>
          <w:szCs w:val="28"/>
        </w:rPr>
        <w:t>суб’єкт</w:t>
      </w:r>
      <w:r w:rsidR="00B826FE">
        <w:rPr>
          <w:rFonts w:ascii="Times New Roman" w:hAnsi="Times New Roman" w:cs="Times New Roman"/>
          <w:sz w:val="28"/>
          <w:szCs w:val="28"/>
        </w:rPr>
        <w:t>ами</w:t>
      </w:r>
      <w:r w:rsidR="008846BB" w:rsidRPr="0056731E">
        <w:rPr>
          <w:rFonts w:ascii="Times New Roman" w:hAnsi="Times New Roman" w:cs="Times New Roman"/>
          <w:sz w:val="28"/>
          <w:szCs w:val="28"/>
        </w:rPr>
        <w:t xml:space="preserve"> господарювання</w:t>
      </w:r>
      <w:r w:rsidR="00570168" w:rsidRPr="0056731E">
        <w:rPr>
          <w:rFonts w:ascii="Times New Roman" w:hAnsi="Times New Roman" w:cs="Times New Roman"/>
          <w:color w:val="000000"/>
          <w:sz w:val="28"/>
          <w:szCs w:val="28"/>
        </w:rPr>
        <w:t xml:space="preserve">, що здійснюють господарську діяльність з управління відходами. </w:t>
      </w:r>
    </w:p>
    <w:p w:rsidR="005A2E3B" w:rsidRPr="00B557C4" w:rsidRDefault="005A2E3B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149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362149" w:rsidRPr="0056731E" w:rsidRDefault="00362149" w:rsidP="005A7E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Визначення альтернативних способів</w:t>
      </w:r>
    </w:p>
    <w:p w:rsidR="005A7E96" w:rsidRPr="007D7BD9" w:rsidRDefault="005A7E96" w:rsidP="005A7E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42" w:type="dxa"/>
        <w:tblInd w:w="-108" w:type="dxa"/>
        <w:tblLook w:val="04A0" w:firstRow="1" w:lastRow="0" w:firstColumn="1" w:lastColumn="0" w:noHBand="0" w:noVBand="1"/>
      </w:tblPr>
      <w:tblGrid>
        <w:gridCol w:w="2513"/>
        <w:gridCol w:w="7229"/>
      </w:tblGrid>
      <w:tr w:rsidR="00362149" w:rsidRPr="0056731E" w:rsidTr="00261AD1">
        <w:tc>
          <w:tcPr>
            <w:tcW w:w="2513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229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362149" w:rsidRPr="0056731E" w:rsidTr="00846106">
        <w:trPr>
          <w:trHeight w:val="1314"/>
        </w:trPr>
        <w:tc>
          <w:tcPr>
            <w:tcW w:w="2513" w:type="dxa"/>
          </w:tcPr>
          <w:p w:rsidR="00362149" w:rsidRPr="0056731E" w:rsidRDefault="00362149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5A7E96" w:rsidRDefault="00CE105B" w:rsidP="007D7B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  <w:p w:rsidR="00B557C4" w:rsidRPr="0056731E" w:rsidRDefault="00B557C4" w:rsidP="007D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A2E3B" w:rsidRPr="0056731E" w:rsidRDefault="000E51DA" w:rsidP="000C706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Полігони залишаються </w:t>
            </w:r>
            <w:r w:rsidR="0072538C" w:rsidRPr="0072538C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джерелами </w:t>
            </w:r>
            <w:r w:rsidR="0072538C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846106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зповсюдження інфекційних </w:t>
            </w:r>
            <w:proofErr w:type="spellStart"/>
            <w:r w:rsidR="00846106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846106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2538C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>забруднення підземних вод</w:t>
            </w:r>
            <w:r w:rsidR="00846106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538C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утворення </w:t>
            </w:r>
            <w:proofErr w:type="spellStart"/>
            <w:r w:rsidR="0072538C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>звалищного</w:t>
            </w:r>
            <w:proofErr w:type="spellEnd"/>
            <w:r w:rsidR="0072538C" w:rsidRP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газу</w:t>
            </w:r>
            <w:r w:rsidR="00846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2538C" w:rsidRPr="007253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самозаймання.</w:t>
            </w:r>
          </w:p>
        </w:tc>
      </w:tr>
      <w:tr w:rsidR="00362149" w:rsidRPr="0056731E" w:rsidTr="00261AD1">
        <w:tc>
          <w:tcPr>
            <w:tcW w:w="2513" w:type="dxa"/>
          </w:tcPr>
          <w:p w:rsidR="00362149" w:rsidRPr="0056731E" w:rsidRDefault="00362149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lastRenderedPageBreak/>
              <w:t>Альтернатива 2</w:t>
            </w:r>
          </w:p>
          <w:p w:rsidR="00362149" w:rsidRPr="0056731E" w:rsidRDefault="00CE105B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7229" w:type="dxa"/>
          </w:tcPr>
          <w:p w:rsidR="005A7E96" w:rsidRDefault="00362149" w:rsidP="0004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Запропонований спосіб вирішення зазначеної пробле</w:t>
            </w:r>
            <w:r w:rsidR="00487029"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>ми є найбільш доцільним та дає</w:t>
            </w:r>
            <w:r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змогу 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вимоги </w:t>
            </w:r>
            <w:r w:rsidR="00B826FE">
              <w:rPr>
                <w:rFonts w:ascii="Times New Roman" w:hAnsi="Times New Roman" w:cs="Times New Roman"/>
                <w:sz w:val="28"/>
                <w:szCs w:val="28"/>
              </w:rPr>
              <w:t>частини третьої статті 4</w:t>
            </w:r>
            <w:r w:rsidR="00FC2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5025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, а також 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створить умови для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зменш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негативного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C6E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на навколишнє природне середовище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 xml:space="preserve">, зменшенню рівня </w:t>
            </w:r>
            <w:r w:rsidR="00DC0851" w:rsidRPr="006E47F6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атмосферного повітря, води й земель унаслідок покращення технічних та експлуатаційних характеристик </w:t>
            </w:r>
            <w:r w:rsidR="000E51DA">
              <w:rPr>
                <w:rFonts w:ascii="Times New Roman" w:hAnsi="Times New Roman" w:cs="Times New Roman"/>
                <w:sz w:val="28"/>
                <w:szCs w:val="28"/>
              </w:rPr>
              <w:t>полігона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C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сприятиме покращенню здоров’я населення та санітарно-епідеміологічного стану територій довкола </w:t>
            </w:r>
            <w:r w:rsidR="000E51DA">
              <w:rPr>
                <w:rFonts w:ascii="Times New Roman" w:hAnsi="Times New Roman" w:cs="Times New Roman"/>
                <w:sz w:val="28"/>
                <w:szCs w:val="28"/>
              </w:rPr>
              <w:t>полігонів</w:t>
            </w:r>
            <w:r w:rsidR="00412C6E" w:rsidRPr="0081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E3B" w:rsidRPr="0056731E" w:rsidRDefault="005A2E3B" w:rsidP="00DC085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05B" w:rsidRDefault="00CE105B" w:rsidP="00740E77">
      <w:pPr>
        <w:pStyle w:val="10"/>
        <w:spacing w:before="120"/>
        <w:ind w:firstLine="601"/>
        <w:jc w:val="both"/>
        <w:rPr>
          <w:color w:val="000000"/>
          <w:lang w:bidi="uk-UA"/>
        </w:rPr>
      </w:pPr>
      <w:r w:rsidRPr="0056731E">
        <w:rPr>
          <w:color w:val="000000"/>
          <w:lang w:bidi="uk-UA"/>
        </w:rPr>
        <w:t>Таким чином, Альтернатива 2 є прийнятним і єдиним способом досягнення зазначених цілей.</w:t>
      </w:r>
    </w:p>
    <w:p w:rsidR="00412C6E" w:rsidRPr="0056731E" w:rsidRDefault="00412C6E" w:rsidP="00846106">
      <w:pPr>
        <w:pStyle w:val="10"/>
        <w:ind w:firstLine="601"/>
        <w:jc w:val="both"/>
        <w:rPr>
          <w:color w:val="000000"/>
          <w:lang w:bidi="uk-UA"/>
        </w:rPr>
      </w:pPr>
    </w:p>
    <w:p w:rsidR="00362149" w:rsidRPr="0056731E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362149" w:rsidRPr="0056731E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держави</w:t>
      </w:r>
    </w:p>
    <w:p w:rsidR="005A7E96" w:rsidRPr="00740E77" w:rsidRDefault="005A7E96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2" w:type="dxa"/>
        <w:tblInd w:w="-108" w:type="dxa"/>
        <w:tblLook w:val="04A0" w:firstRow="1" w:lastRow="0" w:firstColumn="1" w:lastColumn="0" w:noHBand="0" w:noVBand="1"/>
      </w:tblPr>
      <w:tblGrid>
        <w:gridCol w:w="2230"/>
        <w:gridCol w:w="5103"/>
        <w:gridCol w:w="2409"/>
      </w:tblGrid>
      <w:tr w:rsidR="00362149" w:rsidRPr="0056731E" w:rsidTr="00846106">
        <w:tc>
          <w:tcPr>
            <w:tcW w:w="2230" w:type="dxa"/>
          </w:tcPr>
          <w:p w:rsidR="00362149" w:rsidRPr="0056731E" w:rsidRDefault="00362149" w:rsidP="005A7E96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5103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409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362149" w:rsidRPr="0056731E" w:rsidTr="00846106">
        <w:tc>
          <w:tcPr>
            <w:tcW w:w="2230" w:type="dxa"/>
          </w:tcPr>
          <w:p w:rsidR="00A20136" w:rsidRPr="0056731E" w:rsidRDefault="00A20136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362149" w:rsidRDefault="00A2013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7C4" w:rsidRPr="0056731E" w:rsidRDefault="00B557C4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57C4" w:rsidRPr="0056731E" w:rsidRDefault="00B557C4" w:rsidP="00B557C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B632DA" w:rsidRPr="0056731E" w:rsidRDefault="00B632DA" w:rsidP="00740E77">
            <w:pPr>
              <w:pStyle w:val="af3"/>
              <w:tabs>
                <w:tab w:val="left" w:pos="1142"/>
              </w:tabs>
              <w:ind w:firstLine="0"/>
            </w:pPr>
          </w:p>
        </w:tc>
        <w:tc>
          <w:tcPr>
            <w:tcW w:w="2409" w:type="dxa"/>
          </w:tcPr>
          <w:p w:rsidR="00362149" w:rsidRPr="0056731E" w:rsidRDefault="00362149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  <w:p w:rsidR="00362149" w:rsidRPr="0056731E" w:rsidRDefault="00362149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49" w:rsidRPr="0056731E" w:rsidTr="00846106">
        <w:tc>
          <w:tcPr>
            <w:tcW w:w="2230" w:type="dxa"/>
          </w:tcPr>
          <w:p w:rsidR="00362149" w:rsidRPr="0056731E" w:rsidRDefault="00362149" w:rsidP="005A7E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2</w:t>
            </w:r>
          </w:p>
          <w:p w:rsidR="00362149" w:rsidRPr="0056731E" w:rsidRDefault="00A2013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5103" w:type="dxa"/>
          </w:tcPr>
          <w:p w:rsidR="00266275" w:rsidRPr="00EA3D33" w:rsidRDefault="00266275" w:rsidP="00266275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A3D33">
              <w:rPr>
                <w:rFonts w:eastAsiaTheme="minorHAnsi"/>
                <w:sz w:val="28"/>
                <w:szCs w:val="28"/>
                <w:lang w:val="uk-UA" w:eastAsia="en-US"/>
              </w:rPr>
              <w:t>Високі</w:t>
            </w:r>
          </w:p>
          <w:p w:rsidR="006B7A66" w:rsidRPr="0056731E" w:rsidRDefault="00846106" w:rsidP="00B55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для держави вигода полягатиме в удосконаленні законодавства, завдяки чому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апропонований спосіб вирішення зазначеної проблеми є найбільш доцільним та дає змогу 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вимоги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частини третьої статті 40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Закону, а також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створить умови для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зменш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негативного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на навколишнє природне середовище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зменшенню рівня </w:t>
            </w:r>
            <w:r w:rsidRPr="006E47F6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атмосферного повітря, води й земель унаслідок покращення технічних та експлуатаційних характеристик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полігона</w:t>
            </w:r>
            <w:r w:rsidR="00B557C4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  <w:r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сприятиме покращенню здоров’я населення та санітарно-епідеміологічного стану територій довкола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полігонів</w:t>
            </w:r>
          </w:p>
        </w:tc>
        <w:tc>
          <w:tcPr>
            <w:tcW w:w="2409" w:type="dxa"/>
          </w:tcPr>
          <w:p w:rsidR="005A7E96" w:rsidRPr="0056731E" w:rsidRDefault="005A7E9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B55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EDE" w:rsidRPr="0056731E" w:rsidRDefault="00A20136" w:rsidP="0004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Додаткових витрат з державного 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чи місцевих</w:t>
            </w:r>
            <w:r w:rsidR="00935025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передбачається</w:t>
            </w:r>
          </w:p>
        </w:tc>
      </w:tr>
    </w:tbl>
    <w:p w:rsidR="00325E31" w:rsidRPr="0056731E" w:rsidRDefault="00325E31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Оцінка впливу на сферу інтересів громадян</w:t>
      </w:r>
    </w:p>
    <w:p w:rsidR="007D7BD9" w:rsidRPr="0056731E" w:rsidRDefault="007D7BD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362149" w:rsidRPr="0056731E" w:rsidTr="004B4734">
        <w:tc>
          <w:tcPr>
            <w:tcW w:w="2263" w:type="dxa"/>
          </w:tcPr>
          <w:p w:rsidR="00362149" w:rsidRPr="0056731E" w:rsidRDefault="00362149" w:rsidP="005A7E96">
            <w:pPr>
              <w:pBdr>
                <w:between w:val="single" w:sz="4" w:space="1" w:color="auto"/>
              </w:pBd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4962" w:type="dxa"/>
          </w:tcPr>
          <w:p w:rsidR="00362149" w:rsidRPr="0056731E" w:rsidRDefault="00362149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409" w:type="dxa"/>
          </w:tcPr>
          <w:p w:rsidR="00362149" w:rsidRPr="0056731E" w:rsidRDefault="00362149" w:rsidP="005A7E96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0C60FF" w:rsidRPr="0056731E" w:rsidTr="004B4734">
        <w:tc>
          <w:tcPr>
            <w:tcW w:w="2263" w:type="dxa"/>
          </w:tcPr>
          <w:p w:rsidR="000C60FF" w:rsidRPr="0056731E" w:rsidRDefault="000C60FF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0C60FF" w:rsidRPr="0056731E" w:rsidRDefault="000C60FF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4962" w:type="dxa"/>
            <w:shd w:val="clear" w:color="auto" w:fill="auto"/>
          </w:tcPr>
          <w:p w:rsidR="000C60FF" w:rsidRPr="0056731E" w:rsidRDefault="000C60FF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  <w:p w:rsidR="00B632DA" w:rsidRPr="0056731E" w:rsidRDefault="00B632DA" w:rsidP="00DC085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0C60FF" w:rsidRPr="0056731E" w:rsidRDefault="001920BD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</w:tc>
      </w:tr>
      <w:tr w:rsidR="000C60FF" w:rsidRPr="0056731E" w:rsidTr="004B4734">
        <w:tc>
          <w:tcPr>
            <w:tcW w:w="2263" w:type="dxa"/>
          </w:tcPr>
          <w:p w:rsidR="000C60FF" w:rsidRPr="0056731E" w:rsidRDefault="000C60FF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0C60FF" w:rsidRPr="0056731E" w:rsidRDefault="000C60FF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266275" w:rsidRPr="00EA3D33" w:rsidRDefault="00266275" w:rsidP="00266275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A3D33">
              <w:rPr>
                <w:rFonts w:eastAsiaTheme="minorHAnsi"/>
                <w:sz w:val="28"/>
                <w:szCs w:val="28"/>
                <w:lang w:val="uk-UA" w:eastAsia="en-US"/>
              </w:rPr>
              <w:t>Високі</w:t>
            </w:r>
            <w:r w:rsidR="00B557C4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5A7E96" w:rsidRPr="0056731E" w:rsidRDefault="000E51DA" w:rsidP="000E51D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Належна експлуатація полігонів</w:t>
            </w:r>
            <w:r w:rsidR="005A7E96" w:rsidRPr="005673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A7E96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сприяє </w:t>
            </w:r>
            <w:r w:rsidR="00DC0851" w:rsidRPr="00816523">
              <w:rPr>
                <w:rFonts w:ascii="Times New Roman" w:hAnsi="Times New Roman" w:cs="Times New Roman"/>
                <w:sz w:val="28"/>
                <w:szCs w:val="28"/>
              </w:rPr>
              <w:t>покращенню здоров’я населення та санітарно-епідеміологічного стану територій довкола</w:t>
            </w:r>
            <w:r w:rsidR="00DC0851">
              <w:rPr>
                <w:rFonts w:ascii="Times New Roman" w:hAnsi="Times New Roman" w:cs="Times New Roman"/>
                <w:sz w:val="28"/>
                <w:szCs w:val="28"/>
              </w:rPr>
              <w:t xml:space="preserve"> полігонів</w:t>
            </w:r>
          </w:p>
        </w:tc>
        <w:tc>
          <w:tcPr>
            <w:tcW w:w="2409" w:type="dxa"/>
            <w:shd w:val="clear" w:color="auto" w:fill="auto"/>
          </w:tcPr>
          <w:p w:rsidR="000C60FF" w:rsidRPr="0056731E" w:rsidRDefault="000C60FF" w:rsidP="005A7E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3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Відсутні</w:t>
            </w:r>
          </w:p>
        </w:tc>
      </w:tr>
    </w:tbl>
    <w:p w:rsidR="00362149" w:rsidRPr="0056731E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56731E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Оцінка впливів на сферу інтересів суб’єктів господарювання</w:t>
      </w:r>
    </w:p>
    <w:p w:rsidR="00E150E2" w:rsidRPr="0056731E" w:rsidRDefault="00E150E2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992"/>
        <w:gridCol w:w="993"/>
        <w:gridCol w:w="1275"/>
      </w:tblGrid>
      <w:tr w:rsidR="00E47EC4" w:rsidRPr="0056731E" w:rsidTr="00E47EC4">
        <w:tc>
          <w:tcPr>
            <w:tcW w:w="3964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134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1276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992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993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1275" w:type="dxa"/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E47EC4" w:rsidRPr="0056731E" w:rsidTr="00E47EC4">
        <w:tc>
          <w:tcPr>
            <w:tcW w:w="3964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ind w:left="-113"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5377</w:t>
            </w: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E47EC4" w:rsidRPr="0056731E" w:rsidTr="00E47E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ind w:left="-113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C4" w:rsidRPr="0056731E" w:rsidRDefault="00E47EC4" w:rsidP="00E47E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5A7E96" w:rsidRPr="0056731E" w:rsidRDefault="005A7E96" w:rsidP="005A7E96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4516A2" w:rsidRPr="0056731E" w:rsidRDefault="004516A2" w:rsidP="005A7E96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Загальна кількість суб’єктів господарювання, що здійснюють експлуатацію </w:t>
      </w:r>
      <w:r w:rsidRPr="0056731E">
        <w:rPr>
          <w:rFonts w:ascii="Times New Roman" w:hAnsi="Times New Roman" w:cs="Times New Roman"/>
          <w:sz w:val="28"/>
          <w:szCs w:val="28"/>
        </w:rPr>
        <w:t>сміттєзвалищ, які не відповідають нормам екологічної безпеки</w:t>
      </w: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вказана згідно з </w:t>
      </w:r>
      <w:r w:rsidRPr="004516A2">
        <w:rPr>
          <w:rFonts w:ascii="Times New Roman" w:hAnsi="Times New Roman" w:cs="Times New Roman"/>
          <w:sz w:val="28"/>
          <w:szCs w:val="28"/>
        </w:rPr>
        <w:t>Аналіз</w:t>
      </w:r>
      <w:r w:rsidRPr="0056731E">
        <w:rPr>
          <w:rFonts w:ascii="Times New Roman" w:hAnsi="Times New Roman" w:cs="Times New Roman"/>
          <w:sz w:val="28"/>
          <w:szCs w:val="28"/>
        </w:rPr>
        <w:t>ом</w:t>
      </w:r>
      <w:r w:rsidRPr="004516A2">
        <w:rPr>
          <w:rFonts w:ascii="Times New Roman" w:hAnsi="Times New Roman" w:cs="Times New Roman"/>
          <w:sz w:val="28"/>
          <w:szCs w:val="28"/>
        </w:rPr>
        <w:t xml:space="preserve"> стану сфери поводження з побутовими відходами в Україні за 2022 рік</w:t>
      </w: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розміщеним на офіційному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вебсайт</w:t>
      </w: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>і</w:t>
      </w:r>
      <w:proofErr w:type="spellEnd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>Мінінфраструктури</w:t>
      </w:r>
      <w:proofErr w:type="spellEnd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F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8" w:history="1">
        <w:r w:rsidR="005A7E96" w:rsidRPr="0056731E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https://mtu.gov.ua/news/34323.html</w:t>
        </w:r>
      </w:hyperlink>
      <w:r w:rsidR="00607BFE">
        <w:rPr>
          <w:rStyle w:val="ab"/>
          <w:rFonts w:ascii="Times New Roman" w:hAnsi="Times New Roman" w:cs="Times New Roman"/>
          <w:bCs/>
          <w:color w:val="auto"/>
          <w:sz w:val="28"/>
          <w:szCs w:val="28"/>
          <w:u w:val="none"/>
        </w:rPr>
        <w:t>)</w:t>
      </w:r>
    </w:p>
    <w:p w:rsidR="0056731E" w:rsidRPr="0056731E" w:rsidRDefault="0056731E" w:rsidP="005A7E96">
      <w:pPr>
        <w:tabs>
          <w:tab w:val="left" w:pos="1800"/>
        </w:tabs>
        <w:spacing w:after="0" w:line="240" w:lineRule="auto"/>
        <w:ind w:right="-1"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3118"/>
      </w:tblGrid>
      <w:tr w:rsidR="00362149" w:rsidRPr="0056731E" w:rsidTr="004B4734">
        <w:tc>
          <w:tcPr>
            <w:tcW w:w="2263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4253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118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C04E83" w:rsidRPr="0056731E" w:rsidTr="004B4734">
        <w:tc>
          <w:tcPr>
            <w:tcW w:w="2263" w:type="dxa"/>
          </w:tcPr>
          <w:p w:rsidR="00C04E83" w:rsidRPr="0056731E" w:rsidRDefault="00C04E83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C04E83" w:rsidRPr="0056731E" w:rsidRDefault="00C04E83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4253" w:type="dxa"/>
          </w:tcPr>
          <w:p w:rsidR="00B557C4" w:rsidRDefault="008846BB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r w:rsidR="00B55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6BB" w:rsidRPr="0056731E" w:rsidRDefault="00B557C4" w:rsidP="00B5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6BB" w:rsidRPr="0056731E">
              <w:rPr>
                <w:rFonts w:ascii="Times New Roman" w:hAnsi="Times New Roman" w:cs="Times New Roman"/>
                <w:sz w:val="28"/>
                <w:szCs w:val="28"/>
              </w:rPr>
              <w:t>роблема залишається невирішеною</w:t>
            </w:r>
          </w:p>
          <w:p w:rsidR="00432FF2" w:rsidRPr="0056731E" w:rsidRDefault="00432FF2" w:rsidP="0056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6B77" w:rsidRPr="0056731E" w:rsidRDefault="00432FF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C04E83" w:rsidRPr="0056731E" w:rsidTr="004B4734">
        <w:tc>
          <w:tcPr>
            <w:tcW w:w="2263" w:type="dxa"/>
          </w:tcPr>
          <w:p w:rsidR="00C04E83" w:rsidRPr="0056731E" w:rsidRDefault="00C04E83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C04E83" w:rsidRPr="0056731E" w:rsidRDefault="00C04E83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253" w:type="dxa"/>
          </w:tcPr>
          <w:p w:rsidR="00C04E83" w:rsidRPr="0056731E" w:rsidRDefault="00C04E83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6731E">
              <w:rPr>
                <w:rFonts w:eastAsiaTheme="minorHAnsi"/>
                <w:sz w:val="28"/>
                <w:szCs w:val="28"/>
                <w:lang w:val="uk-UA" w:eastAsia="en-US"/>
              </w:rPr>
              <w:t>Високі</w:t>
            </w:r>
            <w:r w:rsidR="00B557C4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B632DA" w:rsidRPr="0056731E" w:rsidRDefault="00FE2226" w:rsidP="005A7E9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створить умови для</w:t>
            </w:r>
            <w:r w:rsidR="00B632DA" w:rsidRPr="00567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2226" w:rsidRPr="0056731E" w:rsidRDefault="00B86C3C" w:rsidP="005A7E9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766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алежного виконання вимог, передбачених у </w:t>
            </w:r>
            <w:r w:rsidR="00766AAE">
              <w:rPr>
                <w:rFonts w:ascii="Times New Roman" w:hAnsi="Times New Roman" w:cs="Times New Roman"/>
                <w:sz w:val="28"/>
                <w:szCs w:val="28"/>
              </w:rPr>
              <w:t>дозволі</w:t>
            </w:r>
            <w:r w:rsidR="00766AAE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на здійснення</w:t>
            </w:r>
            <w:r w:rsidR="00766AAE">
              <w:rPr>
                <w:rFonts w:ascii="Times New Roman" w:hAnsi="Times New Roman" w:cs="Times New Roman"/>
                <w:sz w:val="28"/>
                <w:szCs w:val="28"/>
              </w:rPr>
              <w:t xml:space="preserve"> операцій з оброблення відходів</w:t>
            </w:r>
            <w:r w:rsidR="00FE2226" w:rsidRPr="00567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FF2" w:rsidRPr="0056731E" w:rsidRDefault="00917E91" w:rsidP="00587763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56731E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</w:t>
            </w:r>
            <w:r w:rsidRPr="0056731E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місцевого самоврядування у процесі </w:t>
            </w:r>
            <w:r w:rsidR="00587763">
              <w:rPr>
                <w:rFonts w:eastAsia="Times New Roman"/>
                <w:sz w:val="28"/>
                <w:szCs w:val="28"/>
                <w:lang w:val="uk-UA"/>
              </w:rPr>
              <w:t>експлуатації полігона</w:t>
            </w:r>
          </w:p>
        </w:tc>
        <w:tc>
          <w:tcPr>
            <w:tcW w:w="3118" w:type="dxa"/>
          </w:tcPr>
          <w:p w:rsidR="005A03A3" w:rsidRDefault="005A03A3" w:rsidP="005A7E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Орієнтовні середні витрати на ознайомлення з нормативно</w:t>
            </w:r>
            <w:r w:rsidR="00002C2F" w:rsidRPr="0056731E">
              <w:rPr>
                <w:rFonts w:ascii="Times New Roman" w:hAnsi="Times New Roman" w:cs="Times New Roman"/>
                <w:sz w:val="28"/>
                <w:szCs w:val="28"/>
              </w:rPr>
              <w:t>-правово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ю базою</w:t>
            </w:r>
            <w:r w:rsidR="00390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2C2F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275">
              <w:rPr>
                <w:rFonts w:ascii="Times New Roman" w:hAnsi="Times New Roman" w:cs="Times New Roman"/>
                <w:sz w:val="28"/>
                <w:szCs w:val="28"/>
              </w:rPr>
              <w:t>виконання вимог Правил</w:t>
            </w:r>
            <w:r w:rsidR="00A67F4F"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склад</w:t>
            </w:r>
            <w:r w:rsidR="00B557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атимуть</w:t>
            </w: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717B8" w:rsidRPr="0056731E" w:rsidRDefault="002357BC" w:rsidP="005A7E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57BC">
              <w:rPr>
                <w:rFonts w:ascii="Times New Roman" w:eastAsia="Times New Roman" w:hAnsi="Times New Roman" w:cs="Times New Roman"/>
                <w:sz w:val="28"/>
                <w:szCs w:val="28"/>
              </w:rPr>
              <w:t>16 342 561,14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середніх підприємств;</w:t>
            </w:r>
          </w:p>
          <w:p w:rsidR="005A03A3" w:rsidRPr="0056731E" w:rsidRDefault="00123021" w:rsidP="00390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грн. для усіх малих </w:t>
            </w:r>
            <w:r w:rsidR="005A03A3"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</w:p>
        </w:tc>
      </w:tr>
    </w:tbl>
    <w:p w:rsidR="004516A2" w:rsidRPr="0056731E" w:rsidRDefault="004516A2" w:rsidP="005A7E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362149" w:rsidRPr="0056731E" w:rsidTr="002357BC">
        <w:tc>
          <w:tcPr>
            <w:tcW w:w="4531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5103" w:type="dxa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Сума витрат, гривень</w:t>
            </w:r>
          </w:p>
        </w:tc>
      </w:tr>
      <w:tr w:rsidR="009E7B82" w:rsidRPr="0056731E" w:rsidTr="002357BC">
        <w:tc>
          <w:tcPr>
            <w:tcW w:w="4531" w:type="dxa"/>
          </w:tcPr>
          <w:p w:rsidR="009E7B82" w:rsidRPr="0056731E" w:rsidRDefault="009E7B82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56731E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5103" w:type="dxa"/>
          </w:tcPr>
          <w:p w:rsidR="009E7B82" w:rsidRPr="0056731E" w:rsidRDefault="00B557C4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9E7B82" w:rsidRPr="0056731E" w:rsidTr="002357BC">
        <w:tc>
          <w:tcPr>
            <w:tcW w:w="4531" w:type="dxa"/>
          </w:tcPr>
          <w:p w:rsidR="009E7B82" w:rsidRPr="0056731E" w:rsidRDefault="009E7B82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56731E" w:rsidRDefault="009E7B82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5103" w:type="dxa"/>
          </w:tcPr>
          <w:p w:rsidR="00123021" w:rsidRPr="0056731E" w:rsidRDefault="00B557C4" w:rsidP="001230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7B82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итрати, які будуть виникати внаслідок дії регуляторного </w:t>
            </w:r>
            <w:proofErr w:type="spellStart"/>
            <w:r w:rsidR="009E7B82"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9E7B82" w:rsidRPr="0056731E">
              <w:rPr>
                <w:rFonts w:ascii="Times New Roman" w:hAnsi="Times New Roman" w:cs="Times New Roman"/>
                <w:sz w:val="28"/>
                <w:szCs w:val="28"/>
              </w:rPr>
              <w:t>, наведені у розрахунках у додатку до аналізу регуляторного впливу і склада</w:t>
            </w:r>
            <w:r w:rsidR="00740E77">
              <w:rPr>
                <w:rFonts w:ascii="Times New Roman" w:hAnsi="Times New Roman" w:cs="Times New Roman"/>
                <w:sz w:val="28"/>
                <w:szCs w:val="28"/>
              </w:rPr>
              <w:t>тимуть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7B82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7BC" w:rsidRPr="002357BC">
              <w:rPr>
                <w:rFonts w:ascii="Times New Roman" w:eastAsia="Times New Roman" w:hAnsi="Times New Roman" w:cs="Times New Roman"/>
                <w:sz w:val="28"/>
                <w:szCs w:val="28"/>
              </w:rPr>
              <w:t>16 342 561,14</w:t>
            </w:r>
            <w:r w:rsidR="002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0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середніх підприємств;</w:t>
            </w:r>
          </w:p>
          <w:p w:rsidR="009E7B82" w:rsidRPr="0056731E" w:rsidRDefault="00123021" w:rsidP="00123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83E">
              <w:rPr>
                <w:rFonts w:ascii="Times New Roman" w:eastAsia="Times New Roman" w:hAnsi="Times New Roman" w:cs="Times New Roman"/>
                <w:sz w:val="28"/>
                <w:szCs w:val="28"/>
              </w:rPr>
              <w:t>1 763 165,88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 для усіх малих </w:t>
            </w:r>
            <w:r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</w:t>
            </w:r>
          </w:p>
        </w:tc>
      </w:tr>
    </w:tbl>
    <w:p w:rsidR="00766AAE" w:rsidRDefault="00766AAE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149" w:rsidRPr="0056731E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43398E" w:rsidRPr="0056731E" w:rsidRDefault="0043398E" w:rsidP="005A7E96">
      <w:pPr>
        <w:pStyle w:val="10"/>
        <w:tabs>
          <w:tab w:val="left" w:pos="891"/>
        </w:tabs>
        <w:ind w:left="601" w:firstLine="0"/>
        <w:jc w:val="both"/>
      </w:pPr>
    </w:p>
    <w:tbl>
      <w:tblPr>
        <w:tblStyle w:val="a4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819"/>
      </w:tblGrid>
      <w:tr w:rsidR="00362149" w:rsidRPr="0056731E" w:rsidTr="00C570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ind w:left="-40" w:righ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Бал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результатив-ності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(за чотирибальною системою оцінки)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9E7B82" w:rsidRPr="00C8202A" w:rsidTr="00C570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C8202A" w:rsidRDefault="009E7B82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02A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C8202A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2A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C8202A" w:rsidRDefault="009E7B8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AE" w:rsidRPr="00C8202A" w:rsidRDefault="00766AAE" w:rsidP="00766AAE">
            <w:pPr>
              <w:tabs>
                <w:tab w:val="left" w:pos="1800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20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Проблема продовжить існувати.</w:t>
            </w:r>
          </w:p>
          <w:p w:rsidR="009E7B82" w:rsidRPr="00C8202A" w:rsidRDefault="00766AAE" w:rsidP="005A2E3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C8202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Здійснення експлуатації полігонів </w:t>
            </w:r>
            <w:r w:rsidRPr="00C820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відпов</w:t>
            </w:r>
            <w:r w:rsidR="00C820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ідатиме</w:t>
            </w:r>
            <w:r w:rsidRPr="00C820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вимогам </w:t>
            </w:r>
            <w:r w:rsidR="005A2E3B" w:rsidRPr="00C820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законодавства</w:t>
            </w:r>
          </w:p>
        </w:tc>
      </w:tr>
      <w:tr w:rsidR="009E7B82" w:rsidRPr="00C8202A" w:rsidTr="00C570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C8202A" w:rsidRDefault="009E7B82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C8202A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C8202A" w:rsidRDefault="009E7B82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2A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C8202A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C8202A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C8202A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C8202A" w:rsidRDefault="009E7B82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C8202A" w:rsidRDefault="009E7B82" w:rsidP="004B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Запропонований спосіб повною мірою сприяє вирішенню зазначеної проблеми, є найбільш доцільним та дасть змогу </w:t>
            </w:r>
            <w:r w:rsidR="00B86C3C" w:rsidRPr="00C8202A">
              <w:rPr>
                <w:rFonts w:ascii="Times New Roman" w:hAnsi="Times New Roman" w:cs="Times New Roman"/>
                <w:sz w:val="28"/>
                <w:szCs w:val="28"/>
              </w:rPr>
              <w:t>виконати вимоги частини третьої статті 4</w:t>
            </w:r>
            <w:r w:rsidR="005A2E3B" w:rsidRPr="00C82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6C3C" w:rsidRPr="00C8202A">
              <w:rPr>
                <w:rFonts w:ascii="Times New Roman" w:hAnsi="Times New Roman" w:cs="Times New Roman"/>
                <w:sz w:val="28"/>
                <w:szCs w:val="28"/>
              </w:rPr>
              <w:t xml:space="preserve"> Закону, а також створить умови для зменшення негативного впливу на навколишнє природне середовище, зменшенню рівня забруднення атмосферного повітря, води й земель унаслідок покращення технічних та експлуатаційних характеристик полігона та сприятиме покращенню здоров’я населення та санітарно-епідеміологічного стану територій довкола полігонів.</w:t>
            </w:r>
          </w:p>
        </w:tc>
      </w:tr>
    </w:tbl>
    <w:p w:rsidR="00B632DA" w:rsidRPr="0056731E" w:rsidRDefault="00B632D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37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646"/>
        <w:gridCol w:w="2504"/>
        <w:gridCol w:w="2504"/>
      </w:tblGrid>
      <w:tr w:rsidR="00362149" w:rsidRPr="0056731E" w:rsidTr="00B3571F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C8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тивності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9E7B82" w:rsidRPr="0056731E" w:rsidTr="00B3571F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56731E" w:rsidRDefault="009E7B82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9E7B82" w:rsidRPr="0056731E" w:rsidRDefault="009E7B82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5" w:rsidRDefault="00264805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держави:</w:t>
            </w:r>
          </w:p>
          <w:p w:rsidR="007D7BD9" w:rsidRDefault="007D7BD9" w:rsidP="007D7BD9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  <w:r w:rsidR="00B557C4">
              <w:t>.</w:t>
            </w:r>
          </w:p>
          <w:p w:rsidR="00B557C4" w:rsidRPr="0056731E" w:rsidRDefault="00B557C4" w:rsidP="007D7BD9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</w:p>
          <w:p w:rsidR="00264805" w:rsidRDefault="00264805" w:rsidP="005A7E96">
            <w:pPr>
              <w:pStyle w:val="af3"/>
              <w:tabs>
                <w:tab w:val="left" w:pos="1142"/>
              </w:tabs>
              <w:ind w:firstLine="0"/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суб’єктів господарювання:</w:t>
            </w:r>
            <w:r w:rsidRPr="0056731E">
              <w:rPr>
                <w:rFonts w:eastAsiaTheme="minorEastAsia"/>
                <w:color w:val="000000" w:themeColor="text1"/>
              </w:rPr>
              <w:t xml:space="preserve"> </w:t>
            </w:r>
            <w:r w:rsidRPr="0056731E">
              <w:t>Відсутні</w:t>
            </w:r>
            <w:r w:rsidR="00B557C4">
              <w:t>.</w:t>
            </w:r>
          </w:p>
          <w:p w:rsidR="00B557C4" w:rsidRPr="0056731E" w:rsidRDefault="00B557C4" w:rsidP="005A7E96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</w:p>
          <w:p w:rsidR="00264805" w:rsidRPr="0056731E" w:rsidRDefault="00264805" w:rsidP="005A7E96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громадян:</w:t>
            </w:r>
          </w:p>
          <w:p w:rsidR="009E7B82" w:rsidRPr="0056731E" w:rsidRDefault="00264805" w:rsidP="005A7E96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76" w:rsidRPr="0056731E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9E7B82" w:rsidRPr="0056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держави</w:t>
            </w:r>
            <w:r w:rsidRPr="0056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64805" w:rsidRDefault="00264805" w:rsidP="005A7E96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  <w:r w:rsidR="00B557C4">
              <w:t>.</w:t>
            </w:r>
          </w:p>
          <w:p w:rsidR="00B557C4" w:rsidRPr="0056731E" w:rsidRDefault="00B557C4" w:rsidP="005A7E96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</w:p>
          <w:p w:rsidR="003606FF" w:rsidRPr="0056731E" w:rsidRDefault="00504176" w:rsidP="005A7E96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</w:rPr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суб’єктів господарювання:</w:t>
            </w:r>
            <w:r w:rsidRPr="0056731E">
              <w:rPr>
                <w:rFonts w:eastAsiaTheme="minorEastAsia"/>
                <w:color w:val="000000" w:themeColor="text1"/>
              </w:rPr>
              <w:t xml:space="preserve"> </w:t>
            </w:r>
          </w:p>
          <w:p w:rsidR="004F051C" w:rsidRDefault="004F051C" w:rsidP="005A7E96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  <w:r w:rsidR="00B557C4">
              <w:t>.</w:t>
            </w:r>
          </w:p>
          <w:p w:rsidR="00B557C4" w:rsidRPr="0056731E" w:rsidRDefault="00B557C4" w:rsidP="005A7E96">
            <w:pPr>
              <w:pStyle w:val="af3"/>
              <w:tabs>
                <w:tab w:val="left" w:pos="1142"/>
              </w:tabs>
              <w:ind w:firstLine="0"/>
              <w:rPr>
                <w:color w:val="000000" w:themeColor="text1"/>
              </w:rPr>
            </w:pPr>
          </w:p>
          <w:p w:rsidR="00264805" w:rsidRPr="0056731E" w:rsidRDefault="00264805" w:rsidP="005A7E96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громадян:</w:t>
            </w:r>
          </w:p>
          <w:p w:rsidR="00264805" w:rsidRPr="0056731E" w:rsidRDefault="00264805" w:rsidP="005A7E96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56731E" w:rsidRDefault="009E7B82" w:rsidP="00567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У разі залишення існуючої на даний момент ситуації без змін проблема продовжуватиме існувати та </w:t>
            </w:r>
            <w:r w:rsidR="0056731E" w:rsidRPr="0056731E">
              <w:rPr>
                <w:rFonts w:ascii="Times New Roman" w:hAnsi="Times New Roman" w:cs="Times New Roman"/>
                <w:sz w:val="28"/>
                <w:szCs w:val="28"/>
              </w:rPr>
              <w:t>створювати умови для погіршення здоров’я населення</w:t>
            </w:r>
          </w:p>
        </w:tc>
      </w:tr>
      <w:tr w:rsidR="009E7B82" w:rsidRPr="0056731E" w:rsidTr="00B3571F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56731E" w:rsidRDefault="009E7B82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9E7B82" w:rsidRPr="0056731E" w:rsidRDefault="009E7B82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D6" w:rsidRPr="0056731E" w:rsidRDefault="001A0FD6" w:rsidP="005A7E96">
            <w:pPr>
              <w:ind w:left="-57" w:right="-5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6731E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Для держави:</w:t>
            </w:r>
          </w:p>
          <w:p w:rsidR="004F051C" w:rsidRPr="0056731E" w:rsidRDefault="004F051C" w:rsidP="005A7E9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Удосконалення законодавства у сфері управління відходами</w:t>
            </w:r>
            <w:r w:rsidR="00F65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51C" w:rsidRDefault="001A0FD6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6731E">
              <w:rPr>
                <w:rFonts w:eastAsiaTheme="minorHAnsi"/>
                <w:sz w:val="28"/>
                <w:szCs w:val="28"/>
                <w:u w:val="single"/>
                <w:lang w:val="uk-UA" w:eastAsia="en-US"/>
              </w:rPr>
              <w:t>Для суб’єктів господарювання:</w:t>
            </w:r>
            <w:r w:rsidRPr="0056731E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="004F051C" w:rsidRPr="0056731E">
              <w:rPr>
                <w:rFonts w:eastAsiaTheme="minorHAnsi"/>
                <w:sz w:val="28"/>
                <w:szCs w:val="28"/>
                <w:lang w:val="uk-UA" w:eastAsia="en-US"/>
              </w:rPr>
              <w:t>Високі</w:t>
            </w:r>
          </w:p>
          <w:p w:rsidR="00C8202A" w:rsidRPr="0056731E" w:rsidRDefault="00C8202A" w:rsidP="00C8202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створить умови для:</w:t>
            </w:r>
          </w:p>
          <w:p w:rsidR="00C8202A" w:rsidRPr="0056731E" w:rsidRDefault="00C8202A" w:rsidP="00C8202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належного виконання вимог, передбачених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дозволі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на здійснення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операцій з оброблення відходів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02A" w:rsidRPr="0056731E" w:rsidRDefault="00C8202A" w:rsidP="00C8202A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6731E">
              <w:rPr>
                <w:rFonts w:eastAsia="Times New Roman"/>
                <w:sz w:val="28"/>
                <w:szCs w:val="28"/>
                <w:lang w:val="uk-UA"/>
              </w:rPr>
              <w:t xml:space="preserve">покращення взаємодії суб’єктів господарювання у сфері управління відходами з органами державної влади та органами місцевого самоврядування у процесі </w:t>
            </w: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експлуатації полігона</w:t>
            </w:r>
          </w:p>
          <w:p w:rsidR="00624AE4" w:rsidRPr="0056731E" w:rsidRDefault="00624AE4" w:rsidP="00624AE4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громадян:</w:t>
            </w:r>
          </w:p>
          <w:p w:rsidR="00264805" w:rsidRPr="0056731E" w:rsidRDefault="00B86C3C" w:rsidP="00B86C3C">
            <w:pPr>
              <w:pStyle w:val="af3"/>
              <w:tabs>
                <w:tab w:val="left" w:pos="1142"/>
              </w:tabs>
              <w:ind w:left="-57" w:firstLine="0"/>
            </w:pPr>
            <w:r>
              <w:rPr>
                <w:rFonts w:eastAsia="Calibri"/>
                <w:lang w:eastAsia="en-US"/>
              </w:rPr>
              <w:t xml:space="preserve">Належна експлуатація полігонів дозволить забезпечити </w:t>
            </w:r>
            <w:r w:rsidRPr="0056731E">
              <w:rPr>
                <w:color w:val="000000"/>
              </w:rPr>
              <w:t>захист прав, законних інтерес</w:t>
            </w:r>
            <w:r>
              <w:rPr>
                <w:color w:val="000000"/>
              </w:rPr>
              <w:t>ів, життя та здоров'я громадян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3D" w:rsidRPr="0056731E" w:rsidRDefault="002C013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держави:</w:t>
            </w:r>
          </w:p>
          <w:p w:rsidR="00604FC5" w:rsidRDefault="00276975" w:rsidP="006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Додаткових витрат з державного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та місцевих бюджетів</w:t>
            </w: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не передбачається. </w:t>
            </w:r>
          </w:p>
          <w:p w:rsidR="009E7B82" w:rsidRPr="0056731E" w:rsidRDefault="002C013D" w:rsidP="005A7E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Для суб’єктів господарювання:</w:t>
            </w:r>
          </w:p>
          <w:p w:rsidR="006F34FB" w:rsidRPr="0056731E" w:rsidRDefault="006F34FB" w:rsidP="005A7E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Орієнтовні середні витрати на ознайомлення з нормативно-правовою базою та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виконання вимог Правил</w:t>
            </w:r>
            <w:r w:rsidR="00624AE4"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656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складатимуть</w:t>
            </w: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123021" w:rsidRPr="0056731E" w:rsidRDefault="002357BC" w:rsidP="001230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57BC">
              <w:rPr>
                <w:rFonts w:ascii="Times New Roman" w:eastAsia="Times New Roman" w:hAnsi="Times New Roman" w:cs="Times New Roman"/>
                <w:sz w:val="28"/>
                <w:szCs w:val="28"/>
              </w:rPr>
              <w:t>16 342 561,14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0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середніх підприємств;</w:t>
            </w:r>
          </w:p>
          <w:p w:rsidR="00123021" w:rsidRDefault="00123021" w:rsidP="00123021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  <w:r w:rsidRPr="00A3283E">
              <w:t>1 763 165,88</w:t>
            </w:r>
            <w:r>
              <w:t xml:space="preserve"> грн. для усіх малих </w:t>
            </w:r>
            <w:r w:rsidRPr="0056731E">
              <w:t>підприємств</w:t>
            </w:r>
            <w:r w:rsidRPr="0056731E">
              <w:rPr>
                <w:rFonts w:eastAsiaTheme="minorEastAsia"/>
                <w:color w:val="000000" w:themeColor="text1"/>
                <w:u w:val="single"/>
              </w:rPr>
              <w:t xml:space="preserve"> </w:t>
            </w:r>
          </w:p>
          <w:p w:rsidR="00B16613" w:rsidRPr="0056731E" w:rsidRDefault="00B16613" w:rsidP="00123021">
            <w:pPr>
              <w:pStyle w:val="af3"/>
              <w:tabs>
                <w:tab w:val="left" w:pos="1142"/>
              </w:tabs>
              <w:ind w:firstLine="0"/>
              <w:rPr>
                <w:rFonts w:eastAsiaTheme="minorEastAsia"/>
                <w:color w:val="000000" w:themeColor="text1"/>
                <w:u w:val="single"/>
              </w:rPr>
            </w:pPr>
            <w:r w:rsidRPr="0056731E">
              <w:rPr>
                <w:rFonts w:eastAsiaTheme="minorEastAsia"/>
                <w:color w:val="000000" w:themeColor="text1"/>
                <w:u w:val="single"/>
              </w:rPr>
              <w:t>Для громадян:</w:t>
            </w:r>
          </w:p>
          <w:p w:rsidR="00B16613" w:rsidRPr="0056731E" w:rsidRDefault="00B16613" w:rsidP="00D717B8">
            <w:pPr>
              <w:pStyle w:val="af3"/>
              <w:tabs>
                <w:tab w:val="left" w:pos="1142"/>
              </w:tabs>
              <w:ind w:firstLine="0"/>
            </w:pPr>
            <w:r w:rsidRPr="0056731E">
              <w:t>Відсутні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2" w:rsidRPr="0056731E" w:rsidRDefault="009E7B82" w:rsidP="00F6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задекларовані цілі будуть досягнуті повною мірою, що повністю забезпечит</w:t>
            </w:r>
            <w:r w:rsidR="00F6568E">
              <w:rPr>
                <w:rFonts w:ascii="Times New Roman" w:hAnsi="Times New Roman" w:cs="Times New Roman"/>
                <w:sz w:val="28"/>
                <w:szCs w:val="28"/>
              </w:rPr>
              <w:t>ь потребу у вирішенні проблеми</w:t>
            </w:r>
          </w:p>
        </w:tc>
      </w:tr>
    </w:tbl>
    <w:p w:rsidR="0043398E" w:rsidRPr="0056731E" w:rsidRDefault="0043398E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4252"/>
        <w:gridCol w:w="3260"/>
      </w:tblGrid>
      <w:tr w:rsidR="00362149" w:rsidRPr="0056731E" w:rsidTr="00A522BF">
        <w:tc>
          <w:tcPr>
            <w:tcW w:w="2269" w:type="dxa"/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260" w:type="dxa"/>
            <w:vAlign w:val="center"/>
          </w:tcPr>
          <w:p w:rsidR="00362149" w:rsidRPr="0056731E" w:rsidRDefault="00362149" w:rsidP="005A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504176" w:rsidRPr="0056731E" w:rsidTr="00A522BF">
        <w:tc>
          <w:tcPr>
            <w:tcW w:w="2269" w:type="dxa"/>
          </w:tcPr>
          <w:p w:rsidR="00504176" w:rsidRPr="0056731E" w:rsidRDefault="00504176" w:rsidP="005A7E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Альтернатива 1</w:t>
            </w:r>
          </w:p>
          <w:p w:rsidR="00504176" w:rsidRPr="0056731E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Збереження ситуації, яка існує на цей час</w:t>
            </w:r>
          </w:p>
        </w:tc>
        <w:tc>
          <w:tcPr>
            <w:tcW w:w="4252" w:type="dxa"/>
          </w:tcPr>
          <w:p w:rsidR="001920BD" w:rsidRDefault="001920BD" w:rsidP="005A7E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Залишення ситуації без змін призведе до </w:t>
            </w:r>
            <w:r w:rsidR="00624AE4">
              <w:rPr>
                <w:rFonts w:ascii="Times New Roman" w:eastAsia="Times New Roman" w:hAnsi="Times New Roman" w:cs="Times New Roman"/>
                <w:sz w:val="28"/>
                <w:szCs w:val="28"/>
              </w:rPr>
              <w:t>погіршення стану навколишнього природного середовища.</w:t>
            </w:r>
          </w:p>
          <w:p w:rsidR="00B86C3C" w:rsidRPr="0056731E" w:rsidRDefault="00B86C3C" w:rsidP="00040B1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51DA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Полігони залишаються </w:t>
            </w:r>
            <w:r w:rsidRPr="0072538C"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</w:rPr>
              <w:t xml:space="preserve">джерелами </w:t>
            </w:r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C8202A"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зповсюдження інфекційних </w:t>
            </w:r>
            <w:proofErr w:type="spellStart"/>
            <w:r w:rsidR="00C8202A"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хвороб</w:t>
            </w:r>
            <w:proofErr w:type="spellEnd"/>
            <w:r w:rsidR="00C8202A"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забруднення підземних </w:t>
            </w:r>
            <w:proofErr w:type="spellStart"/>
            <w:r w:rsidR="00C8202A"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>вод,</w:t>
            </w:r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>звалищного</w:t>
            </w:r>
            <w:proofErr w:type="spellEnd"/>
            <w:r w:rsidRPr="00C8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газу;</w:t>
            </w:r>
            <w:r w:rsidR="0004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53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самозаймання.</w:t>
            </w:r>
          </w:p>
          <w:p w:rsidR="00504176" w:rsidRPr="0056731E" w:rsidRDefault="001920B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На підставі викладеного можна дійти висновку, що ця альтернатива є неприйнятною</w:t>
            </w:r>
            <w:r w:rsidR="003C211E" w:rsidRPr="00567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203A6" w:rsidRPr="0056731E" w:rsidRDefault="00E203A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Зовнішні чинники на дію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у разі залишення існуючої на даний момент ситуації без змін відсутні</w:t>
            </w:r>
          </w:p>
          <w:p w:rsidR="00504176" w:rsidRPr="0056731E" w:rsidRDefault="00504176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76" w:rsidRPr="0056731E" w:rsidTr="00A522BF">
        <w:tc>
          <w:tcPr>
            <w:tcW w:w="2269" w:type="dxa"/>
          </w:tcPr>
          <w:p w:rsidR="00504176" w:rsidRPr="0056731E" w:rsidRDefault="00504176" w:rsidP="005A7E96">
            <w:pPr>
              <w:pStyle w:val="rvps21"/>
              <w:shd w:val="clear" w:color="auto" w:fill="FFFFFF" w:themeFill="background1"/>
              <w:tabs>
                <w:tab w:val="left" w:pos="1134"/>
                <w:tab w:val="left" w:pos="1276"/>
              </w:tabs>
              <w:spacing w:after="0"/>
              <w:ind w:firstLine="0"/>
              <w:rPr>
                <w:i/>
                <w:sz w:val="28"/>
                <w:szCs w:val="28"/>
                <w:lang w:val="uk-UA"/>
              </w:rPr>
            </w:pPr>
            <w:r w:rsidRPr="0056731E">
              <w:rPr>
                <w:i/>
                <w:sz w:val="28"/>
                <w:szCs w:val="28"/>
                <w:lang w:val="uk-UA"/>
              </w:rPr>
              <w:t>Альтернатива 2</w:t>
            </w:r>
          </w:p>
          <w:p w:rsidR="00504176" w:rsidRPr="0056731E" w:rsidRDefault="00504176" w:rsidP="005A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Прийняття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проєкту</w:t>
            </w:r>
            <w:proofErr w:type="spellEnd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56731E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>акта</w:t>
            </w:r>
            <w:proofErr w:type="spellEnd"/>
          </w:p>
        </w:tc>
        <w:tc>
          <w:tcPr>
            <w:tcW w:w="4252" w:type="dxa"/>
          </w:tcPr>
          <w:p w:rsidR="001920BD" w:rsidRPr="0056731E" w:rsidRDefault="001920B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У разі прийняття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для держави вигода полягатиме в удосконаленні законодавства, завдяки чому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6C3C" w:rsidRPr="00567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апропонований спосіб вирішення зазначеної проблеми є найбільш доцільним та дає змогу </w:t>
            </w:r>
            <w:r w:rsidR="00B86C3C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вимоги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частини третьої статті 4</w:t>
            </w:r>
            <w:r w:rsidR="005A2E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6C3C"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Закону, а також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створить умови для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зменш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негативного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на навколишнє природне середовище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 xml:space="preserve">, зменшенню рівня </w:t>
            </w:r>
            <w:r w:rsidR="00B86C3C" w:rsidRPr="006E47F6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атмосферного повітря, води й земель унаслідок покращення технічних та експлуатаційних характеристик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полігона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 xml:space="preserve"> сприятиме покращенню здоров’я населення та санітарно-епідеміологічного стану територій довкола </w:t>
            </w:r>
            <w:r w:rsidR="00B86C3C">
              <w:rPr>
                <w:rFonts w:ascii="Times New Roman" w:hAnsi="Times New Roman" w:cs="Times New Roman"/>
                <w:sz w:val="28"/>
                <w:szCs w:val="28"/>
              </w:rPr>
              <w:t>полігонів</w:t>
            </w:r>
            <w:r w:rsidR="00B86C3C" w:rsidRPr="00816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176" w:rsidRPr="0056731E" w:rsidRDefault="001920BD" w:rsidP="005A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Тому обраним альтернативним способом вирішення проблеми є розроблення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="003C211E" w:rsidRPr="00567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203A6" w:rsidRPr="0056731E" w:rsidRDefault="00E203A6" w:rsidP="00B86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Упродовж деякого часу дії регуляторного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 xml:space="preserve"> може впливати низька обізнаність суб’єктів, на яких поширюється дія цього </w:t>
            </w:r>
            <w:proofErr w:type="spellStart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56731E">
              <w:rPr>
                <w:rFonts w:ascii="Times New Roman" w:hAnsi="Times New Roman" w:cs="Times New Roman"/>
                <w:sz w:val="28"/>
                <w:szCs w:val="28"/>
              </w:rPr>
              <w:t>, щодо запроваджених відмінностей регулювання, що пропонується існуючим регулюванням</w:t>
            </w:r>
          </w:p>
        </w:tc>
      </w:tr>
    </w:tbl>
    <w:p w:rsidR="00B86C3C" w:rsidRPr="00870969" w:rsidRDefault="00B86C3C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149" w:rsidRPr="0056731E" w:rsidRDefault="00362149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>V. Механізми та заходи, які забезпечать розв’язання визначеної проблеми</w:t>
      </w:r>
    </w:p>
    <w:p w:rsidR="005A03A3" w:rsidRPr="00057C09" w:rsidRDefault="005A03A3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розв’язання зазначеної проблеми регуляторним актом </w:t>
      </w:r>
      <w:r w:rsidR="007B7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пропонується затвердити</w:t>
      </w:r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C09" w:rsidRPr="00057C09">
        <w:rPr>
          <w:rFonts w:ascii="Times New Roman" w:hAnsi="Times New Roman" w:cs="Times New Roman"/>
          <w:sz w:val="28"/>
          <w:szCs w:val="28"/>
        </w:rPr>
        <w:t>Правила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3C211E" w:rsidRPr="00057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E0A" w:rsidRPr="0056731E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Механізмом, який забезпечить розв’язання визначеної в розділі І проблеми з боку держави</w:t>
      </w:r>
      <w:r w:rsidR="003C211E" w:rsidRPr="0056731E">
        <w:rPr>
          <w:rFonts w:ascii="Times New Roman" w:hAnsi="Times New Roman" w:cs="Times New Roman"/>
          <w:sz w:val="28"/>
          <w:szCs w:val="28"/>
        </w:rPr>
        <w:t>,</w:t>
      </w:r>
      <w:r w:rsidRPr="0056731E">
        <w:rPr>
          <w:rFonts w:ascii="Times New Roman" w:hAnsi="Times New Roman" w:cs="Times New Roman"/>
          <w:sz w:val="28"/>
          <w:szCs w:val="28"/>
        </w:rPr>
        <w:t xml:space="preserve"> є прийняття запропонованого регуляторного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>.</w:t>
      </w:r>
    </w:p>
    <w:p w:rsidR="007F0E0A" w:rsidRPr="0056731E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 xml:space="preserve">Заходами, які забезпечать розв’язання визначеної проблеми з боку держави є забезпечення інформування суб’єктів господарювання про положення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шляхом оприлюднення його на офіційному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B649D7" w:rsidRPr="0056731E">
        <w:rPr>
          <w:rFonts w:ascii="Times New Roman" w:hAnsi="Times New Roman" w:cs="Times New Roman"/>
          <w:sz w:val="28"/>
          <w:szCs w:val="28"/>
        </w:rPr>
        <w:t xml:space="preserve">захисту довкілля та природних ресурсів </w:t>
      </w:r>
      <w:r w:rsidRPr="0056731E">
        <w:rPr>
          <w:rFonts w:ascii="Times New Roman" w:hAnsi="Times New Roman" w:cs="Times New Roman"/>
          <w:sz w:val="28"/>
          <w:szCs w:val="28"/>
        </w:rPr>
        <w:t>України.</w:t>
      </w:r>
    </w:p>
    <w:p w:rsidR="007F0E0A" w:rsidRPr="0056731E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Заходи, які необхідно здійснити суб’єктам господарської діяльності:</w:t>
      </w:r>
    </w:p>
    <w:p w:rsidR="007F0E0A" w:rsidRPr="0056731E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1) ознайомитися з вимогами регулювання (пошук та опрацювання регуляторного акту в мережі Інтернет);</w:t>
      </w:r>
    </w:p>
    <w:p w:rsidR="005A03A3" w:rsidRPr="0056731E" w:rsidRDefault="005A03A3" w:rsidP="005A7E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організувати </w:t>
      </w:r>
      <w:r w:rsidR="006C5F26"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розроблення та затвердження </w:t>
      </w:r>
      <w:r w:rsidR="00057C09" w:rsidRPr="005D2F04">
        <w:rPr>
          <w:rFonts w:ascii="Times New Roman" w:hAnsi="Times New Roman" w:cs="Times New Roman"/>
          <w:sz w:val="28"/>
          <w:szCs w:val="28"/>
        </w:rPr>
        <w:t>інструкції з експлуатації полігону та догляду за ним після припинення його експлуатації</w:t>
      </w:r>
      <w:r w:rsidR="00057C09" w:rsidRPr="0056731E">
        <w:rPr>
          <w:rFonts w:ascii="Times New Roman" w:hAnsi="Times New Roman" w:cs="Times New Roman"/>
          <w:sz w:val="28"/>
          <w:szCs w:val="28"/>
        </w:rPr>
        <w:t xml:space="preserve"> </w:t>
      </w:r>
      <w:r w:rsidR="00057C09">
        <w:rPr>
          <w:rFonts w:ascii="Times New Roman" w:hAnsi="Times New Roman" w:cs="Times New Roman"/>
          <w:sz w:val="28"/>
          <w:szCs w:val="28"/>
        </w:rPr>
        <w:t>у відповідності</w:t>
      </w:r>
      <w:r w:rsidR="006C5F26" w:rsidRPr="0056731E">
        <w:rPr>
          <w:rFonts w:ascii="Times New Roman" w:hAnsi="Times New Roman" w:cs="Times New Roman"/>
          <w:sz w:val="28"/>
          <w:szCs w:val="28"/>
        </w:rPr>
        <w:t xml:space="preserve"> з вимогами законодавства</w:t>
      </w:r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03A3" w:rsidRPr="0056731E" w:rsidRDefault="005A03A3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Негативний вплив зовнішніх факторів на дію цього регуляторного </w:t>
      </w:r>
      <w:proofErr w:type="spellStart"/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56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відсутній.</w:t>
      </w:r>
    </w:p>
    <w:p w:rsidR="007F0E0A" w:rsidRPr="0056731E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 xml:space="preserve">Реалізація положень регуляторного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не потребує додаткових матеріальних та фінансових витрат із державного бюджету.</w:t>
      </w:r>
    </w:p>
    <w:p w:rsidR="007F0E0A" w:rsidRPr="00870969" w:rsidRDefault="007F0E0A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149" w:rsidRPr="0056731E" w:rsidRDefault="00362149" w:rsidP="005A7E96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56731E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 w:rsidRPr="0056731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C5F26" w:rsidRPr="0056731E" w:rsidRDefault="006C5F26" w:rsidP="005A7E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Бюджетні витрати на виконання вимог регуляторного </w:t>
      </w:r>
      <w:proofErr w:type="spellStart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органів виконавчої влади та органів місцевого самоврядування не збільшуються, проте реалізація </w:t>
      </w:r>
      <w:proofErr w:type="spellStart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>проєкту</w:t>
      </w:r>
      <w:proofErr w:type="spellEnd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B7AAA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потребуватиме фінансових витрат від </w:t>
      </w:r>
      <w:r w:rsidRPr="0056731E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Pr="0056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t>ознайомлення з новим регулюванням</w:t>
      </w:r>
      <w:r w:rsidRPr="00567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F26" w:rsidRPr="0056731E" w:rsidRDefault="006C5F26" w:rsidP="005A7E96">
      <w:pPr>
        <w:pStyle w:val="HTM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Поточні бюджетні витрати </w:t>
      </w:r>
      <w:r w:rsidR="007B7AAA" w:rsidRPr="0056731E">
        <w:rPr>
          <w:rFonts w:ascii="Times New Roman" w:hAnsi="Times New Roman" w:cs="Times New Roman"/>
          <w:sz w:val="28"/>
          <w:szCs w:val="28"/>
        </w:rPr>
        <w:t xml:space="preserve">суб’єктів </w:t>
      </w:r>
      <w:r w:rsidR="007B7AAA" w:rsidRPr="00DD227D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r w:rsidR="00DD227D" w:rsidRPr="00DD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27D" w:rsidRPr="00DD227D">
        <w:rPr>
          <w:rFonts w:ascii="Times New Roman" w:eastAsia="Times New Roman" w:hAnsi="Times New Roman" w:cs="Times New Roman"/>
          <w:sz w:val="28"/>
          <w:szCs w:val="28"/>
        </w:rPr>
        <w:t xml:space="preserve">великого і середнього підприємництва, які виникають внаслідок дії регуляторного </w:t>
      </w:r>
      <w:proofErr w:type="spellStart"/>
      <w:r w:rsidR="00DD227D" w:rsidRPr="00DD227D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7B7AAA" w:rsidRPr="00DD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27D">
        <w:rPr>
          <w:rFonts w:ascii="Times New Roman" w:eastAsia="Times New Roman" w:hAnsi="Times New Roman" w:cs="Times New Roman"/>
          <w:sz w:val="28"/>
          <w:szCs w:val="28"/>
        </w:rPr>
        <w:t>визначені у додатку</w:t>
      </w:r>
      <w:r w:rsidR="007B7AAA" w:rsidRPr="00DD227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B7AAA" w:rsidRPr="007B7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AAA" w:rsidRPr="0056731E">
        <w:rPr>
          <w:rFonts w:ascii="Times New Roman" w:eastAsia="Times New Roman" w:hAnsi="Times New Roman" w:cs="Times New Roman"/>
          <w:sz w:val="28"/>
          <w:szCs w:val="28"/>
        </w:rPr>
        <w:t xml:space="preserve">до аналізу регуляторного впливу </w:t>
      </w:r>
      <w:proofErr w:type="spellStart"/>
      <w:r w:rsidR="007B7AAA" w:rsidRPr="005673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7B7AAA" w:rsidRPr="0056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149" w:rsidRPr="0056731E" w:rsidRDefault="00362149" w:rsidP="005A7E96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 xml:space="preserve">Оскільки питома вага суб’єктів малого підприємництва </w:t>
      </w:r>
      <w:r w:rsidR="006C5F26" w:rsidRPr="0056731E">
        <w:rPr>
          <w:rFonts w:ascii="Times New Roman" w:hAnsi="Times New Roman" w:cs="Times New Roman"/>
          <w:sz w:val="28"/>
          <w:szCs w:val="28"/>
        </w:rPr>
        <w:t>складає 10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відсотків, було здійснено розрахунок витрат на запровадження державного регулювання 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суб’єктів малого підприємництва (Тест малого підприємництва), який викладено у додатку </w:t>
      </w:r>
      <w:r w:rsidR="00BD273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до аналізу регуляторного впливу </w:t>
      </w:r>
      <w:proofErr w:type="spellStart"/>
      <w:r w:rsidRPr="005673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A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73A" w:rsidRPr="00870969" w:rsidRDefault="00BD273A" w:rsidP="005A7E96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149" w:rsidRPr="0056731E" w:rsidRDefault="00362149" w:rsidP="005A7E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56731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362149" w:rsidRPr="0056731E" w:rsidRDefault="00E67D0F" w:rsidP="00870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 xml:space="preserve">Оскільки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розроблено на виконання вимог </w:t>
      </w:r>
      <w:r w:rsidR="00BD273A">
        <w:rPr>
          <w:rFonts w:ascii="Times New Roman" w:hAnsi="Times New Roman" w:cs="Times New Roman"/>
          <w:sz w:val="28"/>
          <w:szCs w:val="28"/>
        </w:rPr>
        <w:t>статті 40</w:t>
      </w:r>
      <w:r w:rsidR="006C5F26" w:rsidRPr="0056731E">
        <w:rPr>
          <w:rFonts w:ascii="Times New Roman" w:hAnsi="Times New Roman" w:cs="Times New Roman"/>
          <w:sz w:val="28"/>
          <w:szCs w:val="28"/>
        </w:rPr>
        <w:t xml:space="preserve"> </w:t>
      </w:r>
      <w:r w:rsidRPr="0056731E">
        <w:rPr>
          <w:rFonts w:ascii="Times New Roman" w:hAnsi="Times New Roman" w:cs="Times New Roman"/>
          <w:sz w:val="28"/>
          <w:szCs w:val="28"/>
        </w:rPr>
        <w:t xml:space="preserve">Закону, його дія обмежується дією вказаного Закону та не обмежується у часі іншими чинниками, що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можливість розв’язати проблеми та досягти цілей державного регулювання.</w:t>
      </w:r>
    </w:p>
    <w:p w:rsidR="00E203A6" w:rsidRPr="0056731E" w:rsidRDefault="006C5F26" w:rsidP="002D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6731E">
        <w:rPr>
          <w:rFonts w:ascii="Times New Roman" w:hAnsi="Times New Roman" w:cs="Times New Roman"/>
          <w:sz w:val="28"/>
          <w:szCs w:val="28"/>
        </w:rPr>
        <w:t>Цей наказ</w:t>
      </w:r>
      <w:r w:rsidR="00E203A6" w:rsidRPr="0056731E">
        <w:rPr>
          <w:rFonts w:ascii="Times New Roman" w:hAnsi="Times New Roman" w:cs="Times New Roman"/>
          <w:sz w:val="28"/>
          <w:szCs w:val="28"/>
        </w:rPr>
        <w:t xml:space="preserve"> набирає чинності </w:t>
      </w:r>
      <w:r w:rsidRPr="0056731E">
        <w:rPr>
          <w:rFonts w:ascii="Times New Roman" w:hAnsi="Times New Roman" w:cs="Times New Roman"/>
          <w:sz w:val="28"/>
          <w:szCs w:val="28"/>
        </w:rPr>
        <w:t xml:space="preserve">з </w:t>
      </w:r>
      <w:r w:rsidR="007B7AAA">
        <w:rPr>
          <w:rFonts w:ascii="Times New Roman" w:hAnsi="Times New Roman" w:cs="Times New Roman"/>
          <w:sz w:val="28"/>
          <w:szCs w:val="28"/>
        </w:rPr>
        <w:t>09 липня 2023 року</w:t>
      </w:r>
      <w:r w:rsidRPr="0056731E">
        <w:rPr>
          <w:rFonts w:ascii="Times New Roman" w:hAnsi="Times New Roman" w:cs="Times New Roman"/>
          <w:sz w:val="28"/>
          <w:szCs w:val="28"/>
        </w:rPr>
        <w:t>, але не раніше</w:t>
      </w:r>
      <w:r w:rsidRPr="005673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6C5F26" w:rsidRPr="00870969" w:rsidRDefault="006C5F26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149" w:rsidRPr="0056731E" w:rsidRDefault="00362149" w:rsidP="005A7E96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 xml:space="preserve">VIІI. Визначення показників результативності дії регуляторного </w:t>
      </w:r>
      <w:proofErr w:type="spellStart"/>
      <w:r w:rsidRPr="0056731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B971EE" w:rsidRDefault="00B971EE" w:rsidP="0087096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Прогнозними значеннями показників результативності дії регуляторного </w:t>
      </w:r>
      <w:proofErr w:type="spellStart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>акта</w:t>
      </w:r>
      <w:proofErr w:type="spellEnd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 є:</w:t>
      </w:r>
    </w:p>
    <w:p w:rsidR="00233ECF" w:rsidRDefault="00233ECF" w:rsidP="00233E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Прогнозними значеннями показників результативності дії регуляторного </w:t>
      </w:r>
      <w:proofErr w:type="spellStart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>акта</w:t>
      </w:r>
      <w:proofErr w:type="spellEnd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 є:</w:t>
      </w:r>
    </w:p>
    <w:p w:rsidR="002D3853" w:rsidRDefault="002D3853" w:rsidP="002D38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івень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</w:t>
      </w:r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інформованості суб’єктів господарювання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6731E">
        <w:rPr>
          <w:rFonts w:ascii="Times New Roman" w:hAnsi="Times New Roman" w:cs="Times New Roman"/>
          <w:sz w:val="28"/>
          <w:szCs w:val="28"/>
        </w:rPr>
        <w:t xml:space="preserve">та/або фізичних осіб з основних положень регуляторного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– вище середнього, оскільки повідомлення про оприлюднення,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акту та аналіз регуляторного впливу </w:t>
      </w:r>
      <w:proofErr w:type="spellStart"/>
      <w:r w:rsidRPr="0056731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56731E">
        <w:rPr>
          <w:rFonts w:ascii="Times New Roman" w:hAnsi="Times New Roman" w:cs="Times New Roman"/>
          <w:sz w:val="28"/>
          <w:szCs w:val="28"/>
        </w:rPr>
        <w:t xml:space="preserve"> розміщено на офіційному </w:t>
      </w:r>
      <w:proofErr w:type="spellStart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>вебсайті</w:t>
      </w:r>
      <w:proofErr w:type="spellEnd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 Міндовкілля (</w:t>
      </w:r>
      <w:r w:rsidRPr="00F87C5F">
        <w:rPr>
          <w:rFonts w:ascii="Times New Roman" w:hAnsi="Times New Roman"/>
          <w:bCs/>
          <w:color w:val="000000"/>
          <w:sz w:val="28"/>
          <w:szCs w:val="28"/>
        </w:rPr>
        <w:t>https://mepr.gov.ua</w:t>
      </w:r>
      <w:r w:rsidRPr="00F87C5F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33ECF" w:rsidRDefault="00233ECF" w:rsidP="00233EC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озмір надходжень до державного та місцевих бюджетів і державних цільових фондів, пов’язаних з дією </w:t>
      </w:r>
      <w:proofErr w:type="spellStart"/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0% (не передбачається додаткових надходжень до державного та місцевих бюджетів і державних цільових фондів)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233ECF" w:rsidRDefault="00233ECF" w:rsidP="00DD22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87C5F">
        <w:rPr>
          <w:rFonts w:ascii="Times New Roman" w:hAnsi="Times New Roman"/>
          <w:color w:val="000000"/>
          <w:sz w:val="28"/>
          <w:szCs w:val="28"/>
        </w:rPr>
        <w:t>ількість суб’єктів господарювання, що підпадають під дію регулювання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– 693;</w:t>
      </w:r>
    </w:p>
    <w:p w:rsidR="00233ECF" w:rsidRDefault="00233ECF" w:rsidP="00DD22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озмір часу та коштів, що витрачатимуться суб’єктами господарювання на виконання вимог </w:t>
      </w:r>
      <w:proofErr w:type="spellStart"/>
      <w:r w:rsidRPr="00F87C5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итратити суб’єктів господарювання, для виконання вимог </w:t>
      </w:r>
      <w:proofErr w:type="spellStart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>акта</w:t>
      </w:r>
      <w:proofErr w:type="spellEnd"/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 – у перший стартовий рік орієнтовно складають: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33ECF" w:rsidRDefault="00233ECF" w:rsidP="00DD22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7C5F">
        <w:rPr>
          <w:rFonts w:ascii="Times New Roman" w:eastAsia="Times New Roman" w:hAnsi="Times New Roman"/>
          <w:color w:val="000000"/>
          <w:sz w:val="28"/>
          <w:szCs w:val="28"/>
        </w:rPr>
        <w:t xml:space="preserve">1 годину для відповідальних працівників на ознайомлення 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регуляторним актом (40,46 гривень).</w:t>
      </w:r>
    </w:p>
    <w:p w:rsidR="00B971EE" w:rsidRPr="00F87C5F" w:rsidRDefault="00B971EE" w:rsidP="00DD2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7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Числові визначення додаткових </w:t>
      </w:r>
      <w:r w:rsidRPr="00F87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показників результативності регуляторного </w:t>
      </w:r>
      <w:proofErr w:type="spellStart"/>
      <w:r w:rsidRPr="00F87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F87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за якими буде проведено базове відстеження є:</w:t>
      </w:r>
    </w:p>
    <w:p w:rsidR="001A150F" w:rsidRPr="0056731E" w:rsidRDefault="001A150F" w:rsidP="00DD227D">
      <w:pPr>
        <w:pStyle w:val="10"/>
        <w:ind w:firstLine="567"/>
        <w:jc w:val="both"/>
      </w:pPr>
      <w:r w:rsidRPr="0056731E">
        <w:t xml:space="preserve">Після набуття чинності </w:t>
      </w:r>
      <w:proofErr w:type="spellStart"/>
      <w:r w:rsidRPr="0056731E">
        <w:t>про</w:t>
      </w:r>
      <w:r w:rsidR="00796B88" w:rsidRPr="0056731E">
        <w:t>є</w:t>
      </w:r>
      <w:r w:rsidRPr="0056731E">
        <w:t>ктом</w:t>
      </w:r>
      <w:proofErr w:type="spellEnd"/>
      <w:r w:rsidRPr="0056731E">
        <w:t xml:space="preserve"> </w:t>
      </w:r>
      <w:proofErr w:type="spellStart"/>
      <w:r w:rsidRPr="0056731E">
        <w:t>акта</w:t>
      </w:r>
      <w:proofErr w:type="spellEnd"/>
      <w:r w:rsidRPr="0056731E">
        <w:t xml:space="preserve"> його результативність визначатиметься такими статистичними показниками:</w:t>
      </w:r>
    </w:p>
    <w:p w:rsidR="00362149" w:rsidRPr="0056731E" w:rsidRDefault="0086295F" w:rsidP="00DD2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1</w:t>
      </w:r>
      <w:r w:rsidR="00362149" w:rsidRPr="0056731E">
        <w:rPr>
          <w:rFonts w:ascii="Times New Roman" w:hAnsi="Times New Roman" w:cs="Times New Roman"/>
          <w:sz w:val="28"/>
          <w:szCs w:val="28"/>
        </w:rPr>
        <w:t xml:space="preserve">. </w:t>
      </w:r>
      <w:r w:rsidR="00475FA7">
        <w:rPr>
          <w:rFonts w:ascii="Times New Roman" w:hAnsi="Times New Roman" w:cs="Times New Roman"/>
          <w:sz w:val="28"/>
          <w:szCs w:val="28"/>
        </w:rPr>
        <w:t>Кількість полігонів, які експлуатуються</w:t>
      </w:r>
      <w:r w:rsidR="00362149" w:rsidRPr="0056731E">
        <w:rPr>
          <w:rFonts w:ascii="Times New Roman" w:hAnsi="Times New Roman" w:cs="Times New Roman"/>
          <w:sz w:val="28"/>
          <w:szCs w:val="28"/>
        </w:rPr>
        <w:t>.</w:t>
      </w:r>
    </w:p>
    <w:p w:rsidR="00475FA7" w:rsidRDefault="0086295F" w:rsidP="00DD227D">
      <w:pPr>
        <w:pStyle w:val="3"/>
        <w:ind w:firstLine="567"/>
        <w:jc w:val="both"/>
        <w:rPr>
          <w:szCs w:val="28"/>
        </w:rPr>
      </w:pPr>
      <w:r w:rsidRPr="0056731E">
        <w:rPr>
          <w:szCs w:val="28"/>
        </w:rPr>
        <w:t>2</w:t>
      </w:r>
      <w:r w:rsidR="00362149" w:rsidRPr="0056731E">
        <w:rPr>
          <w:szCs w:val="28"/>
        </w:rPr>
        <w:t xml:space="preserve">. Кількість </w:t>
      </w:r>
      <w:r w:rsidR="00475FA7">
        <w:rPr>
          <w:szCs w:val="28"/>
        </w:rPr>
        <w:t xml:space="preserve">полігонів, які </w:t>
      </w:r>
      <w:r w:rsidR="00475FA7" w:rsidRPr="0009184B">
        <w:rPr>
          <w:szCs w:val="28"/>
        </w:rPr>
        <w:t>припин</w:t>
      </w:r>
      <w:r w:rsidR="00475FA7">
        <w:rPr>
          <w:szCs w:val="28"/>
        </w:rPr>
        <w:t>или</w:t>
      </w:r>
      <w:r w:rsidR="00475FA7" w:rsidRPr="0009184B">
        <w:rPr>
          <w:szCs w:val="28"/>
        </w:rPr>
        <w:t xml:space="preserve"> експлуатаці</w:t>
      </w:r>
      <w:r w:rsidR="00475FA7">
        <w:rPr>
          <w:szCs w:val="28"/>
        </w:rPr>
        <w:t>ю.</w:t>
      </w:r>
    </w:p>
    <w:p w:rsidR="00475FA7" w:rsidRDefault="00475FA7" w:rsidP="00DD227D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6731E">
        <w:rPr>
          <w:szCs w:val="28"/>
        </w:rPr>
        <w:t xml:space="preserve">Кількість </w:t>
      </w:r>
      <w:r>
        <w:rPr>
          <w:szCs w:val="28"/>
        </w:rPr>
        <w:t>полігонів, які</w:t>
      </w:r>
      <w:r w:rsidRPr="0009184B">
        <w:rPr>
          <w:szCs w:val="28"/>
        </w:rPr>
        <w:t xml:space="preserve"> рекульти</w:t>
      </w:r>
      <w:r>
        <w:rPr>
          <w:szCs w:val="28"/>
        </w:rPr>
        <w:t>вовано.</w:t>
      </w:r>
    </w:p>
    <w:p w:rsidR="00475FA7" w:rsidRDefault="00475FA7" w:rsidP="00DD227D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6731E">
        <w:rPr>
          <w:szCs w:val="28"/>
        </w:rPr>
        <w:t xml:space="preserve">Кількість </w:t>
      </w:r>
      <w:r>
        <w:rPr>
          <w:szCs w:val="28"/>
        </w:rPr>
        <w:t>полігонів, за якими здійснюється</w:t>
      </w:r>
      <w:r w:rsidRPr="0009184B">
        <w:rPr>
          <w:szCs w:val="28"/>
        </w:rPr>
        <w:t xml:space="preserve"> догляд після припинення їх експлуатації</w:t>
      </w:r>
      <w:r>
        <w:rPr>
          <w:szCs w:val="28"/>
        </w:rPr>
        <w:t>.</w:t>
      </w:r>
    </w:p>
    <w:p w:rsidR="00C570CF" w:rsidRDefault="00C570CF" w:rsidP="00DD227D">
      <w:pPr>
        <w:pStyle w:val="3"/>
        <w:ind w:firstLine="567"/>
        <w:jc w:val="both"/>
        <w:rPr>
          <w:szCs w:val="28"/>
        </w:rPr>
      </w:pPr>
      <w:bookmarkStart w:id="0" w:name="_GoBack"/>
      <w:bookmarkEnd w:id="0"/>
    </w:p>
    <w:p w:rsidR="00362149" w:rsidRDefault="00362149" w:rsidP="005A7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1E">
        <w:rPr>
          <w:rFonts w:ascii="Times New Roman" w:hAnsi="Times New Roman" w:cs="Times New Roman"/>
          <w:b/>
          <w:sz w:val="28"/>
          <w:szCs w:val="28"/>
        </w:rPr>
        <w:t xml:space="preserve">IX. Визначення заходів, за допомогою яких буде здійснюватися відстеження результативності дії регуляторного </w:t>
      </w:r>
      <w:proofErr w:type="spellStart"/>
      <w:r w:rsidRPr="0056731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BB1F87" w:rsidRPr="00130825" w:rsidRDefault="00BB1F87" w:rsidP="00BB1F87">
      <w:pPr>
        <w:widowControl w:val="0"/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акту здійснюватиметься </w:t>
      </w:r>
      <w:r w:rsidRPr="00130825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Міністерством захисту довкілля та природних ресурсів України.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Базове відстеження результативності регуляторного </w:t>
      </w:r>
      <w:proofErr w:type="spellStart"/>
      <w:r w:rsidRPr="00130825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 буде здійснюватися до дня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130825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 шляхом використання статистичних даних вимог регуляторного </w:t>
      </w:r>
      <w:proofErr w:type="spellStart"/>
      <w:r w:rsidRPr="00130825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30825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>Метод проведення відстеження результативності – статистичний.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>Для відстеження результативності будуть використовуватися дані, отримані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через інформаційну систему управління відходами</w:t>
      </w:r>
      <w:r w:rsidRPr="00130825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У разі виявлення під час відстеження неврегульованих та/або шкідливих для суб’єктів господарювання вимог чи норм регуляторного акту, буде </w:t>
      </w:r>
      <w:proofErr w:type="spellStart"/>
      <w:r w:rsidRPr="00130825">
        <w:rPr>
          <w:rFonts w:ascii="Times New Roman" w:eastAsia="MS Mincho" w:hAnsi="Times New Roman"/>
          <w:sz w:val="28"/>
          <w:szCs w:val="28"/>
          <w:lang w:eastAsia="ja-JP"/>
        </w:rPr>
        <w:t>внесено</w:t>
      </w:r>
      <w:proofErr w:type="spellEnd"/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130825">
        <w:rPr>
          <w:rFonts w:ascii="Times New Roman" w:eastAsia="MS Mincho" w:hAnsi="Times New Roman"/>
          <w:sz w:val="28"/>
          <w:szCs w:val="28"/>
          <w:lang w:eastAsia="ja-JP"/>
        </w:rPr>
        <w:t>проєкт</w:t>
      </w:r>
      <w:proofErr w:type="spellEnd"/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 відповідних змін.</w:t>
      </w:r>
    </w:p>
    <w:p w:rsidR="00BB1F87" w:rsidRPr="00130825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>Повторне відстеження планується здійснити через рік після набрання чинності регуляторного акту,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акту, такі питання будуть врегульовані шляхом внесення відповідних змін.</w:t>
      </w:r>
    </w:p>
    <w:p w:rsidR="00BB1F87" w:rsidRDefault="00BB1F87" w:rsidP="00BB1F87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30825">
        <w:rPr>
          <w:rFonts w:ascii="Times New Roman" w:eastAsia="MS Mincho" w:hAnsi="Times New Roman"/>
          <w:sz w:val="28"/>
          <w:szCs w:val="28"/>
          <w:lang w:eastAsia="ja-JP"/>
        </w:rPr>
        <w:t xml:space="preserve">Періодичне відстеження має здійснюватися раз на три роки, починаючи з дня виконання заходів з повторного відстеження. Відстеження результативності зазначеного вище регуляторного акту проводитиметься шляхом розгляду пропозицій та зауважень від суб’єктів господарювання та заінтересованої громадськості, які надійшли до Міндовкілля. </w:t>
      </w:r>
      <w:r w:rsidRPr="00142C33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</w:t>
      </w:r>
      <w:proofErr w:type="spellStart"/>
      <w:r w:rsidRPr="00142C33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42C33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шляхом проведення базового, повторного та періодичного </w:t>
      </w:r>
      <w:proofErr w:type="spellStart"/>
      <w:r w:rsidRPr="00142C33">
        <w:rPr>
          <w:rFonts w:ascii="Times New Roman" w:eastAsia="MS Mincho" w:hAnsi="Times New Roman"/>
          <w:sz w:val="28"/>
          <w:szCs w:val="28"/>
          <w:lang w:eastAsia="ja-JP"/>
        </w:rPr>
        <w:t>відстежень</w:t>
      </w:r>
      <w:proofErr w:type="spellEnd"/>
      <w:r w:rsidRPr="00142C33">
        <w:rPr>
          <w:rFonts w:ascii="Times New Roman" w:eastAsia="MS Mincho" w:hAnsi="Times New Roman"/>
          <w:sz w:val="28"/>
          <w:szCs w:val="28"/>
          <w:lang w:eastAsia="ja-JP"/>
        </w:rPr>
        <w:t xml:space="preserve"> показників результативності </w:t>
      </w:r>
      <w:proofErr w:type="spellStart"/>
      <w:r w:rsidRPr="00142C33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42C33">
        <w:rPr>
          <w:rFonts w:ascii="Times New Roman" w:eastAsia="MS Mincho" w:hAnsi="Times New Roman"/>
          <w:sz w:val="28"/>
          <w:szCs w:val="28"/>
          <w:lang w:eastAsia="ja-JP"/>
        </w:rPr>
        <w:t xml:space="preserve">, визначених під час проведення аналізу впливу регуляторного </w:t>
      </w:r>
      <w:proofErr w:type="spellStart"/>
      <w:r w:rsidRPr="00142C33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142C33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F0261E" w:rsidRPr="0056731E" w:rsidRDefault="00362149" w:rsidP="005A7E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1E">
        <w:rPr>
          <w:rFonts w:ascii="Times New Roman" w:hAnsi="Times New Roman" w:cs="Times New Roman"/>
          <w:sz w:val="28"/>
          <w:szCs w:val="28"/>
        </w:rPr>
        <w:t>Цільові групи осіб, що обиратимуться для участі у відповідному опитуванні, чи наукові установи, що залучатимуться для проведення відстеження: відстеження буде проводитись співробітниками Мін</w:t>
      </w:r>
      <w:r w:rsidR="00F0261E" w:rsidRPr="0056731E">
        <w:rPr>
          <w:rFonts w:ascii="Times New Roman" w:hAnsi="Times New Roman" w:cs="Times New Roman"/>
          <w:sz w:val="28"/>
          <w:szCs w:val="28"/>
        </w:rPr>
        <w:t>довкілля</w:t>
      </w:r>
      <w:r w:rsidRPr="0056731E">
        <w:rPr>
          <w:rFonts w:ascii="Times New Roman" w:hAnsi="Times New Roman" w:cs="Times New Roman"/>
          <w:sz w:val="28"/>
          <w:szCs w:val="28"/>
        </w:rPr>
        <w:t xml:space="preserve">, для чого будуть детально вивчатися </w:t>
      </w:r>
      <w:r w:rsidR="000646ED" w:rsidRPr="0056731E">
        <w:rPr>
          <w:rFonts w:ascii="Times New Roman" w:hAnsi="Times New Roman" w:cs="Times New Roman"/>
          <w:sz w:val="28"/>
          <w:szCs w:val="28"/>
        </w:rPr>
        <w:t>плани приведення місця розміщення відходів у відповідність з вимогами законодавства</w:t>
      </w:r>
      <w:r w:rsidR="00F0261E" w:rsidRPr="0056731E">
        <w:rPr>
          <w:rFonts w:ascii="Times New Roman" w:hAnsi="Times New Roman" w:cs="Times New Roman"/>
          <w:sz w:val="28"/>
          <w:szCs w:val="28"/>
        </w:rPr>
        <w:t xml:space="preserve">, </w:t>
      </w:r>
      <w:r w:rsidR="000646ED" w:rsidRPr="0056731E">
        <w:rPr>
          <w:rFonts w:ascii="Times New Roman" w:hAnsi="Times New Roman" w:cs="Times New Roman"/>
          <w:sz w:val="28"/>
          <w:szCs w:val="28"/>
        </w:rPr>
        <w:t xml:space="preserve">надані </w:t>
      </w:r>
      <w:r w:rsidR="00F0261E" w:rsidRPr="0056731E">
        <w:rPr>
          <w:rFonts w:ascii="Times New Roman" w:hAnsi="Times New Roman" w:cs="Times New Roman"/>
          <w:sz w:val="28"/>
          <w:szCs w:val="28"/>
        </w:rPr>
        <w:t>суб’єкт</w:t>
      </w:r>
      <w:r w:rsidR="000646ED" w:rsidRPr="0056731E">
        <w:rPr>
          <w:rFonts w:ascii="Times New Roman" w:hAnsi="Times New Roman" w:cs="Times New Roman"/>
          <w:sz w:val="28"/>
          <w:szCs w:val="28"/>
        </w:rPr>
        <w:t>ами</w:t>
      </w:r>
      <w:r w:rsidR="00F0261E" w:rsidRPr="0056731E">
        <w:rPr>
          <w:rFonts w:ascii="Times New Roman" w:hAnsi="Times New Roman" w:cs="Times New Roman"/>
          <w:sz w:val="28"/>
          <w:szCs w:val="28"/>
        </w:rPr>
        <w:t xml:space="preserve"> господарювання разом з документами на отримання дозволу на здійснення операцій з оброблення відходів.</w:t>
      </w:r>
    </w:p>
    <w:p w:rsidR="003D410B" w:rsidRPr="0056731E" w:rsidRDefault="003D410B" w:rsidP="005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149" w:rsidRPr="0056731E" w:rsidRDefault="00362149" w:rsidP="005A7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4460"/>
      </w:tblGrid>
      <w:tr w:rsidR="000646ED" w:rsidRPr="0056731E" w:rsidTr="00154DE9">
        <w:tc>
          <w:tcPr>
            <w:tcW w:w="5110" w:type="dxa"/>
            <w:shd w:val="clear" w:color="auto" w:fill="auto"/>
          </w:tcPr>
          <w:p w:rsidR="000646ED" w:rsidRPr="0056731E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Міністр </w:t>
            </w:r>
            <w:r w:rsidRPr="0056731E">
              <w:rPr>
                <w:rFonts w:ascii="Times New Roman" w:hAnsi="Times New Roman" w:cs="Times New Roman"/>
                <w:b/>
                <w:sz w:val="28"/>
                <w:szCs w:val="28"/>
              </w:rPr>
              <w:t>захисту довкілля та природних ресурсів України</w:t>
            </w:r>
          </w:p>
          <w:p w:rsidR="000646ED" w:rsidRPr="0056731E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46ED" w:rsidRPr="0056731E" w:rsidRDefault="000646ED" w:rsidP="0087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____________ 2023 р.</w:t>
            </w:r>
          </w:p>
        </w:tc>
        <w:tc>
          <w:tcPr>
            <w:tcW w:w="4460" w:type="dxa"/>
            <w:shd w:val="clear" w:color="auto" w:fill="auto"/>
          </w:tcPr>
          <w:p w:rsidR="000646ED" w:rsidRPr="0056731E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46ED" w:rsidRPr="0056731E" w:rsidRDefault="000646ED" w:rsidP="005A7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Руслан СТРІЛЕЦЬ</w:t>
            </w:r>
          </w:p>
        </w:tc>
      </w:tr>
    </w:tbl>
    <w:p w:rsidR="00C15A0C" w:rsidRPr="0056731E" w:rsidRDefault="00C15A0C" w:rsidP="005A7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A0C" w:rsidRPr="0056731E" w:rsidSect="004516A2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96" w:rsidRDefault="006D2F96" w:rsidP="007A6210">
      <w:pPr>
        <w:spacing w:after="0" w:line="240" w:lineRule="auto"/>
      </w:pPr>
      <w:r>
        <w:separator/>
      </w:r>
    </w:p>
  </w:endnote>
  <w:endnote w:type="continuationSeparator" w:id="0">
    <w:p w:rsidR="006D2F96" w:rsidRDefault="006D2F96" w:rsidP="007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96" w:rsidRDefault="006D2F96" w:rsidP="007A6210">
      <w:pPr>
        <w:spacing w:after="0" w:line="240" w:lineRule="auto"/>
      </w:pPr>
      <w:r>
        <w:separator/>
      </w:r>
    </w:p>
  </w:footnote>
  <w:footnote w:type="continuationSeparator" w:id="0">
    <w:p w:rsidR="006D2F96" w:rsidRDefault="006D2F96" w:rsidP="007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0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4E00" w:rsidRPr="006A1901" w:rsidRDefault="003421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2F67" w:rsidRPr="006A1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70C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A190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04E00" w:rsidRDefault="00B04E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0AF"/>
    <w:multiLevelType w:val="multilevel"/>
    <w:tmpl w:val="25CA2B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57338"/>
    <w:multiLevelType w:val="multilevel"/>
    <w:tmpl w:val="D38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B5D59"/>
    <w:multiLevelType w:val="multilevel"/>
    <w:tmpl w:val="DB3C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659C8"/>
    <w:multiLevelType w:val="hybridMultilevel"/>
    <w:tmpl w:val="58DAFE3A"/>
    <w:lvl w:ilvl="0" w:tplc="C74E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D85219"/>
    <w:multiLevelType w:val="hybridMultilevel"/>
    <w:tmpl w:val="196ED1FC"/>
    <w:lvl w:ilvl="0" w:tplc="B456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A879A3"/>
    <w:multiLevelType w:val="hybridMultilevel"/>
    <w:tmpl w:val="5CDCDACE"/>
    <w:lvl w:ilvl="0" w:tplc="75B419A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0043E5F"/>
    <w:multiLevelType w:val="multilevel"/>
    <w:tmpl w:val="28D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48080E"/>
    <w:multiLevelType w:val="hybridMultilevel"/>
    <w:tmpl w:val="44DAF1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26F17"/>
    <w:multiLevelType w:val="hybridMultilevel"/>
    <w:tmpl w:val="B766738A"/>
    <w:lvl w:ilvl="0" w:tplc="A5C4DCAE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74D20D3"/>
    <w:multiLevelType w:val="multilevel"/>
    <w:tmpl w:val="0A2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E97EFD"/>
    <w:multiLevelType w:val="hybridMultilevel"/>
    <w:tmpl w:val="B7060AFE"/>
    <w:lvl w:ilvl="0" w:tplc="F440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78CD"/>
    <w:multiLevelType w:val="hybridMultilevel"/>
    <w:tmpl w:val="BB66ADA8"/>
    <w:lvl w:ilvl="0" w:tplc="A2344A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D7B50"/>
    <w:multiLevelType w:val="hybridMultilevel"/>
    <w:tmpl w:val="B6CA0668"/>
    <w:lvl w:ilvl="0" w:tplc="DD5C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4A1A"/>
    <w:multiLevelType w:val="multilevel"/>
    <w:tmpl w:val="281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424774"/>
    <w:multiLevelType w:val="hybridMultilevel"/>
    <w:tmpl w:val="4FE0AB1A"/>
    <w:lvl w:ilvl="0" w:tplc="6DCEDA1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173713C"/>
    <w:multiLevelType w:val="hybridMultilevel"/>
    <w:tmpl w:val="79E0F79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2319"/>
    <w:multiLevelType w:val="multilevel"/>
    <w:tmpl w:val="565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109D2"/>
    <w:multiLevelType w:val="multilevel"/>
    <w:tmpl w:val="CCA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4C3BAF"/>
    <w:multiLevelType w:val="hybridMultilevel"/>
    <w:tmpl w:val="1BE8DD6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02144"/>
    <w:multiLevelType w:val="hybridMultilevel"/>
    <w:tmpl w:val="87CCFCDA"/>
    <w:lvl w:ilvl="0" w:tplc="2B06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BC4327"/>
    <w:multiLevelType w:val="multilevel"/>
    <w:tmpl w:val="D5408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11"/>
  </w:num>
  <w:num w:numId="6">
    <w:abstractNumId w:val="4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20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7"/>
    <w:rsid w:val="00001092"/>
    <w:rsid w:val="000018BE"/>
    <w:rsid w:val="0000224C"/>
    <w:rsid w:val="00002C2F"/>
    <w:rsid w:val="0000582E"/>
    <w:rsid w:val="00010E34"/>
    <w:rsid w:val="0001394A"/>
    <w:rsid w:val="00013CC1"/>
    <w:rsid w:val="000157F0"/>
    <w:rsid w:val="000172E3"/>
    <w:rsid w:val="00022924"/>
    <w:rsid w:val="000308B5"/>
    <w:rsid w:val="00032773"/>
    <w:rsid w:val="00040B12"/>
    <w:rsid w:val="000504A7"/>
    <w:rsid w:val="000514A3"/>
    <w:rsid w:val="0005757C"/>
    <w:rsid w:val="00057C09"/>
    <w:rsid w:val="00060B91"/>
    <w:rsid w:val="00061607"/>
    <w:rsid w:val="00061736"/>
    <w:rsid w:val="000646ED"/>
    <w:rsid w:val="000649F2"/>
    <w:rsid w:val="00066A50"/>
    <w:rsid w:val="00073F24"/>
    <w:rsid w:val="000856CA"/>
    <w:rsid w:val="0008624D"/>
    <w:rsid w:val="00090FF3"/>
    <w:rsid w:val="00091923"/>
    <w:rsid w:val="00094C38"/>
    <w:rsid w:val="0009512A"/>
    <w:rsid w:val="0009655D"/>
    <w:rsid w:val="000A4142"/>
    <w:rsid w:val="000A563B"/>
    <w:rsid w:val="000A7C95"/>
    <w:rsid w:val="000B2A7B"/>
    <w:rsid w:val="000B4800"/>
    <w:rsid w:val="000B69B9"/>
    <w:rsid w:val="000B7E3F"/>
    <w:rsid w:val="000C10D0"/>
    <w:rsid w:val="000C11BC"/>
    <w:rsid w:val="000C4CB3"/>
    <w:rsid w:val="000C60FF"/>
    <w:rsid w:val="000C7065"/>
    <w:rsid w:val="000D4EE2"/>
    <w:rsid w:val="000E51DA"/>
    <w:rsid w:val="000E5BB2"/>
    <w:rsid w:val="000E5E8F"/>
    <w:rsid w:val="000E6EDD"/>
    <w:rsid w:val="000F0E34"/>
    <w:rsid w:val="000F3820"/>
    <w:rsid w:val="000F3D46"/>
    <w:rsid w:val="000F5AF0"/>
    <w:rsid w:val="000F7DD4"/>
    <w:rsid w:val="00101A4D"/>
    <w:rsid w:val="00102282"/>
    <w:rsid w:val="00104E7D"/>
    <w:rsid w:val="00104F9A"/>
    <w:rsid w:val="001069CA"/>
    <w:rsid w:val="00107111"/>
    <w:rsid w:val="00114457"/>
    <w:rsid w:val="00123021"/>
    <w:rsid w:val="00123384"/>
    <w:rsid w:val="00123EA0"/>
    <w:rsid w:val="00130740"/>
    <w:rsid w:val="001336CC"/>
    <w:rsid w:val="00136260"/>
    <w:rsid w:val="00137482"/>
    <w:rsid w:val="00141B7F"/>
    <w:rsid w:val="0014412C"/>
    <w:rsid w:val="00146AFF"/>
    <w:rsid w:val="001547D5"/>
    <w:rsid w:val="00156122"/>
    <w:rsid w:val="00162F41"/>
    <w:rsid w:val="00166F28"/>
    <w:rsid w:val="00167254"/>
    <w:rsid w:val="001719CE"/>
    <w:rsid w:val="00171BBC"/>
    <w:rsid w:val="00174557"/>
    <w:rsid w:val="00175101"/>
    <w:rsid w:val="00182404"/>
    <w:rsid w:val="00186F45"/>
    <w:rsid w:val="001920BD"/>
    <w:rsid w:val="00192EF1"/>
    <w:rsid w:val="00193BE1"/>
    <w:rsid w:val="00193C7A"/>
    <w:rsid w:val="00194E9A"/>
    <w:rsid w:val="00195048"/>
    <w:rsid w:val="0019741D"/>
    <w:rsid w:val="001A0FD6"/>
    <w:rsid w:val="001A150F"/>
    <w:rsid w:val="001A527C"/>
    <w:rsid w:val="001B0EC4"/>
    <w:rsid w:val="001B31AD"/>
    <w:rsid w:val="001C6782"/>
    <w:rsid w:val="001D1757"/>
    <w:rsid w:val="001D2130"/>
    <w:rsid w:val="001D2484"/>
    <w:rsid w:val="001D3BA4"/>
    <w:rsid w:val="001E49B2"/>
    <w:rsid w:val="001F1219"/>
    <w:rsid w:val="00201F06"/>
    <w:rsid w:val="002020E6"/>
    <w:rsid w:val="00202848"/>
    <w:rsid w:val="00203777"/>
    <w:rsid w:val="002157BF"/>
    <w:rsid w:val="00220EC3"/>
    <w:rsid w:val="00222743"/>
    <w:rsid w:val="002245B8"/>
    <w:rsid w:val="002263BE"/>
    <w:rsid w:val="00226654"/>
    <w:rsid w:val="00232DFD"/>
    <w:rsid w:val="00233ECF"/>
    <w:rsid w:val="0023446C"/>
    <w:rsid w:val="002357BC"/>
    <w:rsid w:val="00235F57"/>
    <w:rsid w:val="002367CC"/>
    <w:rsid w:val="00236836"/>
    <w:rsid w:val="00241074"/>
    <w:rsid w:val="00241B55"/>
    <w:rsid w:val="00242B4D"/>
    <w:rsid w:val="00244EFF"/>
    <w:rsid w:val="002508F1"/>
    <w:rsid w:val="00251ABD"/>
    <w:rsid w:val="00253DCB"/>
    <w:rsid w:val="00254563"/>
    <w:rsid w:val="00255335"/>
    <w:rsid w:val="002607F7"/>
    <w:rsid w:val="00261AD1"/>
    <w:rsid w:val="00264805"/>
    <w:rsid w:val="00266275"/>
    <w:rsid w:val="00273D7C"/>
    <w:rsid w:val="00275DFF"/>
    <w:rsid w:val="00276975"/>
    <w:rsid w:val="0028249E"/>
    <w:rsid w:val="00292F27"/>
    <w:rsid w:val="00296BE3"/>
    <w:rsid w:val="00296C30"/>
    <w:rsid w:val="002A1253"/>
    <w:rsid w:val="002A3262"/>
    <w:rsid w:val="002A3B85"/>
    <w:rsid w:val="002A6B77"/>
    <w:rsid w:val="002B150F"/>
    <w:rsid w:val="002B5629"/>
    <w:rsid w:val="002B5C4E"/>
    <w:rsid w:val="002C013D"/>
    <w:rsid w:val="002C093E"/>
    <w:rsid w:val="002C1CAE"/>
    <w:rsid w:val="002C2288"/>
    <w:rsid w:val="002C3982"/>
    <w:rsid w:val="002C5A0F"/>
    <w:rsid w:val="002C6BD6"/>
    <w:rsid w:val="002C7C5A"/>
    <w:rsid w:val="002D2515"/>
    <w:rsid w:val="002D261D"/>
    <w:rsid w:val="002D2840"/>
    <w:rsid w:val="002D3853"/>
    <w:rsid w:val="002D3A4C"/>
    <w:rsid w:val="002D6B4F"/>
    <w:rsid w:val="002E21C2"/>
    <w:rsid w:val="002F0B1C"/>
    <w:rsid w:val="00305DE7"/>
    <w:rsid w:val="00307112"/>
    <w:rsid w:val="003101E2"/>
    <w:rsid w:val="00310633"/>
    <w:rsid w:val="003129D4"/>
    <w:rsid w:val="00314E51"/>
    <w:rsid w:val="0031598F"/>
    <w:rsid w:val="00315A0B"/>
    <w:rsid w:val="00320CB3"/>
    <w:rsid w:val="0032158A"/>
    <w:rsid w:val="003223F3"/>
    <w:rsid w:val="00323E4C"/>
    <w:rsid w:val="00325E31"/>
    <w:rsid w:val="003348BC"/>
    <w:rsid w:val="003400DA"/>
    <w:rsid w:val="003421B5"/>
    <w:rsid w:val="0034275F"/>
    <w:rsid w:val="00345C19"/>
    <w:rsid w:val="00351F22"/>
    <w:rsid w:val="003522B2"/>
    <w:rsid w:val="0035256B"/>
    <w:rsid w:val="00356DBF"/>
    <w:rsid w:val="00360102"/>
    <w:rsid w:val="003606FF"/>
    <w:rsid w:val="00361FFB"/>
    <w:rsid w:val="00362149"/>
    <w:rsid w:val="00362367"/>
    <w:rsid w:val="00362395"/>
    <w:rsid w:val="003714A3"/>
    <w:rsid w:val="0037700C"/>
    <w:rsid w:val="00390377"/>
    <w:rsid w:val="003920E0"/>
    <w:rsid w:val="00393CC0"/>
    <w:rsid w:val="00396E0B"/>
    <w:rsid w:val="003A5902"/>
    <w:rsid w:val="003B04F3"/>
    <w:rsid w:val="003B188E"/>
    <w:rsid w:val="003B517B"/>
    <w:rsid w:val="003C211E"/>
    <w:rsid w:val="003C2576"/>
    <w:rsid w:val="003C4BC6"/>
    <w:rsid w:val="003C51B7"/>
    <w:rsid w:val="003C5897"/>
    <w:rsid w:val="003C7A7C"/>
    <w:rsid w:val="003D01B1"/>
    <w:rsid w:val="003D1E4F"/>
    <w:rsid w:val="003D410B"/>
    <w:rsid w:val="003D4B28"/>
    <w:rsid w:val="003D4CCE"/>
    <w:rsid w:val="003D4CD5"/>
    <w:rsid w:val="003D5933"/>
    <w:rsid w:val="003E05F1"/>
    <w:rsid w:val="003E4C7B"/>
    <w:rsid w:val="003F1C6A"/>
    <w:rsid w:val="003F24EF"/>
    <w:rsid w:val="003F5173"/>
    <w:rsid w:val="003F57D2"/>
    <w:rsid w:val="0041062F"/>
    <w:rsid w:val="0041090F"/>
    <w:rsid w:val="00412C6E"/>
    <w:rsid w:val="00412EFD"/>
    <w:rsid w:val="004135EC"/>
    <w:rsid w:val="00416B2C"/>
    <w:rsid w:val="00423D1B"/>
    <w:rsid w:val="00424368"/>
    <w:rsid w:val="00431083"/>
    <w:rsid w:val="004311E7"/>
    <w:rsid w:val="004328A3"/>
    <w:rsid w:val="00432FF2"/>
    <w:rsid w:val="0043398E"/>
    <w:rsid w:val="00435780"/>
    <w:rsid w:val="0043762E"/>
    <w:rsid w:val="00443027"/>
    <w:rsid w:val="00443723"/>
    <w:rsid w:val="00444691"/>
    <w:rsid w:val="00446705"/>
    <w:rsid w:val="004516A2"/>
    <w:rsid w:val="004520BB"/>
    <w:rsid w:val="004536F5"/>
    <w:rsid w:val="00454C94"/>
    <w:rsid w:val="004558E1"/>
    <w:rsid w:val="004614F9"/>
    <w:rsid w:val="00461557"/>
    <w:rsid w:val="004631DC"/>
    <w:rsid w:val="004656AC"/>
    <w:rsid w:val="00465AD5"/>
    <w:rsid w:val="00473A13"/>
    <w:rsid w:val="00475958"/>
    <w:rsid w:val="00475FA7"/>
    <w:rsid w:val="00481571"/>
    <w:rsid w:val="00481ECC"/>
    <w:rsid w:val="00482E74"/>
    <w:rsid w:val="0048432C"/>
    <w:rsid w:val="004851EF"/>
    <w:rsid w:val="0048531A"/>
    <w:rsid w:val="00487029"/>
    <w:rsid w:val="004926E1"/>
    <w:rsid w:val="004933CA"/>
    <w:rsid w:val="004940E5"/>
    <w:rsid w:val="00494FB9"/>
    <w:rsid w:val="004968BA"/>
    <w:rsid w:val="004A1905"/>
    <w:rsid w:val="004A4FDD"/>
    <w:rsid w:val="004B32DD"/>
    <w:rsid w:val="004B40F2"/>
    <w:rsid w:val="004B4734"/>
    <w:rsid w:val="004B5180"/>
    <w:rsid w:val="004B51B0"/>
    <w:rsid w:val="004B7ADE"/>
    <w:rsid w:val="004C114A"/>
    <w:rsid w:val="004C3214"/>
    <w:rsid w:val="004C416D"/>
    <w:rsid w:val="004C6EA6"/>
    <w:rsid w:val="004C7CB0"/>
    <w:rsid w:val="004D25AC"/>
    <w:rsid w:val="004D274A"/>
    <w:rsid w:val="004D6C25"/>
    <w:rsid w:val="004E4056"/>
    <w:rsid w:val="004F051C"/>
    <w:rsid w:val="004F1101"/>
    <w:rsid w:val="00501DAD"/>
    <w:rsid w:val="0050220A"/>
    <w:rsid w:val="00502D57"/>
    <w:rsid w:val="00504176"/>
    <w:rsid w:val="00517D93"/>
    <w:rsid w:val="00522E56"/>
    <w:rsid w:val="00530B80"/>
    <w:rsid w:val="00537235"/>
    <w:rsid w:val="0053745A"/>
    <w:rsid w:val="005377DF"/>
    <w:rsid w:val="005405AD"/>
    <w:rsid w:val="005473F9"/>
    <w:rsid w:val="00550C76"/>
    <w:rsid w:val="0055194B"/>
    <w:rsid w:val="00551ACB"/>
    <w:rsid w:val="00554DBD"/>
    <w:rsid w:val="005561AC"/>
    <w:rsid w:val="00563435"/>
    <w:rsid w:val="0056731E"/>
    <w:rsid w:val="0056788A"/>
    <w:rsid w:val="00567FFD"/>
    <w:rsid w:val="00570168"/>
    <w:rsid w:val="00570C97"/>
    <w:rsid w:val="00572C9D"/>
    <w:rsid w:val="00573A32"/>
    <w:rsid w:val="00575117"/>
    <w:rsid w:val="005773AB"/>
    <w:rsid w:val="00581503"/>
    <w:rsid w:val="0058368F"/>
    <w:rsid w:val="0058507D"/>
    <w:rsid w:val="00585BF3"/>
    <w:rsid w:val="00586CB2"/>
    <w:rsid w:val="00587763"/>
    <w:rsid w:val="00587804"/>
    <w:rsid w:val="00590D78"/>
    <w:rsid w:val="00592EDE"/>
    <w:rsid w:val="005A03A3"/>
    <w:rsid w:val="005A2E3B"/>
    <w:rsid w:val="005A3EB8"/>
    <w:rsid w:val="005A6055"/>
    <w:rsid w:val="005A7E96"/>
    <w:rsid w:val="005A7ED1"/>
    <w:rsid w:val="005B128B"/>
    <w:rsid w:val="005B3EE8"/>
    <w:rsid w:val="005B52F5"/>
    <w:rsid w:val="005C1349"/>
    <w:rsid w:val="005C25B5"/>
    <w:rsid w:val="005C25EE"/>
    <w:rsid w:val="005C3E50"/>
    <w:rsid w:val="005C407E"/>
    <w:rsid w:val="005C422A"/>
    <w:rsid w:val="005D7FD0"/>
    <w:rsid w:val="005F1398"/>
    <w:rsid w:val="005F2955"/>
    <w:rsid w:val="005F2EE5"/>
    <w:rsid w:val="005F3F1B"/>
    <w:rsid w:val="005F45C3"/>
    <w:rsid w:val="005F4C1C"/>
    <w:rsid w:val="005F64A2"/>
    <w:rsid w:val="00601211"/>
    <w:rsid w:val="006016FE"/>
    <w:rsid w:val="0060178E"/>
    <w:rsid w:val="006029D3"/>
    <w:rsid w:val="0060397C"/>
    <w:rsid w:val="00604FC5"/>
    <w:rsid w:val="00605035"/>
    <w:rsid w:val="006062DA"/>
    <w:rsid w:val="00607BFE"/>
    <w:rsid w:val="00610478"/>
    <w:rsid w:val="00613AE7"/>
    <w:rsid w:val="00624AE4"/>
    <w:rsid w:val="00626205"/>
    <w:rsid w:val="00630ABE"/>
    <w:rsid w:val="00636D73"/>
    <w:rsid w:val="00654101"/>
    <w:rsid w:val="00656BF9"/>
    <w:rsid w:val="00663F9A"/>
    <w:rsid w:val="00672FA5"/>
    <w:rsid w:val="00674AF6"/>
    <w:rsid w:val="0068266A"/>
    <w:rsid w:val="00684666"/>
    <w:rsid w:val="00690145"/>
    <w:rsid w:val="00691186"/>
    <w:rsid w:val="00691DAD"/>
    <w:rsid w:val="006A1901"/>
    <w:rsid w:val="006A4438"/>
    <w:rsid w:val="006A4AA8"/>
    <w:rsid w:val="006A506D"/>
    <w:rsid w:val="006B078E"/>
    <w:rsid w:val="006B3856"/>
    <w:rsid w:val="006B48A3"/>
    <w:rsid w:val="006B584E"/>
    <w:rsid w:val="006B5B4E"/>
    <w:rsid w:val="006B7420"/>
    <w:rsid w:val="006B7A66"/>
    <w:rsid w:val="006C40AB"/>
    <w:rsid w:val="006C5040"/>
    <w:rsid w:val="006C5F26"/>
    <w:rsid w:val="006C7B01"/>
    <w:rsid w:val="006D060D"/>
    <w:rsid w:val="006D156F"/>
    <w:rsid w:val="006D2317"/>
    <w:rsid w:val="006D2F96"/>
    <w:rsid w:val="006D58C3"/>
    <w:rsid w:val="006D72B0"/>
    <w:rsid w:val="006E2188"/>
    <w:rsid w:val="006E397A"/>
    <w:rsid w:val="006E40EF"/>
    <w:rsid w:val="006E6F5E"/>
    <w:rsid w:val="006F215B"/>
    <w:rsid w:val="006F2AFF"/>
    <w:rsid w:val="006F34FB"/>
    <w:rsid w:val="006F66CE"/>
    <w:rsid w:val="00701132"/>
    <w:rsid w:val="00703E8E"/>
    <w:rsid w:val="00705110"/>
    <w:rsid w:val="0070546E"/>
    <w:rsid w:val="00706EDE"/>
    <w:rsid w:val="00710B5C"/>
    <w:rsid w:val="00716613"/>
    <w:rsid w:val="007178AF"/>
    <w:rsid w:val="00720A75"/>
    <w:rsid w:val="00723929"/>
    <w:rsid w:val="0072538C"/>
    <w:rsid w:val="007318D5"/>
    <w:rsid w:val="00733485"/>
    <w:rsid w:val="00735EE1"/>
    <w:rsid w:val="007368BF"/>
    <w:rsid w:val="00740E77"/>
    <w:rsid w:val="00744237"/>
    <w:rsid w:val="00757016"/>
    <w:rsid w:val="007571C4"/>
    <w:rsid w:val="00757EB5"/>
    <w:rsid w:val="00760D2C"/>
    <w:rsid w:val="00765C21"/>
    <w:rsid w:val="00765C82"/>
    <w:rsid w:val="00766340"/>
    <w:rsid w:val="00766AAE"/>
    <w:rsid w:val="00766C05"/>
    <w:rsid w:val="007734D4"/>
    <w:rsid w:val="00774CC2"/>
    <w:rsid w:val="00775F96"/>
    <w:rsid w:val="00784900"/>
    <w:rsid w:val="00784C9A"/>
    <w:rsid w:val="007910D3"/>
    <w:rsid w:val="00791EA0"/>
    <w:rsid w:val="00792914"/>
    <w:rsid w:val="00794633"/>
    <w:rsid w:val="00794859"/>
    <w:rsid w:val="00796B88"/>
    <w:rsid w:val="007971B2"/>
    <w:rsid w:val="00797A80"/>
    <w:rsid w:val="007A2843"/>
    <w:rsid w:val="007A6210"/>
    <w:rsid w:val="007A6F48"/>
    <w:rsid w:val="007B1E14"/>
    <w:rsid w:val="007B1EB4"/>
    <w:rsid w:val="007B7919"/>
    <w:rsid w:val="007B7AAA"/>
    <w:rsid w:val="007C0E06"/>
    <w:rsid w:val="007C120D"/>
    <w:rsid w:val="007C5B93"/>
    <w:rsid w:val="007D0C9D"/>
    <w:rsid w:val="007D7BD9"/>
    <w:rsid w:val="007D7DEA"/>
    <w:rsid w:val="007E04C7"/>
    <w:rsid w:val="007E657F"/>
    <w:rsid w:val="007F0BA8"/>
    <w:rsid w:val="007F0E0A"/>
    <w:rsid w:val="007F1049"/>
    <w:rsid w:val="007F2F67"/>
    <w:rsid w:val="00803FCE"/>
    <w:rsid w:val="008073AA"/>
    <w:rsid w:val="0081456C"/>
    <w:rsid w:val="00815F97"/>
    <w:rsid w:val="008212DC"/>
    <w:rsid w:val="00830FD9"/>
    <w:rsid w:val="00832F42"/>
    <w:rsid w:val="008340E2"/>
    <w:rsid w:val="00837A49"/>
    <w:rsid w:val="00845760"/>
    <w:rsid w:val="00846106"/>
    <w:rsid w:val="00846E4B"/>
    <w:rsid w:val="00851AC4"/>
    <w:rsid w:val="00851D9A"/>
    <w:rsid w:val="00852AA3"/>
    <w:rsid w:val="008577F7"/>
    <w:rsid w:val="00860665"/>
    <w:rsid w:val="0086295F"/>
    <w:rsid w:val="00862E74"/>
    <w:rsid w:val="00870969"/>
    <w:rsid w:val="00872C88"/>
    <w:rsid w:val="00875913"/>
    <w:rsid w:val="0087638E"/>
    <w:rsid w:val="00877E3B"/>
    <w:rsid w:val="0088092F"/>
    <w:rsid w:val="008809B9"/>
    <w:rsid w:val="00883CEC"/>
    <w:rsid w:val="008846BB"/>
    <w:rsid w:val="0088611C"/>
    <w:rsid w:val="00887704"/>
    <w:rsid w:val="008969BB"/>
    <w:rsid w:val="00896D3D"/>
    <w:rsid w:val="00897076"/>
    <w:rsid w:val="008A57E6"/>
    <w:rsid w:val="008C29C5"/>
    <w:rsid w:val="008C521A"/>
    <w:rsid w:val="008C522C"/>
    <w:rsid w:val="008D5513"/>
    <w:rsid w:val="008D6248"/>
    <w:rsid w:val="008E69B6"/>
    <w:rsid w:val="008E6EA1"/>
    <w:rsid w:val="008F0034"/>
    <w:rsid w:val="008F0808"/>
    <w:rsid w:val="008F1AAD"/>
    <w:rsid w:val="00900871"/>
    <w:rsid w:val="00902B38"/>
    <w:rsid w:val="00905253"/>
    <w:rsid w:val="0091045B"/>
    <w:rsid w:val="0091097B"/>
    <w:rsid w:val="00910A51"/>
    <w:rsid w:val="0091565D"/>
    <w:rsid w:val="00917E91"/>
    <w:rsid w:val="00920455"/>
    <w:rsid w:val="009228FA"/>
    <w:rsid w:val="00925C8D"/>
    <w:rsid w:val="009305A7"/>
    <w:rsid w:val="00933532"/>
    <w:rsid w:val="00935025"/>
    <w:rsid w:val="00935A22"/>
    <w:rsid w:val="00937BDA"/>
    <w:rsid w:val="00940B6D"/>
    <w:rsid w:val="0094279A"/>
    <w:rsid w:val="00942E24"/>
    <w:rsid w:val="00945D06"/>
    <w:rsid w:val="00945DEE"/>
    <w:rsid w:val="00946EEB"/>
    <w:rsid w:val="009471F7"/>
    <w:rsid w:val="0095507E"/>
    <w:rsid w:val="00955206"/>
    <w:rsid w:val="009617B0"/>
    <w:rsid w:val="00963A55"/>
    <w:rsid w:val="0097297A"/>
    <w:rsid w:val="00975BDD"/>
    <w:rsid w:val="00976838"/>
    <w:rsid w:val="009770DA"/>
    <w:rsid w:val="009817A5"/>
    <w:rsid w:val="00986F38"/>
    <w:rsid w:val="00990A13"/>
    <w:rsid w:val="00996272"/>
    <w:rsid w:val="00997552"/>
    <w:rsid w:val="009A445D"/>
    <w:rsid w:val="009A5955"/>
    <w:rsid w:val="009A608F"/>
    <w:rsid w:val="009B2ED6"/>
    <w:rsid w:val="009D3653"/>
    <w:rsid w:val="009D5723"/>
    <w:rsid w:val="009D7488"/>
    <w:rsid w:val="009E2F81"/>
    <w:rsid w:val="009E7B82"/>
    <w:rsid w:val="009F1658"/>
    <w:rsid w:val="009F2EEC"/>
    <w:rsid w:val="00A0174A"/>
    <w:rsid w:val="00A10065"/>
    <w:rsid w:val="00A1295E"/>
    <w:rsid w:val="00A17A37"/>
    <w:rsid w:val="00A20136"/>
    <w:rsid w:val="00A22E1A"/>
    <w:rsid w:val="00A23EC7"/>
    <w:rsid w:val="00A2419D"/>
    <w:rsid w:val="00A261FF"/>
    <w:rsid w:val="00A26361"/>
    <w:rsid w:val="00A30A9E"/>
    <w:rsid w:val="00A3688D"/>
    <w:rsid w:val="00A405C2"/>
    <w:rsid w:val="00A43E6D"/>
    <w:rsid w:val="00A5003B"/>
    <w:rsid w:val="00A51C2C"/>
    <w:rsid w:val="00A522BF"/>
    <w:rsid w:val="00A52FFE"/>
    <w:rsid w:val="00A532D6"/>
    <w:rsid w:val="00A5394E"/>
    <w:rsid w:val="00A57546"/>
    <w:rsid w:val="00A5766F"/>
    <w:rsid w:val="00A61938"/>
    <w:rsid w:val="00A63B21"/>
    <w:rsid w:val="00A64236"/>
    <w:rsid w:val="00A645D0"/>
    <w:rsid w:val="00A649AD"/>
    <w:rsid w:val="00A67F4F"/>
    <w:rsid w:val="00A72297"/>
    <w:rsid w:val="00A73098"/>
    <w:rsid w:val="00A75298"/>
    <w:rsid w:val="00A83A98"/>
    <w:rsid w:val="00A842A9"/>
    <w:rsid w:val="00A85EAB"/>
    <w:rsid w:val="00A862EA"/>
    <w:rsid w:val="00A90FF1"/>
    <w:rsid w:val="00A95C81"/>
    <w:rsid w:val="00A95C96"/>
    <w:rsid w:val="00A97E04"/>
    <w:rsid w:val="00A97F04"/>
    <w:rsid w:val="00AB1925"/>
    <w:rsid w:val="00AB78DD"/>
    <w:rsid w:val="00AC28E5"/>
    <w:rsid w:val="00AC3850"/>
    <w:rsid w:val="00AD1B4E"/>
    <w:rsid w:val="00AE13F4"/>
    <w:rsid w:val="00AE3A89"/>
    <w:rsid w:val="00AE5B0F"/>
    <w:rsid w:val="00AE5C9C"/>
    <w:rsid w:val="00AF2F44"/>
    <w:rsid w:val="00AF7DED"/>
    <w:rsid w:val="00B02231"/>
    <w:rsid w:val="00B0304E"/>
    <w:rsid w:val="00B03396"/>
    <w:rsid w:val="00B03795"/>
    <w:rsid w:val="00B04E00"/>
    <w:rsid w:val="00B05E38"/>
    <w:rsid w:val="00B06350"/>
    <w:rsid w:val="00B06A78"/>
    <w:rsid w:val="00B122C0"/>
    <w:rsid w:val="00B16613"/>
    <w:rsid w:val="00B17E28"/>
    <w:rsid w:val="00B2051B"/>
    <w:rsid w:val="00B22430"/>
    <w:rsid w:val="00B27853"/>
    <w:rsid w:val="00B27858"/>
    <w:rsid w:val="00B3245A"/>
    <w:rsid w:val="00B32934"/>
    <w:rsid w:val="00B32C71"/>
    <w:rsid w:val="00B33005"/>
    <w:rsid w:val="00B3571F"/>
    <w:rsid w:val="00B35DC5"/>
    <w:rsid w:val="00B36B97"/>
    <w:rsid w:val="00B41979"/>
    <w:rsid w:val="00B43244"/>
    <w:rsid w:val="00B51935"/>
    <w:rsid w:val="00B52E96"/>
    <w:rsid w:val="00B554C8"/>
    <w:rsid w:val="00B557C4"/>
    <w:rsid w:val="00B55D08"/>
    <w:rsid w:val="00B6032E"/>
    <w:rsid w:val="00B61DF5"/>
    <w:rsid w:val="00B632DA"/>
    <w:rsid w:val="00B649D7"/>
    <w:rsid w:val="00B733E5"/>
    <w:rsid w:val="00B80173"/>
    <w:rsid w:val="00B811F8"/>
    <w:rsid w:val="00B81492"/>
    <w:rsid w:val="00B82351"/>
    <w:rsid w:val="00B826FE"/>
    <w:rsid w:val="00B845A1"/>
    <w:rsid w:val="00B84F0D"/>
    <w:rsid w:val="00B86C3C"/>
    <w:rsid w:val="00B90865"/>
    <w:rsid w:val="00B9596A"/>
    <w:rsid w:val="00B971EE"/>
    <w:rsid w:val="00BA33B8"/>
    <w:rsid w:val="00BA5C7D"/>
    <w:rsid w:val="00BB1F87"/>
    <w:rsid w:val="00BB1F9C"/>
    <w:rsid w:val="00BB5FD3"/>
    <w:rsid w:val="00BB688C"/>
    <w:rsid w:val="00BC4669"/>
    <w:rsid w:val="00BD0BEC"/>
    <w:rsid w:val="00BD273A"/>
    <w:rsid w:val="00BD4857"/>
    <w:rsid w:val="00BE2AA7"/>
    <w:rsid w:val="00BE2F9E"/>
    <w:rsid w:val="00BE7E9F"/>
    <w:rsid w:val="00BF1484"/>
    <w:rsid w:val="00BF7AC3"/>
    <w:rsid w:val="00C044B3"/>
    <w:rsid w:val="00C04E83"/>
    <w:rsid w:val="00C0701C"/>
    <w:rsid w:val="00C07EAE"/>
    <w:rsid w:val="00C10375"/>
    <w:rsid w:val="00C15A0C"/>
    <w:rsid w:val="00C162D7"/>
    <w:rsid w:val="00C1787A"/>
    <w:rsid w:val="00C20D62"/>
    <w:rsid w:val="00C23577"/>
    <w:rsid w:val="00C23870"/>
    <w:rsid w:val="00C25CA5"/>
    <w:rsid w:val="00C274C7"/>
    <w:rsid w:val="00C322E3"/>
    <w:rsid w:val="00C419A6"/>
    <w:rsid w:val="00C570CF"/>
    <w:rsid w:val="00C64249"/>
    <w:rsid w:val="00C648D7"/>
    <w:rsid w:val="00C6534A"/>
    <w:rsid w:val="00C67C6C"/>
    <w:rsid w:val="00C705B1"/>
    <w:rsid w:val="00C75CFE"/>
    <w:rsid w:val="00C765A1"/>
    <w:rsid w:val="00C8202A"/>
    <w:rsid w:val="00C83378"/>
    <w:rsid w:val="00C84007"/>
    <w:rsid w:val="00C85D2F"/>
    <w:rsid w:val="00C90396"/>
    <w:rsid w:val="00C94634"/>
    <w:rsid w:val="00CA306C"/>
    <w:rsid w:val="00CA3685"/>
    <w:rsid w:val="00CA434F"/>
    <w:rsid w:val="00CA48B6"/>
    <w:rsid w:val="00CA62D2"/>
    <w:rsid w:val="00CC0F68"/>
    <w:rsid w:val="00CC3D96"/>
    <w:rsid w:val="00CD305C"/>
    <w:rsid w:val="00CD340D"/>
    <w:rsid w:val="00CE105B"/>
    <w:rsid w:val="00CE15B5"/>
    <w:rsid w:val="00CE1A46"/>
    <w:rsid w:val="00CE245F"/>
    <w:rsid w:val="00CE3AF5"/>
    <w:rsid w:val="00CE49B2"/>
    <w:rsid w:val="00CE4DC5"/>
    <w:rsid w:val="00CE609D"/>
    <w:rsid w:val="00CF17DE"/>
    <w:rsid w:val="00CF4B34"/>
    <w:rsid w:val="00D03505"/>
    <w:rsid w:val="00D03C98"/>
    <w:rsid w:val="00D05A03"/>
    <w:rsid w:val="00D109A3"/>
    <w:rsid w:val="00D1374D"/>
    <w:rsid w:val="00D144AD"/>
    <w:rsid w:val="00D15D57"/>
    <w:rsid w:val="00D17968"/>
    <w:rsid w:val="00D250A5"/>
    <w:rsid w:val="00D251F6"/>
    <w:rsid w:val="00D26AC0"/>
    <w:rsid w:val="00D27272"/>
    <w:rsid w:val="00D27A6C"/>
    <w:rsid w:val="00D3412B"/>
    <w:rsid w:val="00D35CCF"/>
    <w:rsid w:val="00D3686E"/>
    <w:rsid w:val="00D36E42"/>
    <w:rsid w:val="00D44487"/>
    <w:rsid w:val="00D466E7"/>
    <w:rsid w:val="00D47BCD"/>
    <w:rsid w:val="00D519EB"/>
    <w:rsid w:val="00D51E10"/>
    <w:rsid w:val="00D547C7"/>
    <w:rsid w:val="00D55450"/>
    <w:rsid w:val="00D55822"/>
    <w:rsid w:val="00D56831"/>
    <w:rsid w:val="00D619D1"/>
    <w:rsid w:val="00D63D34"/>
    <w:rsid w:val="00D7005C"/>
    <w:rsid w:val="00D706C7"/>
    <w:rsid w:val="00D70F7C"/>
    <w:rsid w:val="00D717B8"/>
    <w:rsid w:val="00D74E84"/>
    <w:rsid w:val="00D77E2D"/>
    <w:rsid w:val="00D80E1A"/>
    <w:rsid w:val="00D822A3"/>
    <w:rsid w:val="00D852FC"/>
    <w:rsid w:val="00D85704"/>
    <w:rsid w:val="00D92C2C"/>
    <w:rsid w:val="00D951AA"/>
    <w:rsid w:val="00D95A61"/>
    <w:rsid w:val="00D96E4D"/>
    <w:rsid w:val="00DA3208"/>
    <w:rsid w:val="00DA48F5"/>
    <w:rsid w:val="00DA57FA"/>
    <w:rsid w:val="00DA5FD1"/>
    <w:rsid w:val="00DB0603"/>
    <w:rsid w:val="00DB4A20"/>
    <w:rsid w:val="00DB5E0D"/>
    <w:rsid w:val="00DC0851"/>
    <w:rsid w:val="00DC4649"/>
    <w:rsid w:val="00DC488D"/>
    <w:rsid w:val="00DC6538"/>
    <w:rsid w:val="00DD0281"/>
    <w:rsid w:val="00DD227D"/>
    <w:rsid w:val="00DE2BB0"/>
    <w:rsid w:val="00DE4DF0"/>
    <w:rsid w:val="00DE5B8D"/>
    <w:rsid w:val="00DE6CFD"/>
    <w:rsid w:val="00E00487"/>
    <w:rsid w:val="00E006D3"/>
    <w:rsid w:val="00E05A5E"/>
    <w:rsid w:val="00E062D3"/>
    <w:rsid w:val="00E07AF7"/>
    <w:rsid w:val="00E07DD6"/>
    <w:rsid w:val="00E13657"/>
    <w:rsid w:val="00E150E2"/>
    <w:rsid w:val="00E16BE5"/>
    <w:rsid w:val="00E203A6"/>
    <w:rsid w:val="00E2049B"/>
    <w:rsid w:val="00E21E33"/>
    <w:rsid w:val="00E21F11"/>
    <w:rsid w:val="00E3229F"/>
    <w:rsid w:val="00E34EEE"/>
    <w:rsid w:val="00E35AD2"/>
    <w:rsid w:val="00E364E4"/>
    <w:rsid w:val="00E47EC4"/>
    <w:rsid w:val="00E57CDA"/>
    <w:rsid w:val="00E6002A"/>
    <w:rsid w:val="00E62C28"/>
    <w:rsid w:val="00E657BA"/>
    <w:rsid w:val="00E67D0F"/>
    <w:rsid w:val="00E72F7D"/>
    <w:rsid w:val="00E833BA"/>
    <w:rsid w:val="00E94B0E"/>
    <w:rsid w:val="00E950C9"/>
    <w:rsid w:val="00E97660"/>
    <w:rsid w:val="00EA058C"/>
    <w:rsid w:val="00EA3D33"/>
    <w:rsid w:val="00EB24AE"/>
    <w:rsid w:val="00EB27E8"/>
    <w:rsid w:val="00EB629C"/>
    <w:rsid w:val="00EC1481"/>
    <w:rsid w:val="00ED0514"/>
    <w:rsid w:val="00ED2E72"/>
    <w:rsid w:val="00EE201E"/>
    <w:rsid w:val="00EE3F27"/>
    <w:rsid w:val="00EE51BE"/>
    <w:rsid w:val="00EF1DD0"/>
    <w:rsid w:val="00EF6142"/>
    <w:rsid w:val="00EF6FEC"/>
    <w:rsid w:val="00F0261E"/>
    <w:rsid w:val="00F06FD0"/>
    <w:rsid w:val="00F14456"/>
    <w:rsid w:val="00F17D1D"/>
    <w:rsid w:val="00F2220C"/>
    <w:rsid w:val="00F22726"/>
    <w:rsid w:val="00F26148"/>
    <w:rsid w:val="00F27E3D"/>
    <w:rsid w:val="00F34E8D"/>
    <w:rsid w:val="00F36EA7"/>
    <w:rsid w:val="00F40351"/>
    <w:rsid w:val="00F4089B"/>
    <w:rsid w:val="00F41227"/>
    <w:rsid w:val="00F41717"/>
    <w:rsid w:val="00F47BB4"/>
    <w:rsid w:val="00F50B62"/>
    <w:rsid w:val="00F52DE2"/>
    <w:rsid w:val="00F563C5"/>
    <w:rsid w:val="00F57FB6"/>
    <w:rsid w:val="00F604A8"/>
    <w:rsid w:val="00F6568E"/>
    <w:rsid w:val="00F70271"/>
    <w:rsid w:val="00F751EF"/>
    <w:rsid w:val="00F801A1"/>
    <w:rsid w:val="00F8159D"/>
    <w:rsid w:val="00F83ED2"/>
    <w:rsid w:val="00F8624A"/>
    <w:rsid w:val="00F9117C"/>
    <w:rsid w:val="00F92BB5"/>
    <w:rsid w:val="00F92C08"/>
    <w:rsid w:val="00F93291"/>
    <w:rsid w:val="00F935AB"/>
    <w:rsid w:val="00FA0D90"/>
    <w:rsid w:val="00FB1DBD"/>
    <w:rsid w:val="00FB49F9"/>
    <w:rsid w:val="00FC200D"/>
    <w:rsid w:val="00FC2061"/>
    <w:rsid w:val="00FC5A13"/>
    <w:rsid w:val="00FC6012"/>
    <w:rsid w:val="00FD0031"/>
    <w:rsid w:val="00FD6F33"/>
    <w:rsid w:val="00FE2226"/>
    <w:rsid w:val="00FE2ADA"/>
    <w:rsid w:val="00FF0769"/>
    <w:rsid w:val="00FF77B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1DEE-1FDE-48DC-B82C-09F0A091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B5"/>
  </w:style>
  <w:style w:type="paragraph" w:styleId="2">
    <w:name w:val="heading 2"/>
    <w:basedOn w:val="a"/>
    <w:link w:val="20"/>
    <w:uiPriority w:val="9"/>
    <w:qFormat/>
    <w:rsid w:val="0045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33"/>
    <w:pPr>
      <w:ind w:left="720"/>
      <w:contextualSpacing/>
    </w:p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210"/>
  </w:style>
  <w:style w:type="paragraph" w:styleId="a7">
    <w:name w:val="footer"/>
    <w:basedOn w:val="a"/>
    <w:link w:val="a8"/>
    <w:uiPriority w:val="99"/>
    <w:unhideWhenUsed/>
    <w:rsid w:val="007A62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210"/>
  </w:style>
  <w:style w:type="paragraph" w:styleId="HTML">
    <w:name w:val="HTML Preformatted"/>
    <w:basedOn w:val="a"/>
    <w:link w:val="HTML0"/>
    <w:uiPriority w:val="99"/>
    <w:unhideWhenUsed/>
    <w:rsid w:val="00C07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01C"/>
    <w:rPr>
      <w:rFonts w:ascii="Consolas" w:hAnsi="Consolas"/>
      <w:sz w:val="20"/>
      <w:szCs w:val="20"/>
    </w:rPr>
  </w:style>
  <w:style w:type="paragraph" w:customStyle="1" w:styleId="rvps21">
    <w:name w:val="rvps21"/>
    <w:basedOn w:val="a"/>
    <w:rsid w:val="002C2288"/>
    <w:pPr>
      <w:spacing w:after="125" w:line="240" w:lineRule="auto"/>
      <w:ind w:firstLine="37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73F9"/>
  </w:style>
  <w:style w:type="character" w:customStyle="1" w:styleId="FontStyle14">
    <w:name w:val="Font Style14"/>
    <w:rsid w:val="000D4EE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E65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yleProp">
    <w:name w:val="StyleProp Знак"/>
    <w:link w:val="StyleProp0"/>
    <w:locked/>
    <w:rsid w:val="00862E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Prop0">
    <w:name w:val="StyleProp"/>
    <w:basedOn w:val="a"/>
    <w:link w:val="StyleProp"/>
    <w:rsid w:val="00862E7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esdocument">
    <w:name w:val="des_document"/>
    <w:basedOn w:val="a0"/>
    <w:rsid w:val="00A51C2C"/>
  </w:style>
  <w:style w:type="paragraph" w:styleId="a9">
    <w:name w:val="Balloon Text"/>
    <w:basedOn w:val="a"/>
    <w:link w:val="aa"/>
    <w:uiPriority w:val="99"/>
    <w:semiHidden/>
    <w:unhideWhenUsed/>
    <w:rsid w:val="003F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7D2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E2F9E"/>
  </w:style>
  <w:style w:type="character" w:styleId="ab">
    <w:name w:val="Hyperlink"/>
    <w:basedOn w:val="a0"/>
    <w:uiPriority w:val="99"/>
    <w:unhideWhenUsed/>
    <w:rsid w:val="00BE2F9E"/>
    <w:rPr>
      <w:color w:val="0000FF"/>
      <w:u w:val="single"/>
    </w:rPr>
  </w:style>
  <w:style w:type="paragraph" w:customStyle="1" w:styleId="rvps6">
    <w:name w:val="rvps6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E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C28E5"/>
    <w:rPr>
      <w:b/>
      <w:bCs/>
    </w:rPr>
  </w:style>
  <w:style w:type="paragraph" w:styleId="ad">
    <w:name w:val="Normal (Web)"/>
    <w:basedOn w:val="a"/>
    <w:uiPriority w:val="99"/>
    <w:unhideWhenUsed/>
    <w:rsid w:val="006B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6B5B4E"/>
    <w:rPr>
      <w:i/>
      <w:iCs/>
    </w:rPr>
  </w:style>
  <w:style w:type="paragraph" w:styleId="af">
    <w:name w:val="Plain Text"/>
    <w:basedOn w:val="a"/>
    <w:link w:val="af0"/>
    <w:uiPriority w:val="99"/>
    <w:rsid w:val="005B52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uiPriority w:val="99"/>
    <w:rsid w:val="005B52F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EE3F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3F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basedOn w:val="a0"/>
    <w:link w:val="10"/>
    <w:rsid w:val="00CE105B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CE10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Другое_"/>
    <w:basedOn w:val="a0"/>
    <w:link w:val="af3"/>
    <w:rsid w:val="00CE105B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1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E105B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Другое"/>
    <w:basedOn w:val="a"/>
    <w:link w:val="af2"/>
    <w:rsid w:val="00CE105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896D3D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896D3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9E7B82"/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E7B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body">
    <w:name w:val="Text body"/>
    <w:basedOn w:val="a"/>
    <w:rsid w:val="00570168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516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5">
    <w:name w:val="Body Text 2"/>
    <w:basedOn w:val="a"/>
    <w:link w:val="26"/>
    <w:uiPriority w:val="99"/>
    <w:semiHidden/>
    <w:unhideWhenUsed/>
    <w:rsid w:val="006C5F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C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gov.ua/news/343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88F5-C12B-4E57-8C8C-DFD681E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11833</Words>
  <Characters>6745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PlyashkovaOV</dc:creator>
  <cp:keywords/>
  <dc:description/>
  <cp:lastModifiedBy>Баннікова Ірина Олександрівна</cp:lastModifiedBy>
  <cp:revision>23</cp:revision>
  <cp:lastPrinted>2019-11-29T13:10:00Z</cp:lastPrinted>
  <dcterms:created xsi:type="dcterms:W3CDTF">2023-07-14T12:55:00Z</dcterms:created>
  <dcterms:modified xsi:type="dcterms:W3CDTF">2023-08-04T13:19:00Z</dcterms:modified>
</cp:coreProperties>
</file>