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The Reform</w:t>
      </w:r>
      <w:r w:rsidDel="00000000" w:rsidR="00000000" w:rsidRPr="00000000">
        <w:rPr>
          <w:rFonts w:ascii="Calibri" w:cs="Calibri" w:eastAsia="Calibri" w:hAnsi="Calibri"/>
          <w:b w:val="1"/>
          <w:highlight w:val="white"/>
          <w:rtl w:val="0"/>
        </w:rPr>
        <w:t xml:space="preserve"> Support Team at  </w:t>
      </w:r>
      <w:r w:rsidDel="00000000" w:rsidR="00000000" w:rsidRPr="00000000">
        <w:rPr>
          <w:b w:val="1"/>
          <w:highlight w:val="white"/>
          <w:rtl w:val="0"/>
        </w:rPr>
        <w:t xml:space="preserve">the Ministry of Environmental Protection and Natural Resources </w:t>
      </w:r>
      <w:r w:rsidDel="00000000" w:rsidR="00000000" w:rsidRPr="00000000">
        <w:rPr>
          <w:rFonts w:ascii="Calibri" w:cs="Calibri" w:eastAsia="Calibri" w:hAnsi="Calibri"/>
          <w:b w:val="1"/>
          <w:highlight w:val="white"/>
          <w:rtl w:val="0"/>
        </w:rPr>
        <w:t xml:space="preserve"> is looking for the</w:t>
      </w:r>
      <w:r w:rsidDel="00000000" w:rsidR="00000000" w:rsidRPr="00000000">
        <w:rPr>
          <w:b w:val="1"/>
          <w:highlight w:val="white"/>
          <w:rtl w:val="0"/>
        </w:rPr>
        <w:t xml:space="preserve"> </w:t>
      </w:r>
      <w:r w:rsidDel="00000000" w:rsidR="00000000" w:rsidRPr="00000000">
        <w:rPr>
          <w:b w:val="1"/>
          <w:rtl w:val="0"/>
        </w:rPr>
        <w:t xml:space="preserve">Communications Manager</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The Reform Support Team (RST) at </w:t>
      </w:r>
      <w:r w:rsidDel="00000000" w:rsidR="00000000" w:rsidRPr="00000000">
        <w:rPr>
          <w:highlight w:val="white"/>
          <w:rtl w:val="0"/>
        </w:rPr>
        <w:t xml:space="preserve">the Ministry of Environmental Protection and Natural Resources</w:t>
      </w:r>
      <w:r w:rsidDel="00000000" w:rsidR="00000000" w:rsidRPr="00000000">
        <w:rPr>
          <w:rtl w:val="0"/>
        </w:rPr>
        <w:t xml:space="preserve"> </w:t>
      </w:r>
      <w:r w:rsidDel="00000000" w:rsidR="00000000" w:rsidRPr="00000000">
        <w:rPr>
          <w:rFonts w:ascii="Calibri" w:cs="Calibri" w:eastAsia="Calibri" w:hAnsi="Calibri"/>
          <w:rtl w:val="0"/>
        </w:rPr>
        <w:t xml:space="preserve">of Ukraine (MEPNR) is a group of Ukrainian professionals (non-civil servants) funded on a temporary basis through the Ukraine Reforms Architecture (URA)</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programme, that provides targeted technical support and assists the Ministry in the design and implementation of priority reforms. </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The RST at </w:t>
      </w:r>
      <w:r w:rsidDel="00000000" w:rsidR="00000000" w:rsidRPr="00000000">
        <w:rPr>
          <w:highlight w:val="white"/>
          <w:rtl w:val="0"/>
        </w:rPr>
        <w:t xml:space="preserve">the </w:t>
      </w:r>
      <w:r w:rsidDel="00000000" w:rsidR="00000000" w:rsidRPr="00000000">
        <w:rPr>
          <w:rFonts w:ascii="Calibri" w:cs="Calibri" w:eastAsia="Calibri" w:hAnsi="Calibri"/>
          <w:rtl w:val="0"/>
        </w:rPr>
        <w:t xml:space="preserve"> MEPNR was launched in </w:t>
      </w:r>
      <w:r w:rsidDel="00000000" w:rsidR="00000000" w:rsidRPr="00000000">
        <w:rPr>
          <w:rtl w:val="0"/>
        </w:rPr>
        <w:t xml:space="preserve">2017</w:t>
      </w:r>
      <w:r w:rsidDel="00000000" w:rsidR="00000000" w:rsidRPr="00000000">
        <w:rPr>
          <w:rFonts w:ascii="Calibri" w:cs="Calibri" w:eastAsia="Calibri" w:hAnsi="Calibri"/>
          <w:rtl w:val="0"/>
        </w:rPr>
        <w:t xml:space="preserve"> to assist the Ministry with the implementation of priority reforms in the following areas: </w:t>
      </w:r>
      <w:r w:rsidDel="00000000" w:rsidR="00000000" w:rsidRPr="00000000">
        <w:rPr>
          <w:rtl w:val="0"/>
        </w:rPr>
        <w:t xml:space="preserve">public administration reform, environmental control and assessment, waste management reform, forestry reform, subsoil reform, climate policy and EU Green Deal matters, industrial pollution reduction and air quality monitoring, sustainable management of water resources</w:t>
      </w:r>
      <w:r w:rsidDel="00000000" w:rsidR="00000000" w:rsidRPr="00000000">
        <w:rPr>
          <w:rFonts w:ascii="Calibri" w:cs="Calibri" w:eastAsia="Calibri" w:hAnsi="Calibri"/>
          <w:rtl w:val="0"/>
        </w:rPr>
        <w:t xml:space="preserve">.</w:t>
      </w:r>
    </w:p>
    <w:p w:rsidR="00000000" w:rsidDel="00000000" w:rsidP="00000000" w:rsidRDefault="00000000" w:rsidRPr="00000000" w14:paraId="00000005">
      <w:pPr>
        <w:tabs>
          <w:tab w:val="left" w:leader="none" w:pos="1985"/>
        </w:tabs>
        <w:spacing w:after="0" w:line="240" w:lineRule="auto"/>
        <w:jc w:val="both"/>
        <w:rPr/>
      </w:pPr>
      <w:bookmarkStart w:colFirst="0" w:colLast="0" w:name="_heading=h.1fob9te" w:id="0"/>
      <w:bookmarkEnd w:id="0"/>
      <w:r w:rsidDel="00000000" w:rsidR="00000000" w:rsidRPr="00000000">
        <w:rPr>
          <w:rtl w:val="0"/>
        </w:rPr>
        <w:t xml:space="preserve">Communication is an indispensable part of the reform and recovery process. Consistent and comprehensive communication is needed to ensure public awareness and understanding of MEPNR and RST efforts and adequate involvement of civil society organisations. The RST is seeking a qualified communications professional to support the Ministry in the development of communication strategies of reform and recovery initiatives and policies. </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We are now opening the competition for the position </w:t>
      </w:r>
      <w:r w:rsidDel="00000000" w:rsidR="00000000" w:rsidRPr="00000000">
        <w:rPr>
          <w:rtl w:val="0"/>
        </w:rPr>
        <w:t xml:space="preserve">of the Communications Manager</w:t>
      </w:r>
      <w:r w:rsidDel="00000000" w:rsidR="00000000" w:rsidRPr="00000000">
        <w:rPr>
          <w:rFonts w:ascii="Calibri" w:cs="Calibri" w:eastAsia="Calibri" w:hAnsi="Calibri"/>
          <w:rtl w:val="0"/>
        </w:rPr>
        <w:t xml:space="preserve">. </w:t>
      </w:r>
    </w:p>
    <w:p w:rsidR="00000000" w:rsidDel="00000000" w:rsidP="00000000" w:rsidRDefault="00000000" w:rsidRPr="00000000" w14:paraId="00000008">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spacing w:after="0" w:line="240" w:lineRule="auto"/>
        <w:ind w:left="0" w:firstLine="0"/>
        <w:jc w:val="both"/>
        <w:rPr/>
      </w:pPr>
      <w:bookmarkStart w:colFirst="0" w:colLast="0" w:name="_heading=h.1fob9te" w:id="0"/>
      <w:bookmarkEnd w:id="0"/>
      <w:r w:rsidDel="00000000" w:rsidR="00000000" w:rsidRPr="00000000">
        <w:rPr>
          <w:rtl w:val="0"/>
        </w:rPr>
        <w:t xml:space="preserve">Main duties and responsibilities of the  Communications Manager will be: </w:t>
      </w:r>
    </w:p>
    <w:p w:rsidR="00000000" w:rsidDel="00000000" w:rsidP="00000000" w:rsidRDefault="00000000" w:rsidRPr="00000000" w14:paraId="0000000A">
      <w:pPr>
        <w:spacing w:after="0" w:line="240" w:lineRule="auto"/>
        <w:ind w:left="0" w:firstLine="0"/>
        <w:jc w:val="both"/>
        <w:rPr/>
      </w:pPr>
      <w:bookmarkStart w:colFirst="0" w:colLast="0" w:name="_heading=h.rxvjjxwy4m0f" w:id="1"/>
      <w:bookmarkEnd w:id="1"/>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Implementing the wartime communication plan of the MEPNR in close cooperation with MEPNR’s Public Communication Department, including:</w:t>
      </w:r>
    </w:p>
    <w:p w:rsidR="00000000" w:rsidDel="00000000" w:rsidP="00000000" w:rsidRDefault="00000000" w:rsidRPr="00000000" w14:paraId="0000000C">
      <w:pPr>
        <w:numPr>
          <w:ilvl w:val="0"/>
          <w:numId w:val="2"/>
        </w:numPr>
        <w:spacing w:after="0" w:line="259" w:lineRule="auto"/>
        <w:ind w:left="720" w:hanging="360"/>
      </w:pPr>
      <w:r w:rsidDel="00000000" w:rsidR="00000000" w:rsidRPr="00000000">
        <w:rPr>
          <w:rtl w:val="0"/>
        </w:rPr>
        <w:t xml:space="preserve">conducting media monitoring of incidents of environmental crimes committed in Ukraine;</w:t>
      </w:r>
    </w:p>
    <w:p w:rsidR="00000000" w:rsidDel="00000000" w:rsidP="00000000" w:rsidRDefault="00000000" w:rsidRPr="00000000" w14:paraId="0000000D">
      <w:pPr>
        <w:numPr>
          <w:ilvl w:val="0"/>
          <w:numId w:val="2"/>
        </w:numPr>
        <w:spacing w:after="0" w:line="259" w:lineRule="auto"/>
        <w:ind w:left="720" w:hanging="360"/>
      </w:pPr>
      <w:r w:rsidDel="00000000" w:rsidR="00000000" w:rsidRPr="00000000">
        <w:rPr>
          <w:rtl w:val="0"/>
        </w:rPr>
        <w:t xml:space="preserve">preparing informational digests on environmental crimes in Ukrainian and English languages, distribution of digests to international experts and media;</w:t>
      </w:r>
    </w:p>
    <w:p w:rsidR="00000000" w:rsidDel="00000000" w:rsidP="00000000" w:rsidRDefault="00000000" w:rsidRPr="00000000" w14:paraId="0000000E">
      <w:pPr>
        <w:numPr>
          <w:ilvl w:val="0"/>
          <w:numId w:val="2"/>
        </w:numPr>
        <w:spacing w:after="0" w:line="259" w:lineRule="auto"/>
        <w:ind w:left="720" w:hanging="360"/>
      </w:pPr>
      <w:r w:rsidDel="00000000" w:rsidR="00000000" w:rsidRPr="00000000">
        <w:rPr>
          <w:rtl w:val="0"/>
        </w:rPr>
        <w:t xml:space="preserve">coordinating interviews and commentary of the Ministry’s experts to international media outlets;</w:t>
      </w:r>
    </w:p>
    <w:p w:rsidR="00000000" w:rsidDel="00000000" w:rsidP="00000000" w:rsidRDefault="00000000" w:rsidRPr="00000000" w14:paraId="0000000F">
      <w:pPr>
        <w:numPr>
          <w:ilvl w:val="0"/>
          <w:numId w:val="2"/>
        </w:numPr>
        <w:spacing w:after="0" w:line="259" w:lineRule="auto"/>
        <w:ind w:left="720" w:hanging="360"/>
      </w:pPr>
      <w:r w:rsidDel="00000000" w:rsidR="00000000" w:rsidRPr="00000000">
        <w:rPr>
          <w:rtl w:val="0"/>
        </w:rPr>
        <w:t xml:space="preserve">preparing content (press releases, posts, tweets, infographics) for the Ministry’s website and social media pages;</w:t>
      </w:r>
    </w:p>
    <w:p w:rsidR="00000000" w:rsidDel="00000000" w:rsidP="00000000" w:rsidRDefault="00000000" w:rsidRPr="00000000" w14:paraId="00000010">
      <w:pPr>
        <w:numPr>
          <w:ilvl w:val="0"/>
          <w:numId w:val="2"/>
        </w:numPr>
        <w:spacing w:after="160" w:line="259" w:lineRule="auto"/>
        <w:ind w:left="720" w:hanging="360"/>
      </w:pPr>
      <w:r w:rsidDel="00000000" w:rsidR="00000000" w:rsidRPr="00000000">
        <w:rPr>
          <w:rtl w:val="0"/>
        </w:rPr>
        <w:t xml:space="preserve">preparing draft statements, talking points and presentations for the Ministry’s experts for high-level international meetings and events, following-up with post-meeting coverage and reports.</w:t>
      </w:r>
    </w:p>
    <w:p w:rsidR="00000000" w:rsidDel="00000000" w:rsidP="00000000" w:rsidRDefault="00000000" w:rsidRPr="00000000" w14:paraId="00000011">
      <w:pPr>
        <w:rPr/>
      </w:pPr>
      <w:r w:rsidDel="00000000" w:rsidR="00000000" w:rsidRPr="00000000">
        <w:rPr>
          <w:rtl w:val="0"/>
        </w:rPr>
        <w:t xml:space="preserve">2. Developing and implementing communication strategies and plans for reforms in the environmental protection domain in close cooperation with RST experts:</w:t>
      </w:r>
    </w:p>
    <w:p w:rsidR="00000000" w:rsidDel="00000000" w:rsidP="00000000" w:rsidRDefault="00000000" w:rsidRPr="00000000" w14:paraId="00000012">
      <w:pPr>
        <w:numPr>
          <w:ilvl w:val="0"/>
          <w:numId w:val="1"/>
        </w:numPr>
        <w:spacing w:after="0" w:line="259" w:lineRule="auto"/>
        <w:ind w:left="720" w:hanging="360"/>
      </w:pPr>
      <w:r w:rsidDel="00000000" w:rsidR="00000000" w:rsidRPr="00000000">
        <w:rPr>
          <w:rtl w:val="0"/>
        </w:rPr>
        <w:t xml:space="preserve">proactively planning and suggesting reforms related communication materials, and draft content (e.g., press-releases, info sheets, op-eds, etc.) for mass media and the Ministry’s website;</w:t>
      </w:r>
    </w:p>
    <w:p w:rsidR="00000000" w:rsidDel="00000000" w:rsidP="00000000" w:rsidRDefault="00000000" w:rsidRPr="00000000" w14:paraId="00000013">
      <w:pPr>
        <w:numPr>
          <w:ilvl w:val="0"/>
          <w:numId w:val="1"/>
        </w:numPr>
        <w:spacing w:after="0" w:line="259" w:lineRule="auto"/>
        <w:ind w:left="720" w:hanging="360"/>
      </w:pPr>
      <w:r w:rsidDel="00000000" w:rsidR="00000000" w:rsidRPr="00000000">
        <w:rPr>
          <w:rtl w:val="0"/>
        </w:rPr>
        <w:t xml:space="preserve">development of articles, leaflets, infographics and other explanatory materials for various target audiences;</w:t>
      </w:r>
    </w:p>
    <w:p w:rsidR="00000000" w:rsidDel="00000000" w:rsidP="00000000" w:rsidRDefault="00000000" w:rsidRPr="00000000" w14:paraId="00000014">
      <w:pPr>
        <w:numPr>
          <w:ilvl w:val="0"/>
          <w:numId w:val="1"/>
        </w:numPr>
        <w:spacing w:after="0" w:line="259" w:lineRule="auto"/>
        <w:ind w:left="720" w:hanging="360"/>
      </w:pPr>
      <w:r w:rsidDel="00000000" w:rsidR="00000000" w:rsidRPr="00000000">
        <w:rPr>
          <w:rtl w:val="0"/>
        </w:rPr>
        <w:t xml:space="preserve">assisting in the organisation of public events for Ministry and RST speakers reporting on reform progress;</w:t>
      </w:r>
    </w:p>
    <w:p w:rsidR="00000000" w:rsidDel="00000000" w:rsidP="00000000" w:rsidRDefault="00000000" w:rsidRPr="00000000" w14:paraId="00000015">
      <w:pPr>
        <w:numPr>
          <w:ilvl w:val="0"/>
          <w:numId w:val="1"/>
        </w:numPr>
        <w:spacing w:after="160" w:line="259" w:lineRule="auto"/>
        <w:ind w:left="720" w:hanging="360"/>
      </w:pPr>
      <w:r w:rsidDel="00000000" w:rsidR="00000000" w:rsidRPr="00000000">
        <w:rPr>
          <w:rtl w:val="0"/>
        </w:rPr>
        <w:t xml:space="preserve">establishing and developing cooperation with national media outlets to promote reforms in the field of environmental protection.</w:t>
      </w:r>
    </w:p>
    <w:p w:rsidR="00000000" w:rsidDel="00000000" w:rsidP="00000000" w:rsidRDefault="00000000" w:rsidRPr="00000000" w14:paraId="00000016">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spacing w:after="0" w:line="240" w:lineRule="auto"/>
        <w:jc w:val="both"/>
        <w:rPr/>
      </w:pPr>
      <w:bookmarkStart w:colFirst="0" w:colLast="0" w:name="_heading=h.gjdgxs" w:id="2"/>
      <w:bookmarkEnd w:id="2"/>
      <w:r w:rsidDel="00000000" w:rsidR="00000000" w:rsidRPr="00000000">
        <w:rPr>
          <w:rtl w:val="0"/>
        </w:rPr>
        <w:t xml:space="preserve">The initial consultancy assignment is expected to start in September 2023 and has an estimated duration of 12 months. This assignment has an opportunity for extension, subject to the availability of donor funding, consultant’s performance, and the specific needs of the RST. The probation period is two months.</w:t>
      </w:r>
    </w:p>
    <w:p w:rsidR="00000000" w:rsidDel="00000000" w:rsidP="00000000" w:rsidRDefault="00000000" w:rsidRPr="00000000" w14:paraId="00000018">
      <w:pPr>
        <w:spacing w:after="0" w:line="240" w:lineRule="auto"/>
        <w:jc w:val="both"/>
        <w:rPr/>
      </w:pPr>
      <w:bookmarkStart w:colFirst="0" w:colLast="0" w:name="_heading=h.cyhhidmfzj1j" w:id="3"/>
      <w:bookmarkEnd w:id="3"/>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0" w:line="240" w:lineRule="auto"/>
        <w:ind w:left="0" w:right="-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Potential candidates should send a full package of documents prepared in English (application form, CV, NDA Form and contacts  of two referees) by</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August 18, 2023,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23:59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(Kyiv time)</w:t>
      </w:r>
      <w:r w:rsidDel="00000000" w:rsidR="00000000" w:rsidRPr="00000000">
        <w:rPr>
          <w:rtl w:val="0"/>
        </w:rPr>
        <w:t xml:space="preserve"> to the following address: </w:t>
      </w:r>
      <w:hyperlink r:id="rId8">
        <w:r w:rsidDel="00000000" w:rsidR="00000000" w:rsidRPr="00000000">
          <w:rPr>
            <w:color w:val="1155cc"/>
            <w:u w:val="single"/>
            <w:rtl w:val="0"/>
          </w:rPr>
          <w:t xml:space="preserve">rst.mepr@gmail.com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Candidates who submit an incomplete package of documents will not be considered.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96.00000000000001" w:before="0" w:line="240" w:lineRule="auto"/>
        <w:ind w:left="0" w:right="-9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short-listed applicants will be invited to the written test and interview. </w:t>
      </w:r>
    </w:p>
    <w:p w:rsidR="00000000" w:rsidDel="00000000" w:rsidP="00000000" w:rsidRDefault="00000000" w:rsidRPr="00000000" w14:paraId="0000001B">
      <w:pPr>
        <w:spacing w:after="240" w:before="240" w:lineRule="auto"/>
        <w:ind w:right="-90"/>
        <w:rPr>
          <w:rFonts w:ascii="Calibri" w:cs="Calibri" w:eastAsia="Calibri" w:hAnsi="Calibri"/>
        </w:rPr>
      </w:pPr>
      <w:r w:rsidDel="00000000" w:rsidR="00000000" w:rsidRPr="00000000">
        <w:rPr>
          <w:rFonts w:ascii="Calibri" w:cs="Calibri" w:eastAsia="Calibri" w:hAnsi="Calibri"/>
          <w:rtl w:val="0"/>
        </w:rPr>
        <w:t xml:space="preserve">The detailed Terms of Reference </w:t>
      </w:r>
      <w:r w:rsidDel="00000000" w:rsidR="00000000" w:rsidRPr="00000000">
        <w:rPr>
          <w:rtl w:val="0"/>
        </w:rPr>
        <w:t xml:space="preserve">can be found below.</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after="0" w:line="240" w:lineRule="auto"/>
        <w:ind w:right="-90"/>
        <w:rPr/>
      </w:pPr>
      <w:r w:rsidDel="00000000" w:rsidR="00000000" w:rsidRPr="00000000">
        <w:rPr>
          <w:rtl w:val="0"/>
        </w:rPr>
      </w:r>
    </w:p>
    <w:p w:rsidR="00000000" w:rsidDel="00000000" w:rsidP="00000000" w:rsidRDefault="00000000" w:rsidRPr="00000000" w14:paraId="00000020">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highlight w:val="white"/>
          <w:u w:val="none"/>
          <w:vertAlign w:val="baseline"/>
          <w:rtl w:val="0"/>
        </w:rPr>
        <w:t xml:space="preserve">Ukraine Reforms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 Contributors to the MDA are Austria, Denmark, Finland, France, Germany, Italy, Japan, the Netherlands, Norway, Poland, Sweden, Switzerland, the United Kingdom, the United States and the European Union.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st.mep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r3E0gJjaB/Wy3Rvnff9leY874w==">CgMxLjAyCWguMWZvYjl0ZTIJaC4xZm9iOXRlMg5oLnJ4dmpqeHd5NG0wZjIIaC5namRneHMyDmguY3loaGlkbWZ6ajFqOABqNQoUc3VnZ2VzdC5nYXVibm9jNmVhNnQSHdCd0LDRgtCw0LvQuNGPINCT0LDQu9Cw0L3RjtC6ajUKFHN1Z2dlc3QudWR4NGFuOHdienJkEh3QndCw0YLQsNC70LjRjyDQk9Cw0LvQsNC90Y7Qumo1ChRzdWdnZXN0LnVwd2tsNGsxOHc4ahId0J3QsNGC0LDQu9C40Y8g0JPQsNC70LDQvdGO0LpqNQoUc3VnZ2VzdC4yZ3N6Zm53NGVsbHASHdCd0LDRgtCw0LvQuNGPINCT0LDQu9Cw0L3RjtC6ciExOHpSZTdCUWxZeDhPVWw1ZmpNNFUxSEdJNzRBam14d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