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b w:val="1"/>
          <w:highlight w:val="white"/>
        </w:rPr>
      </w:pPr>
      <w:r w:rsidDel="00000000" w:rsidR="00000000" w:rsidRPr="00000000">
        <w:rPr>
          <w:b w:val="1"/>
          <w:highlight w:val="white"/>
          <w:rtl w:val="0"/>
        </w:rPr>
        <w:t xml:space="preserve">The Reform</w:t>
      </w:r>
      <w:r w:rsidDel="00000000" w:rsidR="00000000" w:rsidRPr="00000000">
        <w:rPr>
          <w:rFonts w:ascii="Calibri" w:cs="Calibri" w:eastAsia="Calibri" w:hAnsi="Calibri"/>
          <w:b w:val="1"/>
          <w:highlight w:val="white"/>
          <w:rtl w:val="0"/>
        </w:rPr>
        <w:t xml:space="preserve"> Support Team at  </w:t>
      </w:r>
      <w:r w:rsidDel="00000000" w:rsidR="00000000" w:rsidRPr="00000000">
        <w:rPr>
          <w:b w:val="1"/>
          <w:highlight w:val="white"/>
          <w:rtl w:val="0"/>
        </w:rPr>
        <w:t xml:space="preserve">the Ministry of Environmental Protection and Natural Resources of Ukraine</w:t>
      </w:r>
      <w:r w:rsidDel="00000000" w:rsidR="00000000" w:rsidRPr="00000000">
        <w:rPr>
          <w:rFonts w:ascii="Calibri" w:cs="Calibri" w:eastAsia="Calibri" w:hAnsi="Calibri"/>
          <w:b w:val="1"/>
          <w:highlight w:val="white"/>
          <w:rtl w:val="0"/>
        </w:rPr>
        <w:t xml:space="preserve"> is looking for the </w:t>
      </w:r>
      <w:r w:rsidDel="00000000" w:rsidR="00000000" w:rsidRPr="00000000">
        <w:rPr>
          <w:b w:val="1"/>
          <w:rtl w:val="0"/>
        </w:rPr>
        <w:t xml:space="preserve">Expert on EU integration</w:t>
      </w:r>
      <w:r w:rsidDel="00000000" w:rsidR="00000000" w:rsidRPr="00000000">
        <w:rPr>
          <w:rFonts w:ascii="Calibri" w:cs="Calibri" w:eastAsia="Calibri" w:hAnsi="Calibri"/>
          <w:b w:val="1"/>
          <w:highlight w:val="white"/>
          <w:rtl w:val="0"/>
        </w:rPr>
        <w:t xml:space="preserve">.</w:t>
      </w:r>
    </w:p>
    <w:p w:rsidR="00000000" w:rsidDel="00000000" w:rsidP="00000000" w:rsidRDefault="00000000" w:rsidRPr="00000000" w14:paraId="00000002">
      <w:pPr>
        <w:shd w:fill="ffffff" w:val="clear"/>
        <w:rPr>
          <w:rFonts w:ascii="Calibri" w:cs="Calibri" w:eastAsia="Calibri" w:hAnsi="Calibri"/>
          <w:highlight w:val="white"/>
        </w:rPr>
      </w:pPr>
      <w:r w:rsidDel="00000000" w:rsidR="00000000" w:rsidRPr="00000000">
        <w:rPr>
          <w:rtl w:val="0"/>
        </w:rPr>
      </w:r>
    </w:p>
    <w:p w:rsidR="00000000" w:rsidDel="00000000" w:rsidP="00000000" w:rsidRDefault="00000000" w:rsidRPr="00000000" w14:paraId="00000003">
      <w:pPr>
        <w:jc w:val="both"/>
        <w:rPr/>
      </w:pPr>
      <w:r w:rsidDel="00000000" w:rsidR="00000000" w:rsidRPr="00000000">
        <w:rPr>
          <w:rtl w:val="0"/>
        </w:rPr>
        <w:t xml:space="preserve">The Reform Support Team (RST) at </w:t>
      </w:r>
      <w:r w:rsidDel="00000000" w:rsidR="00000000" w:rsidRPr="00000000">
        <w:rPr>
          <w:highlight w:val="white"/>
          <w:rtl w:val="0"/>
        </w:rPr>
        <w:t xml:space="preserve">the Ministry of Environmental Protection and Natural Resources</w:t>
      </w:r>
      <w:r w:rsidDel="00000000" w:rsidR="00000000" w:rsidRPr="00000000">
        <w:rPr>
          <w:rtl w:val="0"/>
        </w:rPr>
        <w:t xml:space="preserve"> of Ukraine (MEPNR) is a group of Ukrainian professionals (non-civil servants) funded on a temporary basis through the Ukraine Reforms Architecture (URA)</w:t>
      </w:r>
      <w:r w:rsidDel="00000000" w:rsidR="00000000" w:rsidRPr="00000000">
        <w:rPr>
          <w:vertAlign w:val="superscript"/>
        </w:rPr>
        <w:footnoteReference w:customMarkFollows="0" w:id="0"/>
      </w:r>
      <w:r w:rsidDel="00000000" w:rsidR="00000000" w:rsidRPr="00000000">
        <w:rPr>
          <w:rtl w:val="0"/>
        </w:rPr>
        <w:t xml:space="preserve"> programme, that provides targeted technical support and assists the Ministry in the design and implementation of priority reforms. </w:t>
      </w:r>
    </w:p>
    <w:p w:rsidR="00000000" w:rsidDel="00000000" w:rsidP="00000000" w:rsidRDefault="00000000" w:rsidRPr="00000000" w14:paraId="00000004">
      <w:pPr>
        <w:jc w:val="both"/>
        <w:rPr/>
      </w:pPr>
      <w:r w:rsidDel="00000000" w:rsidR="00000000" w:rsidRPr="00000000">
        <w:rPr>
          <w:rtl w:val="0"/>
        </w:rPr>
        <w:t xml:space="preserve">The RST at </w:t>
      </w:r>
      <w:r w:rsidDel="00000000" w:rsidR="00000000" w:rsidRPr="00000000">
        <w:rPr>
          <w:highlight w:val="white"/>
          <w:rtl w:val="0"/>
        </w:rPr>
        <w:t xml:space="preserve">the</w:t>
      </w:r>
      <w:r w:rsidDel="00000000" w:rsidR="00000000" w:rsidRPr="00000000">
        <w:rPr>
          <w:rtl w:val="0"/>
        </w:rPr>
        <w:t xml:space="preserve"> MEPNR was launched in 2017 to assist the Ministry with the implementation of priority reforms in the following areas: public administration reform, environmental control and assessment, waste management reform, forestry reform, subsoil reform, climate policy and EU Green Deal matters, industrial pollution reduction and air quality monitoring, sustainable management of water resources.</w:t>
      </w:r>
      <w:r w:rsidDel="00000000" w:rsidR="00000000" w:rsidRPr="00000000">
        <w:rPr>
          <w:rtl w:val="0"/>
        </w:rPr>
      </w:r>
    </w:p>
    <w:p w:rsidR="00000000" w:rsidDel="00000000" w:rsidP="00000000" w:rsidRDefault="00000000" w:rsidRPr="00000000" w14:paraId="00000005">
      <w:pPr>
        <w:spacing w:after="0" w:lineRule="auto"/>
        <w:jc w:val="both"/>
        <w:rPr/>
      </w:pPr>
      <w:r w:rsidDel="00000000" w:rsidR="00000000" w:rsidRPr="00000000">
        <w:rPr>
          <w:rFonts w:ascii="Calibri" w:cs="Calibri" w:eastAsia="Calibri" w:hAnsi="Calibri"/>
          <w:rtl w:val="0"/>
        </w:rPr>
        <w:t xml:space="preserve">We are now opening the competition for the position </w:t>
      </w:r>
      <w:r w:rsidDel="00000000" w:rsidR="00000000" w:rsidRPr="00000000">
        <w:rPr>
          <w:rtl w:val="0"/>
        </w:rPr>
        <w:t xml:space="preserve">of the</w:t>
      </w:r>
      <w:r w:rsidDel="00000000" w:rsidR="00000000" w:rsidRPr="00000000">
        <w:rPr>
          <w:highlight w:val="white"/>
          <w:rtl w:val="0"/>
        </w:rPr>
        <w:t xml:space="preserve"> </w:t>
      </w:r>
      <w:r w:rsidDel="00000000" w:rsidR="00000000" w:rsidRPr="00000000">
        <w:rPr>
          <w:rtl w:val="0"/>
        </w:rPr>
        <w:t xml:space="preserve">Expert on EU integration. </w:t>
      </w:r>
    </w:p>
    <w:p w:rsidR="00000000" w:rsidDel="00000000" w:rsidP="00000000" w:rsidRDefault="00000000" w:rsidRPr="00000000" w14:paraId="00000006">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7">
      <w:pPr>
        <w:spacing w:after="0" w:line="240" w:lineRule="auto"/>
        <w:ind w:left="0" w:firstLine="0"/>
        <w:jc w:val="both"/>
        <w:rPr/>
      </w:pPr>
      <w:bookmarkStart w:colFirst="0" w:colLast="0" w:name="_heading=h.1fob9te" w:id="0"/>
      <w:bookmarkEnd w:id="0"/>
      <w:r w:rsidDel="00000000" w:rsidR="00000000" w:rsidRPr="00000000">
        <w:rPr>
          <w:rtl w:val="0"/>
        </w:rPr>
        <w:t xml:space="preserve">Main duties and responsibilities of the Expert on EU integration will be: </w:t>
      </w:r>
    </w:p>
    <w:p w:rsidR="00000000" w:rsidDel="00000000" w:rsidP="00000000" w:rsidRDefault="00000000" w:rsidRPr="00000000" w14:paraId="00000008">
      <w:pPr>
        <w:spacing w:after="0" w:line="240" w:lineRule="auto"/>
        <w:ind w:left="0" w:firstLine="0"/>
        <w:jc w:val="both"/>
        <w:rPr/>
      </w:pPr>
      <w:bookmarkStart w:colFirst="0" w:colLast="0" w:name="_heading=h.rxvjjxwy4m0f" w:id="1"/>
      <w:bookmarkEnd w:id="1"/>
      <w:r w:rsidDel="00000000" w:rsidR="00000000" w:rsidRPr="00000000">
        <w:rPr>
          <w:rtl w:val="0"/>
        </w:rPr>
      </w:r>
    </w:p>
    <w:p w:rsidR="00000000" w:rsidDel="00000000" w:rsidP="00000000" w:rsidRDefault="00000000" w:rsidRPr="00000000" w14:paraId="00000009">
      <w:pPr>
        <w:numPr>
          <w:ilvl w:val="0"/>
          <w:numId w:val="1"/>
        </w:numPr>
        <w:shd w:fill="ffffff" w:val="clear"/>
        <w:tabs>
          <w:tab w:val="left" w:leader="none" w:pos="1985"/>
        </w:tabs>
        <w:spacing w:after="0" w:line="240" w:lineRule="auto"/>
        <w:ind w:left="720" w:hanging="360"/>
        <w:jc w:val="both"/>
        <w:rPr>
          <w:rFonts w:ascii="Calibri" w:cs="Calibri" w:eastAsia="Calibri" w:hAnsi="Calibri"/>
        </w:rPr>
      </w:pPr>
      <w:bookmarkStart w:colFirst="0" w:colLast="0" w:name="_heading=h.3znysh7" w:id="2"/>
      <w:bookmarkEnd w:id="2"/>
      <w:r w:rsidDel="00000000" w:rsidR="00000000" w:rsidRPr="00000000">
        <w:rPr>
          <w:rtl w:val="0"/>
        </w:rPr>
        <w:t xml:space="preserve">development and assistance with the implementation of strategic documents aimed at Ukraine’s European integration agenda in the field of environmental protection (preparation of legal acts, management frameworks, action plans etc. as per the developed strategic documents);</w:t>
      </w:r>
    </w:p>
    <w:p w:rsidR="00000000" w:rsidDel="00000000" w:rsidP="00000000" w:rsidRDefault="00000000" w:rsidRPr="00000000" w14:paraId="0000000A">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analysing the results of self-screening of the alignment of Ukrainian legislation with EU acquis and performing relevant strategic and operational planning of further actions based on the analysis;</w:t>
      </w:r>
    </w:p>
    <w:p w:rsidR="00000000" w:rsidDel="00000000" w:rsidP="00000000" w:rsidRDefault="00000000" w:rsidRPr="00000000" w14:paraId="0000000B">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monitoring and evaluating changes to laws and bylaws in the Ministry's priority areas, in line with EU legislation and other relevant international conventions and treaties;</w:t>
      </w:r>
    </w:p>
    <w:p w:rsidR="00000000" w:rsidDel="00000000" w:rsidP="00000000" w:rsidRDefault="00000000" w:rsidRPr="00000000" w14:paraId="0000000C">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preparation of proposals for amendments/updates to strategic documents (including the National Recovery Plan in the Environmental Safety chapter, etc);</w:t>
      </w:r>
    </w:p>
    <w:p w:rsidR="00000000" w:rsidDel="00000000" w:rsidP="00000000" w:rsidRDefault="00000000" w:rsidRPr="00000000" w14:paraId="0000000D">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preparation of progress reports on the fulfillment of Ukraine’s environmental obligations under the Association Agreement and other relevant treaties (e.g. Paris Climate Agreement);</w:t>
      </w:r>
    </w:p>
    <w:p w:rsidR="00000000" w:rsidDel="00000000" w:rsidP="00000000" w:rsidRDefault="00000000" w:rsidRPr="00000000" w14:paraId="0000000E">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supporting the Ministry in the translation of EU integration related documents;</w:t>
      </w:r>
    </w:p>
    <w:p w:rsidR="00000000" w:rsidDel="00000000" w:rsidP="00000000" w:rsidRDefault="00000000" w:rsidRPr="00000000" w14:paraId="0000000F">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organizational support to the RST (events, round tables, conferences and forums to engage stakeholders on key reform themes);</w:t>
      </w:r>
    </w:p>
    <w:p w:rsidR="00000000" w:rsidDel="00000000" w:rsidP="00000000" w:rsidRDefault="00000000" w:rsidRPr="00000000" w14:paraId="00000010">
      <w:pPr>
        <w:numPr>
          <w:ilvl w:val="0"/>
          <w:numId w:val="1"/>
        </w:numPr>
        <w:shd w:fill="ffffff" w:val="clear"/>
        <w:tabs>
          <w:tab w:val="left" w:leader="none" w:pos="1985"/>
        </w:tabs>
        <w:spacing w:after="0" w:line="240" w:lineRule="auto"/>
        <w:ind w:left="720" w:hanging="360"/>
        <w:jc w:val="both"/>
        <w:rPr>
          <w:rFonts w:ascii="Calibri" w:cs="Calibri" w:eastAsia="Calibri" w:hAnsi="Calibri"/>
        </w:rPr>
      </w:pPr>
      <w:r w:rsidDel="00000000" w:rsidR="00000000" w:rsidRPr="00000000">
        <w:rPr>
          <w:rtl w:val="0"/>
        </w:rPr>
        <w:t xml:space="preserve">preparation of visual presentations, infographics.</w:t>
      </w:r>
    </w:p>
    <w:p w:rsidR="00000000" w:rsidDel="00000000" w:rsidP="00000000" w:rsidRDefault="00000000" w:rsidRPr="00000000" w14:paraId="00000011">
      <w:pPr>
        <w:spacing w:after="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2">
      <w:pPr>
        <w:spacing w:after="0" w:line="240" w:lineRule="auto"/>
        <w:jc w:val="both"/>
        <w:rPr/>
      </w:pPr>
      <w:bookmarkStart w:colFirst="0" w:colLast="0" w:name="_heading=h.gjdgxs" w:id="3"/>
      <w:bookmarkEnd w:id="3"/>
      <w:r w:rsidDel="00000000" w:rsidR="00000000" w:rsidRPr="00000000">
        <w:rPr>
          <w:rtl w:val="0"/>
        </w:rPr>
        <w:t xml:space="preserve">The initial consultancy assignment is expected to start in September 2023 and has an estimated duration of 10 months. This assignment has an opportunity for extension, subject to the availability of donor funding, consultant’s performance, and the specific needs of the RST. The probation period is two months.</w:t>
      </w:r>
    </w:p>
    <w:p w:rsidR="00000000" w:rsidDel="00000000" w:rsidP="00000000" w:rsidRDefault="00000000" w:rsidRPr="00000000" w14:paraId="00000013">
      <w:pPr>
        <w:spacing w:after="0" w:line="240" w:lineRule="auto"/>
        <w:jc w:val="both"/>
        <w:rPr/>
      </w:pPr>
      <w:bookmarkStart w:colFirst="0" w:colLast="0" w:name="_heading=h.cyhhidmfzj1j" w:id="4"/>
      <w:bookmarkEnd w:id="4"/>
      <w:r w:rsidDel="00000000" w:rsidR="00000000" w:rsidRPr="00000000">
        <w:rPr>
          <w:rtl w:val="0"/>
        </w:rPr>
      </w:r>
    </w:p>
    <w:p w:rsidR="00000000" w:rsidDel="00000000" w:rsidP="00000000" w:rsidRDefault="00000000" w:rsidRPr="00000000" w14:paraId="00000014">
      <w:pPr>
        <w:spacing w:after="96.00000000000001" w:line="240" w:lineRule="auto"/>
        <w:ind w:right="-90"/>
        <w:jc w:val="both"/>
        <w:rPr/>
      </w:pPr>
      <w:r w:rsidDel="00000000" w:rsidR="00000000" w:rsidRPr="00000000">
        <w:rPr>
          <w:rtl w:val="0"/>
        </w:rPr>
        <w:t xml:space="preserve">Potential candidates should send a full package of documents prepared in English (application form, CV, NDA Form and reference letter(-s)) by August 22, 2023, 23:59 (Kyiv time) to the following address: </w:t>
      </w:r>
      <w:hyperlink r:id="rId8">
        <w:r w:rsidDel="00000000" w:rsidR="00000000" w:rsidRPr="00000000">
          <w:rPr>
            <w:color w:val="1155cc"/>
            <w:u w:val="single"/>
            <w:rtl w:val="0"/>
          </w:rPr>
          <w:t xml:space="preserve">rst.mepr@gmail.com</w:t>
        </w:r>
      </w:hyperlink>
      <w:r w:rsidDel="00000000" w:rsidR="00000000" w:rsidRPr="00000000">
        <w:rPr>
          <w:rtl w:val="0"/>
        </w:rPr>
        <w:t xml:space="preserve">. Candidates who submit an incomplete package of documents will not be considered. </w:t>
      </w:r>
    </w:p>
    <w:p w:rsidR="00000000" w:rsidDel="00000000" w:rsidP="00000000" w:rsidRDefault="00000000" w:rsidRPr="00000000" w14:paraId="00000015">
      <w:pPr>
        <w:spacing w:after="96.00000000000001" w:line="240" w:lineRule="auto"/>
        <w:ind w:right="-90"/>
        <w:rPr/>
      </w:pPr>
      <w:r w:rsidDel="00000000" w:rsidR="00000000" w:rsidRPr="00000000">
        <w:rPr>
          <w:rtl w:val="0"/>
        </w:rPr>
        <w:t xml:space="preserve">Only short-listed applicants will be invited to the written test and interview. </w:t>
      </w:r>
    </w:p>
    <w:p w:rsidR="00000000" w:rsidDel="00000000" w:rsidP="00000000" w:rsidRDefault="00000000" w:rsidRPr="00000000" w14:paraId="00000016">
      <w:pPr>
        <w:spacing w:after="240" w:before="240" w:lineRule="auto"/>
        <w:ind w:right="-90"/>
        <w:rPr/>
      </w:pPr>
      <w:r w:rsidDel="00000000" w:rsidR="00000000" w:rsidRPr="00000000">
        <w:rPr>
          <w:rtl w:val="0"/>
        </w:rPr>
        <w:t xml:space="preserve">The detailed Terms of Reference can be found below.</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spacing w:after="0" w:line="240" w:lineRule="auto"/>
        <w:ind w:right="-90"/>
        <w:rPr/>
      </w:pPr>
      <w:r w:rsidDel="00000000" w:rsidR="00000000" w:rsidRPr="00000000">
        <w:rPr>
          <w:rtl w:val="0"/>
        </w:rPr>
      </w:r>
    </w:p>
    <w:p w:rsidR="00000000" w:rsidDel="00000000" w:rsidP="00000000" w:rsidRDefault="00000000" w:rsidRPr="00000000" w14:paraId="0000001B">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D">
      <w:pPr>
        <w:spacing w:after="120" w:before="120" w:line="259" w:lineRule="auto"/>
        <w:jc w:val="both"/>
        <w:rPr>
          <w:rFonts w:ascii="Times New Roman" w:cs="Times New Roman" w:eastAsia="Times New Roman" w:hAnsi="Times New Roman"/>
          <w:sz w:val="18"/>
          <w:szCs w:val="18"/>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18"/>
          <w:szCs w:val="18"/>
          <w:rtl w:val="0"/>
        </w:rPr>
        <w:t xml:space="preserve"> </w:t>
      </w:r>
      <w:r w:rsidDel="00000000" w:rsidR="00000000" w:rsidRPr="00000000">
        <w:rPr>
          <w:rFonts w:ascii="Times New Roman" w:cs="Times New Roman" w:eastAsia="Times New Roman" w:hAnsi="Times New Roman"/>
          <w:sz w:val="18"/>
          <w:szCs w:val="18"/>
          <w:highlight w:val="white"/>
          <w:rtl w:val="0"/>
        </w:rPr>
        <w:t xml:space="preserve">Ukraine Reforms Architecture (URA) is a comprehensive technical assistance programme deployed by the European Bank for Reconstruction and Development (EBRD), in partnership with the European Union, to support critical reform processes in Ukraine. URA is financed from the Ukraine Stabilisation and Sustainable Growth Multi-Donor Account (MDA) managed by the EBRD. Contributors to the MDA are Austria, Denmark, Finland, France, Germany, Italy, Japan, the Netherlands, Norway, Poland, Sweden, Switzerland, the United Kingdom, the United States and the European Union.</w:t>
      </w:r>
      <w:r w:rsidDel="00000000" w:rsidR="00000000" w:rsidRPr="00000000">
        <w:rPr>
          <w:rtl w:val="0"/>
        </w:rPr>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table" w:styleId="TableGrid">
    <w:name w:val="Table Grid"/>
    <w:basedOn w:val="TableNormal"/>
    <w:uiPriority w:val="39"/>
    <w:rsid w:val="00C92833"/>
    <w:pPr>
      <w:spacing w:after="0" w:line="240" w:lineRule="auto"/>
    </w:pPr>
    <w:rPr>
      <w:rFonts w:eastAsiaTheme="minorEastAsia"/>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D96CBB"/>
    <w:pPr>
      <w:spacing w:line="240" w:lineRule="auto"/>
    </w:pPr>
    <w:rPr>
      <w:sz w:val="20"/>
      <w:szCs w:val="20"/>
    </w:rPr>
  </w:style>
  <w:style w:type="character" w:styleId="CommentTextChar" w:customStyle="1">
    <w:name w:val="Comment Text Char"/>
    <w:basedOn w:val="DefaultParagraphFont"/>
    <w:link w:val="CommentText"/>
    <w:uiPriority w:val="99"/>
    <w:rsid w:val="00D96CBB"/>
    <w:rPr>
      <w:rFonts w:eastAsiaTheme="minorEastAsia"/>
      <w:sz w:val="20"/>
      <w:szCs w:val="20"/>
      <w:lang w:eastAsia="uk-UA" w:val="uk-UA"/>
    </w:rPr>
  </w:style>
  <w:style w:type="character" w:styleId="FootnoteReference">
    <w:name w:val="footnote reference"/>
    <w:basedOn w:val="DefaultParagraphFont"/>
    <w:uiPriority w:val="99"/>
    <w:semiHidden w:val="1"/>
    <w:unhideWhenUsed w:val="1"/>
    <w:rsid w:val="00F1662D"/>
    <w:rPr>
      <w:vertAlign w:val="superscript"/>
    </w:rPr>
  </w:style>
  <w:style w:type="paragraph" w:styleId="Default" w:customStyle="1">
    <w:name w:val="Default"/>
    <w:rsid w:val="00F1662D"/>
    <w:pPr>
      <w:autoSpaceDE w:val="0"/>
      <w:autoSpaceDN w:val="0"/>
      <w:adjustRightInd w:val="0"/>
      <w:spacing w:after="0" w:line="240" w:lineRule="auto"/>
    </w:pPr>
    <w:rPr>
      <w:rFonts w:ascii="Times New Roman" w:cs="Times New Roman" w:hAnsi="Times New Roman" w:eastAsiaTheme="minorEastAsia"/>
      <w:color w:val="000000"/>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mailto:rst.mep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o3CXpIfS3Wd+HWQ8Dg7krqv/qA==">CgMxLjAyCWguMWZvYjl0ZTIOaC5yeHZqanh3eTRtMGYyCWguM3pueXNoNzIIaC5namRneHMyDmguY3loaGlkbWZ6ajFqOAByITFqTk9FQkk1TUM5ZmpRN3k5NktiNmpFbTJTc1JRQzNQOA==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2023-05-04T05:51:00Z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ies>
</file>