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151F8DB" w:rsidR="004A447D" w:rsidRDefault="00000000">
      <w:pPr>
        <w:shd w:val="clear" w:color="auto" w:fill="FFFFFF"/>
        <w:rPr>
          <w:rFonts w:eastAsia="Calibri"/>
          <w:b/>
          <w:highlight w:val="white"/>
        </w:rPr>
      </w:pPr>
      <w:r>
        <w:rPr>
          <w:b/>
          <w:highlight w:val="white"/>
        </w:rPr>
        <w:t>The Reform</w:t>
      </w:r>
      <w:r>
        <w:rPr>
          <w:rFonts w:eastAsia="Calibri"/>
          <w:b/>
          <w:highlight w:val="white"/>
        </w:rPr>
        <w:t xml:space="preserve"> Support Team at  </w:t>
      </w:r>
      <w:r>
        <w:rPr>
          <w:b/>
          <w:highlight w:val="white"/>
        </w:rPr>
        <w:t>the Ministry of Environmental Protection and Natural Resources of Ukraine</w:t>
      </w:r>
      <w:r>
        <w:rPr>
          <w:rFonts w:eastAsia="Calibri"/>
          <w:b/>
          <w:highlight w:val="white"/>
        </w:rPr>
        <w:t xml:space="preserve"> is looking for the </w:t>
      </w:r>
      <w:r>
        <w:rPr>
          <w:b/>
        </w:rPr>
        <w:t>Expert on EU integration</w:t>
      </w:r>
      <w:r>
        <w:rPr>
          <w:rFonts w:eastAsia="Calibri"/>
          <w:b/>
          <w:highlight w:val="white"/>
        </w:rPr>
        <w:t>.</w:t>
      </w:r>
    </w:p>
    <w:p w14:paraId="00000002" w14:textId="77777777" w:rsidR="004A447D" w:rsidRDefault="004A447D">
      <w:pPr>
        <w:shd w:val="clear" w:color="auto" w:fill="FFFFFF"/>
        <w:rPr>
          <w:rFonts w:eastAsia="Calibri"/>
          <w:highlight w:val="white"/>
        </w:rPr>
      </w:pPr>
    </w:p>
    <w:p w14:paraId="00000003" w14:textId="77777777" w:rsidR="004A447D" w:rsidRDefault="00000000">
      <w:pPr>
        <w:jc w:val="both"/>
      </w:pPr>
      <w:r>
        <w:t xml:space="preserve">The Reform Support Team (RST) at </w:t>
      </w:r>
      <w:r>
        <w:rPr>
          <w:highlight w:val="white"/>
        </w:rPr>
        <w:t>the Ministry of Environmental Protection and Natural Resources</w:t>
      </w:r>
      <w:r>
        <w:t xml:space="preserve"> of Ukraine (MEPNR) is a group of Ukrainian professionals (non-civil servants) funded on a temporary basis through the Ukraine Reforms Architecture (URA)</w:t>
      </w:r>
      <w:r>
        <w:rPr>
          <w:vertAlign w:val="superscript"/>
        </w:rPr>
        <w:footnoteReference w:id="1"/>
      </w:r>
      <w:r>
        <w:t xml:space="preserve"> programme, that provides targeted technical support and assists the Ministry in the design and implementation of priority reforms. </w:t>
      </w:r>
    </w:p>
    <w:p w14:paraId="00000004" w14:textId="77777777" w:rsidR="004A447D" w:rsidRDefault="00000000">
      <w:pPr>
        <w:jc w:val="both"/>
      </w:pPr>
      <w:r>
        <w:t xml:space="preserve">The RST at </w:t>
      </w:r>
      <w:r>
        <w:rPr>
          <w:highlight w:val="white"/>
        </w:rPr>
        <w:t>the</w:t>
      </w:r>
      <w:r>
        <w:t xml:space="preserve"> MEPNR was launched in 2017 to assist the Ministry with the implementation of priority reforms in the following areas: public administration reform, environmental control and assessment, waste management reform, forestry reform, subsoil reform, climate policy and EU Green Deal matters, industrial pollution reduction and air quality monitoring, sustainable management of water resources.</w:t>
      </w:r>
    </w:p>
    <w:p w14:paraId="00000005" w14:textId="77777777" w:rsidR="004A447D" w:rsidRDefault="00000000">
      <w:pPr>
        <w:spacing w:after="0"/>
        <w:jc w:val="both"/>
      </w:pPr>
      <w:r>
        <w:rPr>
          <w:rFonts w:eastAsia="Calibri"/>
        </w:rPr>
        <w:t xml:space="preserve">We are now opening the competition for the position </w:t>
      </w:r>
      <w:r>
        <w:t>of the</w:t>
      </w:r>
      <w:r>
        <w:rPr>
          <w:highlight w:val="white"/>
        </w:rPr>
        <w:t xml:space="preserve"> </w:t>
      </w:r>
      <w:r>
        <w:t xml:space="preserve">Expert on EU integration. </w:t>
      </w:r>
    </w:p>
    <w:p w14:paraId="00000006" w14:textId="77777777" w:rsidR="004A447D" w:rsidRDefault="004A447D">
      <w:pPr>
        <w:spacing w:after="0"/>
        <w:jc w:val="both"/>
        <w:rPr>
          <w:rFonts w:eastAsia="Calibri"/>
          <w:i/>
        </w:rPr>
      </w:pPr>
    </w:p>
    <w:p w14:paraId="00000007" w14:textId="77777777" w:rsidR="004A447D" w:rsidRDefault="00000000">
      <w:pPr>
        <w:spacing w:after="0" w:line="240" w:lineRule="auto"/>
        <w:jc w:val="both"/>
      </w:pPr>
      <w:bookmarkStart w:id="0" w:name="_heading=h.1fob9te" w:colFirst="0" w:colLast="0"/>
      <w:bookmarkEnd w:id="0"/>
      <w:r>
        <w:t xml:space="preserve">Main duties and responsibilities of the Expert on EU integration will be: </w:t>
      </w:r>
    </w:p>
    <w:p w14:paraId="00000008" w14:textId="77777777" w:rsidR="004A447D" w:rsidRDefault="004A447D">
      <w:pPr>
        <w:spacing w:after="0" w:line="240" w:lineRule="auto"/>
        <w:jc w:val="both"/>
      </w:pPr>
      <w:bookmarkStart w:id="1" w:name="_heading=h.rxvjjxwy4m0f" w:colFirst="0" w:colLast="0"/>
      <w:bookmarkEnd w:id="1"/>
    </w:p>
    <w:p w14:paraId="00000009" w14:textId="77777777" w:rsidR="004A447D" w:rsidRDefault="00000000">
      <w:pPr>
        <w:numPr>
          <w:ilvl w:val="0"/>
          <w:numId w:val="1"/>
        </w:numPr>
        <w:shd w:val="clear" w:color="auto" w:fill="FFFFFF"/>
        <w:tabs>
          <w:tab w:val="left" w:pos="1985"/>
        </w:tabs>
        <w:spacing w:after="0" w:line="240" w:lineRule="auto"/>
        <w:jc w:val="both"/>
        <w:rPr>
          <w:rFonts w:eastAsia="Calibri"/>
        </w:rPr>
      </w:pPr>
      <w:bookmarkStart w:id="2" w:name="_heading=h.3znysh7" w:colFirst="0" w:colLast="0"/>
      <w:bookmarkEnd w:id="2"/>
      <w:r>
        <w:t>development and assistance with the implementation of strategic documents aimed at Ukraine’s European integration agenda in the field of environmental protection (preparation of legal acts, management frameworks, action plans etc. as per the developed strategic documents);</w:t>
      </w:r>
    </w:p>
    <w:p w14:paraId="0000000A" w14:textId="77777777" w:rsidR="004A447D" w:rsidRDefault="00000000">
      <w:pPr>
        <w:numPr>
          <w:ilvl w:val="0"/>
          <w:numId w:val="1"/>
        </w:numPr>
        <w:shd w:val="clear" w:color="auto" w:fill="FFFFFF"/>
        <w:tabs>
          <w:tab w:val="left" w:pos="1985"/>
        </w:tabs>
        <w:spacing w:after="0" w:line="240" w:lineRule="auto"/>
        <w:jc w:val="both"/>
        <w:rPr>
          <w:rFonts w:eastAsia="Calibri"/>
        </w:rPr>
      </w:pPr>
      <w:r>
        <w:t>analysing the results of self-screening of the alignment of Ukrainian legislation with EU acquis and performing relevant strategic and operational planning of further actions based on the analysis;</w:t>
      </w:r>
    </w:p>
    <w:p w14:paraId="0000000B" w14:textId="77777777" w:rsidR="004A447D" w:rsidRDefault="00000000">
      <w:pPr>
        <w:numPr>
          <w:ilvl w:val="0"/>
          <w:numId w:val="1"/>
        </w:numPr>
        <w:shd w:val="clear" w:color="auto" w:fill="FFFFFF"/>
        <w:tabs>
          <w:tab w:val="left" w:pos="1985"/>
        </w:tabs>
        <w:spacing w:after="0" w:line="240" w:lineRule="auto"/>
        <w:jc w:val="both"/>
        <w:rPr>
          <w:rFonts w:eastAsia="Calibri"/>
        </w:rPr>
      </w:pPr>
      <w:r>
        <w:t>monitoring and evaluating changes to laws and bylaws in the Ministry's priority areas, in line with EU legislation and other relevant international conventions and treaties;</w:t>
      </w:r>
    </w:p>
    <w:p w14:paraId="0000000C" w14:textId="77777777" w:rsidR="004A447D" w:rsidRDefault="00000000">
      <w:pPr>
        <w:numPr>
          <w:ilvl w:val="0"/>
          <w:numId w:val="1"/>
        </w:numPr>
        <w:shd w:val="clear" w:color="auto" w:fill="FFFFFF"/>
        <w:tabs>
          <w:tab w:val="left" w:pos="1985"/>
        </w:tabs>
        <w:spacing w:after="0" w:line="240" w:lineRule="auto"/>
        <w:jc w:val="both"/>
        <w:rPr>
          <w:rFonts w:eastAsia="Calibri"/>
        </w:rPr>
      </w:pPr>
      <w:r>
        <w:t>preparation of proposals for amendments/updates to strategic documents (including the National Recovery Plan in the Environmental Safety chapter, the concept of environmental policy on ecosystem services, the concept of the National Environmental Fund, etc);</w:t>
      </w:r>
    </w:p>
    <w:p w14:paraId="0000000D" w14:textId="77777777" w:rsidR="004A447D" w:rsidRDefault="00000000">
      <w:pPr>
        <w:numPr>
          <w:ilvl w:val="0"/>
          <w:numId w:val="1"/>
        </w:numPr>
        <w:shd w:val="clear" w:color="auto" w:fill="FFFFFF"/>
        <w:tabs>
          <w:tab w:val="left" w:pos="1985"/>
        </w:tabs>
        <w:spacing w:after="0" w:line="240" w:lineRule="auto"/>
        <w:jc w:val="both"/>
        <w:rPr>
          <w:rFonts w:eastAsia="Calibri"/>
        </w:rPr>
      </w:pPr>
      <w:r>
        <w:t>preparation of progress reports on the fulfillment of Ukraine’s environmental obligations under the Association Agreement and other relevant treaties (e.g. Paris Climate Agreement);</w:t>
      </w:r>
    </w:p>
    <w:p w14:paraId="0000000E" w14:textId="77777777" w:rsidR="004A447D" w:rsidRDefault="00000000">
      <w:pPr>
        <w:numPr>
          <w:ilvl w:val="0"/>
          <w:numId w:val="1"/>
        </w:numPr>
        <w:shd w:val="clear" w:color="auto" w:fill="FFFFFF"/>
        <w:tabs>
          <w:tab w:val="left" w:pos="1985"/>
        </w:tabs>
        <w:spacing w:after="0" w:line="240" w:lineRule="auto"/>
        <w:jc w:val="both"/>
        <w:rPr>
          <w:rFonts w:eastAsia="Calibri"/>
        </w:rPr>
      </w:pPr>
      <w:r>
        <w:t>supporting the Ministry in the translation of EU integration related documents;</w:t>
      </w:r>
    </w:p>
    <w:p w14:paraId="0000000F" w14:textId="77777777" w:rsidR="004A447D" w:rsidRDefault="00000000">
      <w:pPr>
        <w:numPr>
          <w:ilvl w:val="0"/>
          <w:numId w:val="1"/>
        </w:numPr>
        <w:shd w:val="clear" w:color="auto" w:fill="FFFFFF"/>
        <w:tabs>
          <w:tab w:val="left" w:pos="1985"/>
        </w:tabs>
        <w:spacing w:after="0" w:line="240" w:lineRule="auto"/>
        <w:jc w:val="both"/>
        <w:rPr>
          <w:rFonts w:eastAsia="Calibri"/>
        </w:rPr>
      </w:pPr>
      <w:r>
        <w:t>organizational support to the RST (events, round tables, conferences and forums to engage stakeholders on key reform themes);</w:t>
      </w:r>
    </w:p>
    <w:p w14:paraId="00000010" w14:textId="77777777" w:rsidR="004A447D" w:rsidRDefault="00000000">
      <w:pPr>
        <w:numPr>
          <w:ilvl w:val="0"/>
          <w:numId w:val="1"/>
        </w:numPr>
        <w:shd w:val="clear" w:color="auto" w:fill="FFFFFF"/>
        <w:tabs>
          <w:tab w:val="left" w:pos="1985"/>
        </w:tabs>
        <w:spacing w:after="0" w:line="240" w:lineRule="auto"/>
        <w:jc w:val="both"/>
        <w:rPr>
          <w:rFonts w:eastAsia="Calibri"/>
        </w:rPr>
      </w:pPr>
      <w:r>
        <w:t>preparation of visual presentations, infographics.</w:t>
      </w:r>
    </w:p>
    <w:p w14:paraId="00000011" w14:textId="77777777" w:rsidR="004A447D" w:rsidRDefault="00000000">
      <w:pPr>
        <w:spacing w:after="0" w:line="259" w:lineRule="auto"/>
        <w:ind w:left="720"/>
        <w:rPr>
          <w:rFonts w:eastAsia="Calibri"/>
        </w:rPr>
      </w:pPr>
      <w:r>
        <w:rPr>
          <w:rFonts w:eastAsia="Calibri"/>
        </w:rPr>
        <w:t xml:space="preserve"> </w:t>
      </w:r>
    </w:p>
    <w:p w14:paraId="00000012" w14:textId="77777777" w:rsidR="004A447D" w:rsidRDefault="00000000">
      <w:pPr>
        <w:spacing w:after="0" w:line="240" w:lineRule="auto"/>
        <w:jc w:val="both"/>
      </w:pPr>
      <w:bookmarkStart w:id="3" w:name="_heading=h.gjdgxs" w:colFirst="0" w:colLast="0"/>
      <w:bookmarkEnd w:id="3"/>
      <w:r>
        <w:t>The initial consultancy assignment is expected to start in September 2023 and has an estimated duration of 10 months. This assignment has an opportunity for extension, subject to the availability of donor funding, consultant’s performance, and the specific needs of the RST. The probation period is two months.</w:t>
      </w:r>
    </w:p>
    <w:p w14:paraId="00000013" w14:textId="77777777" w:rsidR="004A447D" w:rsidRDefault="004A447D">
      <w:pPr>
        <w:spacing w:after="0" w:line="240" w:lineRule="auto"/>
        <w:jc w:val="both"/>
      </w:pPr>
      <w:bookmarkStart w:id="4" w:name="_heading=h.cyhhidmfzj1j" w:colFirst="0" w:colLast="0"/>
      <w:bookmarkEnd w:id="4"/>
    </w:p>
    <w:p w14:paraId="00000014" w14:textId="77777777" w:rsidR="004A447D" w:rsidRDefault="00000000">
      <w:pPr>
        <w:spacing w:after="96" w:line="240" w:lineRule="auto"/>
        <w:ind w:right="-90"/>
        <w:jc w:val="both"/>
      </w:pPr>
      <w:r>
        <w:lastRenderedPageBreak/>
        <w:t xml:space="preserve">Potential candidates should send a full package of documents prepared in English (application form, CV, NDA Form and reference letter(-s)) by August 22, 2023, 23:59 (Kyiv time) to the following address: </w:t>
      </w:r>
      <w:hyperlink r:id="rId8">
        <w:r>
          <w:rPr>
            <w:color w:val="1155CC"/>
            <w:u w:val="single"/>
          </w:rPr>
          <w:t>rst.mepr@gmail.com</w:t>
        </w:r>
      </w:hyperlink>
      <w:r>
        <w:t xml:space="preserve">. Candidates who submit an incomplete package of documents will not be considered. </w:t>
      </w:r>
    </w:p>
    <w:p w14:paraId="00000015" w14:textId="77777777" w:rsidR="004A447D" w:rsidRDefault="00000000">
      <w:pPr>
        <w:spacing w:after="96" w:line="240" w:lineRule="auto"/>
        <w:ind w:right="-90"/>
      </w:pPr>
      <w:r>
        <w:t xml:space="preserve">Only short-listed applicants will be invited to the written test and interview. </w:t>
      </w:r>
    </w:p>
    <w:p w14:paraId="00000016" w14:textId="77777777" w:rsidR="004A447D" w:rsidRDefault="00000000">
      <w:pPr>
        <w:spacing w:before="240" w:after="240"/>
        <w:ind w:right="-90"/>
      </w:pPr>
      <w:r>
        <w:t>The detailed Terms of Reference can be found below.</w:t>
      </w:r>
    </w:p>
    <w:p w14:paraId="00000017" w14:textId="77777777" w:rsidR="004A447D" w:rsidRDefault="004A447D"/>
    <w:p w14:paraId="00000018" w14:textId="77777777" w:rsidR="004A447D" w:rsidRDefault="004A447D"/>
    <w:p w14:paraId="00000019" w14:textId="77777777" w:rsidR="004A447D" w:rsidRDefault="004A447D"/>
    <w:p w14:paraId="0000001A" w14:textId="77777777" w:rsidR="004A447D" w:rsidRDefault="004A447D">
      <w:pPr>
        <w:spacing w:after="0" w:line="240" w:lineRule="auto"/>
        <w:ind w:right="-90"/>
      </w:pPr>
    </w:p>
    <w:p w14:paraId="0000001B" w14:textId="77777777" w:rsidR="004A447D" w:rsidRDefault="004A447D">
      <w:pPr>
        <w:tabs>
          <w:tab w:val="left" w:pos="709"/>
        </w:tabs>
        <w:spacing w:after="0" w:line="240" w:lineRule="auto"/>
        <w:rPr>
          <w:b/>
          <w:color w:val="000000"/>
        </w:rPr>
      </w:pPr>
    </w:p>
    <w:p w14:paraId="0000001C" w14:textId="77777777" w:rsidR="004A447D" w:rsidRDefault="004A447D"/>
    <w:sectPr w:rsidR="004A447D">
      <w:pgSz w:w="11906" w:h="16838"/>
      <w:pgMar w:top="1411" w:right="1411" w:bottom="1411" w:left="1411"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144393" w14:textId="77777777" w:rsidR="00A424AF" w:rsidRDefault="00A424AF">
      <w:pPr>
        <w:spacing w:after="0" w:line="240" w:lineRule="auto"/>
      </w:pPr>
      <w:r>
        <w:separator/>
      </w:r>
    </w:p>
  </w:endnote>
  <w:endnote w:type="continuationSeparator" w:id="0">
    <w:p w14:paraId="06A664BD" w14:textId="77777777" w:rsidR="00A424AF" w:rsidRDefault="00A42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05268" w14:textId="77777777" w:rsidR="00A424AF" w:rsidRDefault="00A424AF">
      <w:pPr>
        <w:spacing w:after="0" w:line="240" w:lineRule="auto"/>
      </w:pPr>
      <w:r>
        <w:separator/>
      </w:r>
    </w:p>
  </w:footnote>
  <w:footnote w:type="continuationSeparator" w:id="0">
    <w:p w14:paraId="3EB6D1B2" w14:textId="77777777" w:rsidR="00A424AF" w:rsidRDefault="00A424AF">
      <w:pPr>
        <w:spacing w:after="0" w:line="240" w:lineRule="auto"/>
      </w:pPr>
      <w:r>
        <w:continuationSeparator/>
      </w:r>
    </w:p>
  </w:footnote>
  <w:footnote w:id="1">
    <w:p w14:paraId="0000001D" w14:textId="77777777" w:rsidR="004A447D" w:rsidRDefault="00000000">
      <w:pPr>
        <w:spacing w:before="120" w:after="120" w:line="259" w:lineRule="auto"/>
        <w:jc w:val="both"/>
        <w:rPr>
          <w:rFonts w:ascii="Times New Roman" w:eastAsia="Times New Roman" w:hAnsi="Times New Roman" w:cs="Times New Roman"/>
          <w:sz w:val="18"/>
          <w:szCs w:val="18"/>
        </w:rPr>
      </w:pPr>
      <w:r>
        <w:rPr>
          <w:rStyle w:val="FootnoteReference"/>
        </w:rPr>
        <w:footnoteRef/>
      </w:r>
      <w:r>
        <w:rPr>
          <w:rFonts w:ascii="Times New Roman" w:eastAsia="Times New Roman" w:hAnsi="Times New Roman" w:cs="Times New Roman"/>
          <w:sz w:val="18"/>
          <w:szCs w:val="18"/>
        </w:rPr>
        <w:t xml:space="preserve"> </w:t>
      </w:r>
      <w:r>
        <w:rPr>
          <w:rFonts w:ascii="Times New Roman" w:eastAsia="Times New Roman" w:hAnsi="Times New Roman" w:cs="Times New Roman"/>
          <w:sz w:val="18"/>
          <w:szCs w:val="18"/>
          <w:highlight w:val="white"/>
        </w:rPr>
        <w:t>Ukraine Reforms Architecture (URA) is a comprehensive technical assistance programme deployed by the European Bank for Reconstruction and Development (EBRD), in partnership with the European Union, to support critical reform processes in Ukraine. URA is financed from the Ukraine Stabilisation and Sustainable Growth Multi-Donor Account (MDA) managed by the EBRD. Contributors to the MDA are Austria, Denmark, Finland, France, Germany, Italy, Japan, the Netherlands, Norway, Poland, Sweden, Switzerland, the United Kingdom, the United States and the European Union.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1F06AC"/>
    <w:multiLevelType w:val="multilevel"/>
    <w:tmpl w:val="6D4C8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494121B"/>
    <w:multiLevelType w:val="multilevel"/>
    <w:tmpl w:val="B4DC0658"/>
    <w:lvl w:ilvl="0">
      <w:start w:val="1"/>
      <w:numFmt w:val="decimal"/>
      <w:pStyle w:val="PuceGris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81723064">
    <w:abstractNumId w:val="0"/>
  </w:num>
  <w:num w:numId="2" w16cid:durableId="13733801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47D"/>
    <w:rsid w:val="004A447D"/>
    <w:rsid w:val="00A424AF"/>
    <w:rsid w:val="00F244CC"/>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54B99007"/>
  <w15:docId w15:val="{FD5DD2D3-9814-5F42-8D2B-699019B50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7C"/>
    <w:rPr>
      <w:rFonts w:eastAsiaTheme="minorEastAsia"/>
      <w:lang w:eastAsia="uk-U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63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37C"/>
  </w:style>
  <w:style w:type="paragraph" w:styleId="Footer">
    <w:name w:val="footer"/>
    <w:basedOn w:val="Normal"/>
    <w:link w:val="FooterChar"/>
    <w:uiPriority w:val="99"/>
    <w:unhideWhenUsed/>
    <w:rsid w:val="005F63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rsid w:val="005F637C"/>
    <w:pPr>
      <w:spacing w:after="160" w:line="259" w:lineRule="auto"/>
      <w:ind w:left="720"/>
      <w:contextualSpacing/>
    </w:pPr>
    <w:rPr>
      <w:lang w:val="en-US"/>
    </w:rPr>
  </w:style>
  <w:style w:type="character" w:customStyle="1" w:styleId="ListParagraphChar">
    <w:name w:val="List Paragraph Char"/>
    <w:aliases w:val="Bullet Points Char,Liste Paragraf Char,Llista Nivell1 Char,Lista de nivel 1 Char,Paragraphe de liste PBLH Char,Normal bullet 2 Char,Graph &amp; Table tite Char,Table of contents numbered Char,Bullet list Char,Bullet List Paragraph Char"/>
    <w:link w:val="ListParagraph"/>
    <w:uiPriority w:val="34"/>
    <w:locked/>
    <w:rsid w:val="005F637C"/>
    <w:rPr>
      <w:rFonts w:eastAsiaTheme="minorEastAsia"/>
      <w:lang w:eastAsia="uk-UA"/>
    </w:rPr>
  </w:style>
  <w:style w:type="paragraph" w:customStyle="1" w:styleId="Normale-n-ind">
    <w:name w:val="Normale-n-ind"/>
    <w:rsid w:val="005F637C"/>
    <w:pPr>
      <w:pBdr>
        <w:top w:val="nil"/>
        <w:left w:val="nil"/>
        <w:bottom w:val="nil"/>
        <w:right w:val="nil"/>
        <w:between w:val="nil"/>
        <w:bar w:val="nil"/>
      </w:pBdr>
      <w:spacing w:after="120" w:line="180" w:lineRule="atLeast"/>
      <w:jc w:val="both"/>
    </w:pPr>
    <w:rPr>
      <w:rFonts w:ascii="Times New Roman" w:eastAsia="Times New Roman" w:hAnsi="Times New Roman" w:cs="Times New Roman"/>
      <w:color w:val="000000"/>
      <w:sz w:val="24"/>
      <w:szCs w:val="24"/>
      <w:u w:color="000000"/>
      <w:bdr w:val="nil"/>
      <w:lang w:val="it-IT"/>
    </w:rPr>
  </w:style>
  <w:style w:type="paragraph" w:customStyle="1" w:styleId="normaltableau">
    <w:name w:val="normal_tableau"/>
    <w:basedOn w:val="Normal"/>
    <w:rsid w:val="002F0B01"/>
    <w:pPr>
      <w:spacing w:after="0" w:line="240" w:lineRule="auto"/>
      <w:jc w:val="both"/>
    </w:pPr>
    <w:rPr>
      <w:rFonts w:ascii="Arial" w:eastAsia="Times New Roman" w:hAnsi="Arial" w:cs="Times New Roman"/>
      <w:sz w:val="20"/>
      <w:szCs w:val="20"/>
      <w:lang w:eastAsia="de-DE"/>
    </w:rPr>
  </w:style>
  <w:style w:type="paragraph" w:customStyle="1" w:styleId="CVNormal">
    <w:name w:val="CV Normal"/>
    <w:basedOn w:val="Normal"/>
    <w:uiPriority w:val="99"/>
    <w:rsid w:val="002F0B01"/>
    <w:pPr>
      <w:suppressAutoHyphens/>
      <w:spacing w:after="0" w:line="240" w:lineRule="auto"/>
      <w:ind w:left="113" w:right="113"/>
    </w:pPr>
    <w:rPr>
      <w:rFonts w:ascii="Arial Narrow" w:eastAsia="Times New Roman" w:hAnsi="Arial Narrow" w:cs="Times New Roman"/>
      <w:sz w:val="20"/>
      <w:szCs w:val="20"/>
      <w:lang w:val="en-US" w:eastAsia="ar-SA"/>
    </w:rPr>
  </w:style>
  <w:style w:type="paragraph" w:customStyle="1" w:styleId="PuceGrise">
    <w:name w:val="Puce Grise"/>
    <w:basedOn w:val="Normal"/>
    <w:next w:val="Normal"/>
    <w:rsid w:val="002F0B01"/>
    <w:pPr>
      <w:numPr>
        <w:numId w:val="2"/>
      </w:numPr>
      <w:tabs>
        <w:tab w:val="left" w:pos="216"/>
      </w:tabs>
      <w:spacing w:before="20" w:after="20" w:line="240" w:lineRule="auto"/>
    </w:pPr>
    <w:rPr>
      <w:rFonts w:ascii="Arial" w:eastAsia="Times New Roman" w:hAnsi="Arial" w:cs="Times New Roman"/>
      <w:sz w:val="18"/>
      <w:szCs w:val="20"/>
      <w:lang w:val="en-US" w:eastAsia="fr-FR"/>
    </w:rPr>
  </w:style>
  <w:style w:type="table" w:styleId="TableGrid">
    <w:name w:val="Table Grid"/>
    <w:basedOn w:val="TableNormal"/>
    <w:uiPriority w:val="39"/>
    <w:rsid w:val="00C92833"/>
    <w:pPr>
      <w:spacing w:after="0" w:line="240" w:lineRule="auto"/>
    </w:pPr>
    <w:rPr>
      <w:rFonts w:eastAsiaTheme="minorEastAsia"/>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96CBB"/>
    <w:pPr>
      <w:spacing w:line="240" w:lineRule="auto"/>
    </w:pPr>
    <w:rPr>
      <w:sz w:val="20"/>
      <w:szCs w:val="20"/>
    </w:rPr>
  </w:style>
  <w:style w:type="character" w:customStyle="1" w:styleId="CommentTextChar">
    <w:name w:val="Comment Text Char"/>
    <w:basedOn w:val="DefaultParagraphFont"/>
    <w:link w:val="CommentText"/>
    <w:uiPriority w:val="99"/>
    <w:rsid w:val="00D96CBB"/>
    <w:rPr>
      <w:rFonts w:eastAsiaTheme="minorEastAsia"/>
      <w:sz w:val="20"/>
      <w:szCs w:val="20"/>
      <w:lang w:val="uk-UA" w:eastAsia="uk-UA"/>
    </w:rPr>
  </w:style>
  <w:style w:type="character" w:styleId="FootnoteReference">
    <w:name w:val="footnote reference"/>
    <w:basedOn w:val="DefaultParagraphFont"/>
    <w:uiPriority w:val="99"/>
    <w:semiHidden/>
    <w:unhideWhenUsed/>
    <w:rsid w:val="00F1662D"/>
    <w:rPr>
      <w:vertAlign w:val="superscript"/>
    </w:rPr>
  </w:style>
  <w:style w:type="paragraph" w:customStyle="1" w:styleId="Default">
    <w:name w:val="Default"/>
    <w:rsid w:val="00F1662D"/>
    <w:pPr>
      <w:autoSpaceDE w:val="0"/>
      <w:autoSpaceDN w:val="0"/>
      <w:adjustRightInd w:val="0"/>
      <w:spacing w:after="0" w:line="240" w:lineRule="auto"/>
    </w:pPr>
    <w:rPr>
      <w:rFonts w:ascii="Times New Roman" w:eastAsiaTheme="minorEastAsia" w:hAnsi="Times New Roman" w:cs="Times New Roman"/>
      <w:color w:val="000000"/>
      <w:sz w:val="24"/>
      <w:szCs w:val="24"/>
      <w:lang w:eastAsia="uk-UA"/>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st.mepr@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3CXpIfS3Wd+HWQ8Dg7krqv/qA==">CgMxLjAyCWguMWZvYjl0ZTIOaC5yeHZqanh3eTRtMGYyCWguM3pueXNoNzIIaC5namRneHMyDmguY3loaGlkbWZ6ajFqOAByITFqTk9FQkk1TUM5ZmpRN3k5NktiNmpFbTJTc1JRQzNQOA==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Anikeeva, Yuliya</dc:creator>
  <cp:lastModifiedBy>Serhii Dykyi (2207505)</cp:lastModifiedBy>
  <cp:revision>2</cp:revision>
  <dcterms:created xsi:type="dcterms:W3CDTF">2023-05-04T05:51:00Z</dcterms:created>
  <dcterms:modified xsi:type="dcterms:W3CDTF">2023-08-07T15:31:00Z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