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The Reform</w:t>
      </w:r>
      <w:r w:rsidDel="00000000" w:rsidR="00000000" w:rsidRPr="00000000">
        <w:rPr>
          <w:rFonts w:ascii="Calibri" w:cs="Calibri" w:eastAsia="Calibri" w:hAnsi="Calibri"/>
          <w:b w:val="1"/>
          <w:highlight w:val="white"/>
          <w:rtl w:val="0"/>
        </w:rPr>
        <w:t xml:space="preserve"> Support Team at  </w:t>
      </w:r>
      <w:r w:rsidDel="00000000" w:rsidR="00000000" w:rsidRPr="00000000">
        <w:rPr>
          <w:b w:val="1"/>
          <w:highlight w:val="white"/>
          <w:rtl w:val="0"/>
        </w:rPr>
        <w:t xml:space="preserve">the Ministry of Environmental Protection and Natural Resources of Ukraine </w:t>
      </w:r>
      <w:r w:rsidDel="00000000" w:rsidR="00000000" w:rsidRPr="00000000">
        <w:rPr>
          <w:rFonts w:ascii="Calibri" w:cs="Calibri" w:eastAsia="Calibri" w:hAnsi="Calibri"/>
          <w:b w:val="1"/>
          <w:highlight w:val="white"/>
          <w:rtl w:val="0"/>
        </w:rPr>
        <w:t xml:space="preserve"> is looking for the</w:t>
      </w:r>
      <w:r w:rsidDel="00000000" w:rsidR="00000000" w:rsidRPr="00000000">
        <w:rPr>
          <w:b w:val="1"/>
          <w:highlight w:val="white"/>
          <w:rtl w:val="0"/>
        </w:rPr>
        <w:t xml:space="preserve"> </w:t>
      </w:r>
      <w:r w:rsidDel="00000000" w:rsidR="00000000" w:rsidRPr="00000000">
        <w:rPr>
          <w:b w:val="1"/>
          <w:rtl w:val="0"/>
        </w:rPr>
        <w:t xml:space="preserve">Senior Expert on Biodiversity Protection</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Reform Support Team (RST) at </w:t>
      </w:r>
      <w:r w:rsidDel="00000000" w:rsidR="00000000" w:rsidRPr="00000000">
        <w:rPr>
          <w:highlight w:val="white"/>
          <w:rtl w:val="0"/>
        </w:rPr>
        <w:t xml:space="preserve">the Ministry of Environmental Protection and Natural Resources</w:t>
      </w:r>
      <w:r w:rsidDel="00000000" w:rsidR="00000000" w:rsidRPr="00000000">
        <w:rPr>
          <w:rtl w:val="0"/>
        </w:rPr>
        <w:t xml:space="preserve"> of Ukraine (MEPNR) is a group of Ukrainian professionals (non-civil servants) funded on a temporary basis through the Ukraine Reforms Architecture (URA)</w:t>
      </w:r>
      <w:r w:rsidDel="00000000" w:rsidR="00000000" w:rsidRPr="00000000">
        <w:rPr>
          <w:vertAlign w:val="superscript"/>
        </w:rPr>
        <w:footnoteReference w:customMarkFollows="0" w:id="0"/>
      </w:r>
      <w:r w:rsidDel="00000000" w:rsidR="00000000" w:rsidRPr="00000000">
        <w:rPr>
          <w:rtl w:val="0"/>
        </w:rPr>
        <w:t xml:space="preserve"> programme, that provides targeted technical support and assists the Ministry in the design and implementation of priority reforms. </w:t>
      </w:r>
    </w:p>
    <w:p w:rsidR="00000000" w:rsidDel="00000000" w:rsidP="00000000" w:rsidRDefault="00000000" w:rsidRPr="00000000" w14:paraId="00000004">
      <w:pPr>
        <w:jc w:val="both"/>
        <w:rPr/>
      </w:pPr>
      <w:r w:rsidDel="00000000" w:rsidR="00000000" w:rsidRPr="00000000">
        <w:rPr>
          <w:rtl w:val="0"/>
        </w:rPr>
        <w:t xml:space="preserve">The RST at </w:t>
      </w:r>
      <w:r w:rsidDel="00000000" w:rsidR="00000000" w:rsidRPr="00000000">
        <w:rPr>
          <w:highlight w:val="white"/>
          <w:rtl w:val="0"/>
        </w:rPr>
        <w:t xml:space="preserve">the</w:t>
      </w:r>
      <w:r w:rsidDel="00000000" w:rsidR="00000000" w:rsidRPr="00000000">
        <w:rPr>
          <w:rtl w:val="0"/>
        </w:rPr>
        <w:t xml:space="preserve"> MEPNR was launched in 2017 to assist the Ministry with the implementation of priority reforms in the following areas: public administration reform, environmental control and assessment, waste management reform, forestry reform, subsoil reform, climate policy and EU Green Deal matters, industrial pollution reduction and air quality monitoring, sustainable management of water resources.</w:t>
      </w:r>
      <w:r w:rsidDel="00000000" w:rsidR="00000000" w:rsidRPr="00000000">
        <w:rPr>
          <w:rtl w:val="0"/>
        </w:rPr>
      </w:r>
    </w:p>
    <w:p w:rsidR="00000000" w:rsidDel="00000000" w:rsidP="00000000" w:rsidRDefault="00000000" w:rsidRPr="00000000" w14:paraId="00000005">
      <w:pPr>
        <w:tabs>
          <w:tab w:val="left" w:leader="none" w:pos="198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We are now opening the competition for the position </w:t>
      </w:r>
      <w:r w:rsidDel="00000000" w:rsidR="00000000" w:rsidRPr="00000000">
        <w:rPr>
          <w:rtl w:val="0"/>
        </w:rPr>
        <w:t xml:space="preserve">of the Senior Expert on Biodiversity Protection.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after="0" w:line="240" w:lineRule="auto"/>
        <w:ind w:left="0" w:firstLine="0"/>
        <w:jc w:val="both"/>
        <w:rPr/>
      </w:pPr>
      <w:bookmarkStart w:colFirst="0" w:colLast="0" w:name="_heading=h.1fob9te" w:id="0"/>
      <w:bookmarkEnd w:id="0"/>
      <w:r w:rsidDel="00000000" w:rsidR="00000000" w:rsidRPr="00000000">
        <w:rPr>
          <w:rtl w:val="0"/>
        </w:rPr>
        <w:t xml:space="preserve">Main duties and responsibilities of the Senior Expert on Biodiversity Protection will be: </w:t>
      </w:r>
    </w:p>
    <w:p w:rsidR="00000000" w:rsidDel="00000000" w:rsidP="00000000" w:rsidRDefault="00000000" w:rsidRPr="00000000" w14:paraId="00000008">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Preparation of the update of the draft Law "On the Territories of the Emerald Network".</w:t>
      </w:r>
    </w:p>
    <w:p w:rsidR="00000000" w:rsidDel="00000000" w:rsidP="00000000" w:rsidRDefault="00000000" w:rsidRPr="00000000" w14:paraId="00000009">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Preparation of a draft law on determining the powers of central executive bodies (for the Ministry of the Environment, the Ministry of Agrarian Policy, the Ministry of Economy, the Ministry for Communities, Territories and Infrastructure Development, the State Forestry Agency, the State Fisheries Agency, the State Production and Consumer Service, the State Customs Service) regarding the handling of invasive alien species of flora and fauna, including the introduction of countermeasures and prevention of spread of such species.</w:t>
      </w:r>
    </w:p>
    <w:p w:rsidR="00000000" w:rsidDel="00000000" w:rsidP="00000000" w:rsidRDefault="00000000" w:rsidRPr="00000000" w14:paraId="0000000A">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Preparation of proposals (in the form of drafts of relevant acts) on amendments to regulatory acts on defining the mechanism and procedure for preventing the penetration, removal, implementation of control over the spread and mitigation (minimization) of the adverse impact of invasive alien species of flora and fauna in various spheres of economic activity (acts of the Ministry of the Environment, the Ministry of Agrarian Policy, the Ministry of Economy, the Ministry for Communities, Territories and Infrastructure Development, the Ministry of Health, the State Eco-Inspection, the State Fisheries Agency, the State Forestry Agency, the State Production and Consumer Service, the State Customs Service).</w:t>
      </w:r>
    </w:p>
    <w:p w:rsidR="00000000" w:rsidDel="00000000" w:rsidP="00000000" w:rsidRDefault="00000000" w:rsidRPr="00000000" w14:paraId="0000000B">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Support the Ministry in the coordination of development of the strategic documents in the field of biodiversity, a draft biodiversity strategy for the period up to 2030, National Recovery Plan in the chapter “Ecological safety”, land legislation.</w:t>
      </w:r>
    </w:p>
    <w:p w:rsidR="00000000" w:rsidDel="00000000" w:rsidP="00000000" w:rsidRDefault="00000000" w:rsidRPr="00000000" w14:paraId="0000000C">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Ensure coordination and coherence of biodiversity policy with other policies. e.g. forestry policy, water policy, etc. and relevant EU and other international regulations and conventions ratified by Ukraine</w:t>
      </w:r>
    </w:p>
    <w:p w:rsidR="00000000" w:rsidDel="00000000" w:rsidP="00000000" w:rsidRDefault="00000000" w:rsidRPr="00000000" w14:paraId="0000000D">
      <w:pPr>
        <w:numPr>
          <w:ilvl w:val="0"/>
          <w:numId w:val="1"/>
        </w:numPr>
        <w:shd w:fill="ffffff" w:val="clear"/>
        <w:tabs>
          <w:tab w:val="left" w:leader="none" w:pos="1985"/>
        </w:tabs>
        <w:spacing w:after="0" w:line="240" w:lineRule="auto"/>
        <w:ind w:left="720" w:hanging="360"/>
        <w:jc w:val="both"/>
      </w:pPr>
      <w:r w:rsidDel="00000000" w:rsidR="00000000" w:rsidRPr="00000000">
        <w:rPr>
          <w:rtl w:val="0"/>
        </w:rPr>
        <w:t xml:space="preserve">Provide technical advice on the implementation of biodiversity and ecosystems national frameworks</w:t>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Interested professionals are encouraged to apply. </w:t>
      </w:r>
    </w:p>
    <w:p w:rsidR="00000000" w:rsidDel="00000000" w:rsidP="00000000" w:rsidRDefault="00000000" w:rsidRPr="00000000" w14:paraId="00000010">
      <w:pPr>
        <w:spacing w:after="0" w:line="240" w:lineRule="auto"/>
        <w:jc w:val="both"/>
        <w:rPr/>
      </w:pPr>
      <w:bookmarkStart w:colFirst="0" w:colLast="0" w:name="_heading=h.gjdgxs" w:id="1"/>
      <w:bookmarkEnd w:id="1"/>
      <w:r w:rsidDel="00000000" w:rsidR="00000000" w:rsidRPr="00000000">
        <w:rPr>
          <w:rtl w:val="0"/>
        </w:rPr>
        <w:t xml:space="preserve">The initial consultancy assignment is expected to start in September 2023 and has an estimated duration of 10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11">
      <w:pPr>
        <w:spacing w:after="0" w:line="240" w:lineRule="auto"/>
        <w:jc w:val="both"/>
        <w:rPr/>
      </w:pPr>
      <w:bookmarkStart w:colFirst="0" w:colLast="0" w:name="_heading=h.cyhhidmfzj1j" w:id="2"/>
      <w:bookmarkEnd w:id="2"/>
      <w:r w:rsidDel="00000000" w:rsidR="00000000" w:rsidRPr="00000000">
        <w:rPr>
          <w:rtl w:val="0"/>
        </w:rPr>
      </w:r>
    </w:p>
    <w:p w:rsidR="00000000" w:rsidDel="00000000" w:rsidP="00000000" w:rsidRDefault="00000000" w:rsidRPr="00000000" w14:paraId="00000012">
      <w:pPr>
        <w:spacing w:after="96.00000000000001" w:line="240" w:lineRule="auto"/>
        <w:ind w:right="-90"/>
        <w:jc w:val="both"/>
        <w:rPr/>
      </w:pPr>
      <w:r w:rsidDel="00000000" w:rsidR="00000000" w:rsidRPr="00000000">
        <w:rPr>
          <w:rtl w:val="0"/>
        </w:rPr>
        <w:t xml:space="preserve">Potential candidates should send a full package of documents prepared in English (application form, CV, NDA Form and reference letter(-s)) by August 22, 2023, 23:59 (Kyiv time) to the following address: </w:t>
      </w:r>
      <w:hyperlink r:id="rId8">
        <w:r w:rsidDel="00000000" w:rsidR="00000000" w:rsidRPr="00000000">
          <w:rPr>
            <w:color w:val="1155cc"/>
            <w:u w:val="single"/>
            <w:rtl w:val="0"/>
          </w:rPr>
          <w:t xml:space="preserve">rst.mepr@gmail.com</w:t>
        </w:r>
      </w:hyperlink>
      <w:r w:rsidDel="00000000" w:rsidR="00000000" w:rsidRPr="00000000">
        <w:rPr>
          <w:rtl w:val="0"/>
        </w:rPr>
        <w:t xml:space="preserve">. Candidates who submit an incomplete package of documents will not be considered. </w:t>
      </w:r>
    </w:p>
    <w:p w:rsidR="00000000" w:rsidDel="00000000" w:rsidP="00000000" w:rsidRDefault="00000000" w:rsidRPr="00000000" w14:paraId="00000013">
      <w:pPr>
        <w:spacing w:after="96.00000000000001" w:line="240" w:lineRule="auto"/>
        <w:ind w:right="-90"/>
        <w:rPr/>
      </w:pPr>
      <w:r w:rsidDel="00000000" w:rsidR="00000000" w:rsidRPr="00000000">
        <w:rPr>
          <w:rtl w:val="0"/>
        </w:rPr>
        <w:t xml:space="preserve">Only short-listed applicants will be invited to the written test and interview. </w:t>
      </w:r>
    </w:p>
    <w:p w:rsidR="00000000" w:rsidDel="00000000" w:rsidP="00000000" w:rsidRDefault="00000000" w:rsidRPr="00000000" w14:paraId="00000014">
      <w:pPr>
        <w:spacing w:after="240" w:before="240" w:lineRule="auto"/>
        <w:ind w:right="-90"/>
        <w:rPr/>
      </w:pPr>
      <w:r w:rsidDel="00000000" w:rsidR="00000000" w:rsidRPr="00000000">
        <w:rPr>
          <w:rtl w:val="0"/>
        </w:rPr>
        <w:t xml:space="preserve">The detailed Terms of Reference can be found below.</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240" w:lineRule="auto"/>
        <w:ind w:right="-90"/>
        <w:rPr/>
      </w:pPr>
      <w:r w:rsidDel="00000000" w:rsidR="00000000" w:rsidRPr="00000000">
        <w:rPr>
          <w:rtl w:val="0"/>
        </w:rPr>
      </w:r>
    </w:p>
    <w:p w:rsidR="00000000" w:rsidDel="00000000" w:rsidP="00000000" w:rsidRDefault="00000000" w:rsidRPr="00000000" w14:paraId="00000019">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spacing w:after="120" w:before="120" w:line="259"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Ukraine Reforms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 Contributors to the MDA are Austria, Denmark, Finland, France, Germany, Italy, Japan, the Netherlands, Norway, Poland, Sweden, Switzerland, the United Kingdom, the United States and the European Union.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st.me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I0cPKVg+O4xgavEw8b6Kd/qnQ==">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