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C5" w:rsidRPr="00345661" w:rsidRDefault="00345661" w:rsidP="0034566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Пояснювальна записка</w:t>
      </w:r>
    </w:p>
    <w:p w:rsidR="00345661" w:rsidRPr="00345661" w:rsidRDefault="00A25512" w:rsidP="00345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561AD3" w:rsidRPr="00561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09184B" w:rsidRPr="0009184B">
        <w:rPr>
          <w:rFonts w:ascii="Times New Roman" w:hAnsi="Times New Roman" w:cs="Times New Roman"/>
          <w:b/>
          <w:sz w:val="28"/>
          <w:szCs w:val="28"/>
          <w:lang w:val="uk-UA"/>
        </w:rPr>
        <w:t>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345661" w:rsidRPr="0009184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5661" w:rsidRPr="001E4E10" w:rsidRDefault="00345661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E4E10" w:rsidRPr="001E4E10" w:rsidRDefault="001E4E10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1. Мета</w:t>
      </w:r>
    </w:p>
    <w:p w:rsidR="0009184B" w:rsidRDefault="00561A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Міністерства захисту довкілля та природних ресурсів України «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09184B" w:rsidRPr="0009184B">
        <w:rPr>
          <w:rFonts w:ascii="Times New Roman" w:hAnsi="Times New Roman" w:cs="Times New Roman"/>
          <w:sz w:val="28"/>
          <w:szCs w:val="28"/>
          <w:lang w:val="uk-UA"/>
        </w:rPr>
        <w:t>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Pr="003304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наказу)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9184B" w:rsidRPr="0009184B">
        <w:rPr>
          <w:rFonts w:ascii="Times New Roman" w:hAnsi="Times New Roman" w:cs="Times New Roman"/>
          <w:sz w:val="28"/>
          <w:szCs w:val="28"/>
          <w:lang w:val="uk-UA"/>
        </w:rPr>
        <w:t>встановлення єдиних 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607" w:rsidRPr="0009184B" w:rsidRDefault="00D84607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561AD3" w:rsidRDefault="00561AD3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розроблено відповідно до вимог </w:t>
      </w:r>
      <w:r w:rsidR="001E4E10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</w:t>
      </w:r>
      <w:r w:rsidR="0009184B">
        <w:rPr>
          <w:rFonts w:ascii="Times New Roman" w:hAnsi="Times New Roman" w:cs="Times New Roman"/>
          <w:sz w:val="28"/>
          <w:szCs w:val="28"/>
          <w:lang w:val="uk-UA"/>
        </w:rPr>
        <w:t xml:space="preserve">статті 40 </w:t>
      </w:r>
      <w:r w:rsidRPr="00561AD3">
        <w:rPr>
          <w:rFonts w:ascii="Times New Roman" w:hAnsi="Times New Roman" w:cs="Times New Roman"/>
          <w:sz w:val="28"/>
          <w:szCs w:val="28"/>
          <w:lang w:val="uk-UA"/>
        </w:rPr>
        <w:t>Закону України «Про управління відходами»</w:t>
      </w:r>
      <w:r w:rsidR="006913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30464" w:rsidRDefault="001E4E10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визначить 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єдині</w:t>
      </w:r>
      <w:r w:rsidR="00475E4E" w:rsidRPr="0009184B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5E4E" w:rsidRPr="0009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 xml:space="preserve">для всіх </w:t>
      </w:r>
      <w:r w:rsidR="00475E4E" w:rsidRPr="008D2F83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5E4E"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що здійснюють</w:t>
      </w:r>
      <w:r w:rsidR="00475E4E"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із за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хоронення відходів та забезпечують</w:t>
      </w:r>
      <w:r w:rsidR="00475E4E"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експлуатацію полігону, припинення експлуатації, рекультивацію та догляд за полігоном після припинення його експлуатації</w:t>
      </w:r>
      <w:r w:rsidR="00475E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E4E"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 законодавства.</w:t>
      </w:r>
    </w:p>
    <w:p w:rsidR="001E4E10" w:rsidRDefault="001E4E10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D84607" w:rsidRPr="00561AD3" w:rsidRDefault="00A25512" w:rsidP="00D8460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6D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6640F7" w:rsidRPr="00B456D3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пропонується затвердити </w:t>
      </w:r>
      <w:r w:rsidR="00D84607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D84607" w:rsidRPr="0009184B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D8460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1E4E1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E4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607">
        <w:rPr>
          <w:rFonts w:ascii="Times New Roman" w:hAnsi="Times New Roman" w:cs="Times New Roman"/>
          <w:sz w:val="28"/>
          <w:szCs w:val="28"/>
          <w:lang w:val="uk-UA"/>
        </w:rPr>
        <w:t>Правил), які:</w:t>
      </w:r>
    </w:p>
    <w:p w:rsidR="00D84607" w:rsidRDefault="00D84607" w:rsidP="00D8460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D2F83">
        <w:rPr>
          <w:rFonts w:ascii="Times New Roman" w:hAnsi="Times New Roman" w:cs="Times New Roman"/>
          <w:sz w:val="28"/>
          <w:szCs w:val="28"/>
          <w:lang w:val="uk-UA"/>
        </w:rPr>
        <w:t>обов’язковими для виконання всіма суб’єктами господарювання незалежно від форм власності та організаційно-правових форм, що здійснюють діяльність, пов’язану з управлінням та експлуатацією полігонів, припиненням їх експлуатації, рекультивацією та доглядом за полігонами після припинення їх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4607" w:rsidRPr="00345661" w:rsidRDefault="00D84607" w:rsidP="00D8460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поширюються на полігони, що експлуатуються, нові полігони, що припинили експлуатацію та рекультивуються, полігони, за якими здійснюється догляд після припинення їх експлуатації та місця захоронення відходів, що приводяться у відповідність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D2F83">
        <w:rPr>
          <w:rFonts w:ascii="Times New Roman" w:hAnsi="Times New Roman" w:cs="Times New Roman"/>
          <w:sz w:val="28"/>
          <w:szCs w:val="28"/>
          <w:lang w:val="uk-UA"/>
        </w:rPr>
        <w:t xml:space="preserve"> Вимог до плану приведення місця розміщення відходів у відповідність з вимогами законодавства</w:t>
      </w:r>
      <w:r w:rsidR="001E4E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57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</w:t>
      </w:r>
      <w:r w:rsidR="001E4E10">
        <w:rPr>
          <w:rFonts w:ascii="Times New Roman" w:hAnsi="Times New Roman" w:cs="Times New Roman"/>
          <w:sz w:val="28"/>
          <w:szCs w:val="28"/>
          <w:lang w:val="uk-UA"/>
        </w:rPr>
        <w:t xml:space="preserve"> Міндовкілля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6D3" w:rsidRPr="00B456D3" w:rsidRDefault="00B456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:rsidR="00345661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11BD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:rsidR="00DF2755" w:rsidRDefault="00DF2755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>Закон Укр</w:t>
      </w:r>
      <w:r w:rsidR="002C2B3D">
        <w:rPr>
          <w:rFonts w:ascii="Times New Roman" w:hAnsi="Times New Roman" w:cs="Times New Roman"/>
          <w:bCs/>
          <w:sz w:val="28"/>
          <w:szCs w:val="28"/>
          <w:lang w:val="uk-UA"/>
        </w:rPr>
        <w:t>аїни «Про управління відходами»</w:t>
      </w:r>
      <w:r w:rsidR="001E4E1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4E10" w:rsidRDefault="001E4E10" w:rsidP="001E4E10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Угод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F2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жавами-членами, з іншої сторони, ратифікована Законом України від </w:t>
      </w:r>
      <w:r w:rsidRPr="00EB5964">
        <w:rPr>
          <w:rFonts w:ascii="Times New Roman" w:hAnsi="Times New Roman" w:cs="Times New Roman"/>
          <w:sz w:val="28"/>
          <w:szCs w:val="28"/>
          <w:lang w:val="uk-UA"/>
        </w:rPr>
        <w:t>16 вересня 2014 року</w:t>
      </w:r>
      <w:r w:rsidRPr="00EB5964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B5964">
        <w:rPr>
          <w:rFonts w:ascii="Times New Roman" w:hAnsi="Times New Roman" w:cs="Times New Roman"/>
          <w:sz w:val="28"/>
          <w:szCs w:val="28"/>
          <w:lang w:val="uk-UA"/>
        </w:rPr>
        <w:t>№ 1678-VII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11BD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345661" w:rsidRDefault="006E47F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2551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</w:t>
      </w:r>
      <w:proofErr w:type="spellStart"/>
      <w:r w:rsidR="00A2551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64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765FE3" w:rsidRPr="00765FE3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</w:p>
    <w:p w:rsidR="004B1766" w:rsidRDefault="004B176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D518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ED518E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не стосується питань функціонування соціально-трудової сфери, прав осіб з інвалідністю, функціонування і застосування</w:t>
      </w:r>
      <w:r w:rsidR="00FB6EB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державної та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погодження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745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сфери наукової та науково-технічної діяльності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745" w:rsidRPr="00CD4745">
        <w:rPr>
          <w:rFonts w:ascii="Times New Roman" w:hAnsi="Times New Roman" w:cs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EBA" w:rsidRDefault="00FB6EBA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:rsidR="00345661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 ним </w:t>
      </w:r>
      <w:proofErr w:type="spellStart"/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імплементуються</w:t>
      </w:r>
      <w:proofErr w:type="spellEnd"/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відповідні положення</w:t>
      </w:r>
      <w:r w:rsidR="0042081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14 </w:t>
      </w:r>
      <w:r w:rsidR="00CD4745" w:rsidRPr="00CD4745">
        <w:rPr>
          <w:rFonts w:ascii="Times New Roman" w:hAnsi="Times New Roman" w:cs="Times New Roman"/>
          <w:bCs/>
          <w:sz w:val="28"/>
          <w:szCs w:val="28"/>
          <w:lang w:val="uk-UA"/>
        </w:rPr>
        <w:t>Директиви Європейського Парламенту та Ради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1999/31/ЄС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 квітня 1999 року 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>про захоронення відходів, як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="00CD4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встановлюються вимоги до </w:t>
      </w:r>
      <w:r w:rsidR="00365DBA">
        <w:rPr>
          <w:rFonts w:ascii="Times New Roman" w:hAnsi="Times New Roman" w:cs="Times New Roman"/>
          <w:bCs/>
          <w:sz w:val="28"/>
          <w:szCs w:val="28"/>
          <w:lang w:val="uk-UA"/>
        </w:rPr>
        <w:t>подальшого функціонування існуючих місць захоронення відходів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не містить положень,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що стосуються прав та свобод, гарантованих Конвенцією про захист прав людини і основоположних свобод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E5EA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E5EA8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впливає на забезпечення рівних прав т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а можливостей жінок і чоловіків,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ринок праці, 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не містить положень, які порушують принцип забезпечення рівних прав та можливостей жінок і чоловіків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5EA8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</w:t>
      </w:r>
      <w:r w:rsidR="00CE5EA8"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</w:t>
      </w:r>
      <w:r w:rsidR="00CE5E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4E10" w:rsidRDefault="001E4E10" w:rsidP="001E4E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потребує проведення цифрової експертиз</w:t>
      </w:r>
      <w:r>
        <w:rPr>
          <w:rFonts w:ascii="Times New Roman" w:hAnsi="Times New Roman" w:cs="Times New Roman"/>
          <w:sz w:val="28"/>
          <w:szCs w:val="28"/>
          <w:lang w:val="uk-UA"/>
        </w:rPr>
        <w:t>и та отримання висновку Міністерства цифрової трансформації України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цифрової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пертизи у зв’язку з тим,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EA8" w:rsidRDefault="00CE5EA8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Громадська антикорупційна,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гендерно</w:t>
      </w:r>
      <w:proofErr w:type="spellEnd"/>
      <w:r w:rsidRPr="00CE5EA8">
        <w:rPr>
          <w:rFonts w:ascii="Times New Roman" w:hAnsi="Times New Roman" w:cs="Times New Roman"/>
          <w:bCs/>
          <w:sz w:val="28"/>
          <w:szCs w:val="28"/>
          <w:lang w:val="uk-UA"/>
        </w:rPr>
        <w:t>-правова експертизи не проводились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63C86" w:rsidRDefault="00A63C86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5661" w:rsidRPr="00345661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:rsidR="00365DBA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7F6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6E47F6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призв</w:t>
      </w:r>
      <w:r w:rsidR="001E4E10">
        <w:rPr>
          <w:rFonts w:ascii="Times New Roman" w:hAnsi="Times New Roman" w:cs="Times New Roman"/>
          <w:sz w:val="28"/>
          <w:szCs w:val="28"/>
          <w:lang w:val="uk-UA"/>
        </w:rPr>
        <w:t>еде до зменшення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довкілля, зменшення рівня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атмосферного повітря, води й земель внаслідок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технічних та експлуатаційних характеристик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 xml:space="preserve"> місць розміщення відходів</w:t>
      </w:r>
      <w:r w:rsidR="00983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F1" w:rsidRPr="00983EF1">
        <w:rPr>
          <w:rFonts w:ascii="Times New Roman" w:hAnsi="Times New Roman" w:cs="Times New Roman"/>
          <w:sz w:val="28"/>
          <w:szCs w:val="28"/>
          <w:lang w:val="uk-UA"/>
        </w:rPr>
        <w:t>щодо яких регіональним планом управління відходами передбачено продовження строку їх експлуатації</w:t>
      </w:r>
      <w:r w:rsidR="003C20E8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DBA" w:rsidRPr="006E47F6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покращення здоров’я населення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санітарно-епідеміологічного стану територій довкола існ</w:t>
      </w:r>
      <w:r w:rsidR="003C20E8">
        <w:rPr>
          <w:rFonts w:ascii="Times New Roman" w:hAnsi="Times New Roman" w:cs="Times New Roman"/>
          <w:sz w:val="28"/>
          <w:szCs w:val="28"/>
          <w:lang w:val="uk-UA"/>
        </w:rPr>
        <w:t>уючих місць розміщення відходів</w:t>
      </w:r>
      <w:r w:rsidR="00365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9AD" w:rsidRDefault="006869AD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766" w:rsidRDefault="004B1766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F87" w:rsidRDefault="00345661" w:rsidP="007041C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захисту довкілля та </w:t>
      </w:r>
    </w:p>
    <w:p w:rsidR="00345661" w:rsidRPr="00345661" w:rsidRDefault="00F33F87" w:rsidP="007041C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риродних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есурсів </w:t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4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661" w:rsidRPr="00345661">
        <w:rPr>
          <w:rFonts w:ascii="Times New Roman" w:hAnsi="Times New Roman" w:cs="Times New Roman"/>
          <w:b/>
          <w:sz w:val="28"/>
          <w:szCs w:val="28"/>
          <w:lang w:val="uk-UA"/>
        </w:rPr>
        <w:t>Руслан СТРІЛЕЦЬ</w:t>
      </w:r>
    </w:p>
    <w:p w:rsidR="00345661" w:rsidRPr="00D84607" w:rsidRDefault="00345661" w:rsidP="003456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45661" w:rsidRPr="00345661" w:rsidRDefault="00345661" w:rsidP="007041C9">
      <w:pPr>
        <w:spacing w:after="0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_______________ 2023 р.</w:t>
      </w:r>
    </w:p>
    <w:sectPr w:rsidR="00345661" w:rsidRPr="00345661" w:rsidSect="001E4E10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51" w:rsidRDefault="00BE5E51" w:rsidP="00A63C86">
      <w:pPr>
        <w:spacing w:after="0" w:line="240" w:lineRule="auto"/>
      </w:pPr>
      <w:r>
        <w:separator/>
      </w:r>
    </w:p>
  </w:endnote>
  <w:endnote w:type="continuationSeparator" w:id="0">
    <w:p w:rsidR="00BE5E51" w:rsidRDefault="00BE5E51" w:rsidP="00A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51" w:rsidRDefault="00BE5E51" w:rsidP="00A63C86">
      <w:pPr>
        <w:spacing w:after="0" w:line="240" w:lineRule="auto"/>
      </w:pPr>
      <w:r>
        <w:separator/>
      </w:r>
    </w:p>
  </w:footnote>
  <w:footnote w:type="continuationSeparator" w:id="0">
    <w:p w:rsidR="00BE5E51" w:rsidRDefault="00BE5E51" w:rsidP="00A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422634"/>
      <w:docPartObj>
        <w:docPartGallery w:val="Page Numbers (Top of Page)"/>
        <w:docPartUnique/>
      </w:docPartObj>
    </w:sdtPr>
    <w:sdtEndPr/>
    <w:sdtContent>
      <w:p w:rsidR="00A63C86" w:rsidRDefault="00A63C86" w:rsidP="00A63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A7">
          <w:rPr>
            <w:noProof/>
          </w:rPr>
          <w:t>3</w:t>
        </w:r>
        <w:r>
          <w:fldChar w:fldCharType="end"/>
        </w:r>
      </w:p>
    </w:sdtContent>
  </w:sdt>
  <w:p w:rsidR="00A63C86" w:rsidRDefault="00A63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1"/>
    <w:rsid w:val="00011413"/>
    <w:rsid w:val="00044400"/>
    <w:rsid w:val="000649BF"/>
    <w:rsid w:val="0009184B"/>
    <w:rsid w:val="000B1488"/>
    <w:rsid w:val="000F257D"/>
    <w:rsid w:val="001E4E10"/>
    <w:rsid w:val="0025397E"/>
    <w:rsid w:val="002724CA"/>
    <w:rsid w:val="002776BC"/>
    <w:rsid w:val="002B2432"/>
    <w:rsid w:val="002C2B3D"/>
    <w:rsid w:val="002F69E4"/>
    <w:rsid w:val="00307980"/>
    <w:rsid w:val="00330464"/>
    <w:rsid w:val="00345661"/>
    <w:rsid w:val="00365DBA"/>
    <w:rsid w:val="003737DA"/>
    <w:rsid w:val="00376B11"/>
    <w:rsid w:val="003C20E8"/>
    <w:rsid w:val="0042081A"/>
    <w:rsid w:val="00423675"/>
    <w:rsid w:val="00471236"/>
    <w:rsid w:val="00475E4E"/>
    <w:rsid w:val="00497D76"/>
    <w:rsid w:val="004B1766"/>
    <w:rsid w:val="00542DFB"/>
    <w:rsid w:val="00552FCC"/>
    <w:rsid w:val="00561AD3"/>
    <w:rsid w:val="005B53A6"/>
    <w:rsid w:val="005C7333"/>
    <w:rsid w:val="006640F7"/>
    <w:rsid w:val="006869AD"/>
    <w:rsid w:val="006913CC"/>
    <w:rsid w:val="00693482"/>
    <w:rsid w:val="006E1B1C"/>
    <w:rsid w:val="006E47F6"/>
    <w:rsid w:val="007041C9"/>
    <w:rsid w:val="00722B9F"/>
    <w:rsid w:val="00734A27"/>
    <w:rsid w:val="00747966"/>
    <w:rsid w:val="00765FE3"/>
    <w:rsid w:val="007677EC"/>
    <w:rsid w:val="00792F07"/>
    <w:rsid w:val="007D5FC1"/>
    <w:rsid w:val="008222D9"/>
    <w:rsid w:val="008731C2"/>
    <w:rsid w:val="00940948"/>
    <w:rsid w:val="00983EF1"/>
    <w:rsid w:val="00985EA7"/>
    <w:rsid w:val="009A3E55"/>
    <w:rsid w:val="009B60E3"/>
    <w:rsid w:val="009E0E9D"/>
    <w:rsid w:val="00A00D8B"/>
    <w:rsid w:val="00A141FF"/>
    <w:rsid w:val="00A25512"/>
    <w:rsid w:val="00A579B0"/>
    <w:rsid w:val="00A63C86"/>
    <w:rsid w:val="00A90E45"/>
    <w:rsid w:val="00AA2B43"/>
    <w:rsid w:val="00AD47D3"/>
    <w:rsid w:val="00B456D3"/>
    <w:rsid w:val="00B65DDB"/>
    <w:rsid w:val="00BE5E51"/>
    <w:rsid w:val="00C403D9"/>
    <w:rsid w:val="00C606B4"/>
    <w:rsid w:val="00CA67C5"/>
    <w:rsid w:val="00CD4745"/>
    <w:rsid w:val="00CE5EA8"/>
    <w:rsid w:val="00CF463D"/>
    <w:rsid w:val="00D84607"/>
    <w:rsid w:val="00DF2755"/>
    <w:rsid w:val="00E1306E"/>
    <w:rsid w:val="00E170BA"/>
    <w:rsid w:val="00E269E0"/>
    <w:rsid w:val="00E311BD"/>
    <w:rsid w:val="00E954E7"/>
    <w:rsid w:val="00E95AE8"/>
    <w:rsid w:val="00EC1BAE"/>
    <w:rsid w:val="00ED518E"/>
    <w:rsid w:val="00EF59C2"/>
    <w:rsid w:val="00F2079E"/>
    <w:rsid w:val="00F33F87"/>
    <w:rsid w:val="00F52334"/>
    <w:rsid w:val="00FB6EBA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BD2-004F-476C-97AD-C60591B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paragraph" w:customStyle="1" w:styleId="1">
    <w:name w:val="Без интервала1"/>
    <w:qFormat/>
    <w:rsid w:val="004B1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rsid w:val="004B1766"/>
  </w:style>
  <w:style w:type="paragraph" w:styleId="a4">
    <w:name w:val="header"/>
    <w:basedOn w:val="a"/>
    <w:link w:val="a5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C86"/>
  </w:style>
  <w:style w:type="paragraph" w:styleId="a6">
    <w:name w:val="footer"/>
    <w:basedOn w:val="a"/>
    <w:link w:val="a7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Баннікова Ірина Олександрівна</cp:lastModifiedBy>
  <cp:revision>3</cp:revision>
  <dcterms:created xsi:type="dcterms:W3CDTF">2023-06-26T11:10:00Z</dcterms:created>
  <dcterms:modified xsi:type="dcterms:W3CDTF">2023-06-26T11:10:00Z</dcterms:modified>
</cp:coreProperties>
</file>