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F2" w:rsidRPr="004933F7" w:rsidRDefault="00D747F2" w:rsidP="00D747F2">
      <w:pPr>
        <w:pStyle w:val="11"/>
        <w:jc w:val="center"/>
      </w:pPr>
      <w:r w:rsidRPr="004933F7">
        <w:t>ДОДАТОК ХVІ</w:t>
      </w:r>
    </w:p>
    <w:p w:rsidR="00D747F2" w:rsidRPr="004933F7" w:rsidRDefault="00D747F2" w:rsidP="00D747F2">
      <w:pPr>
        <w:pStyle w:val="11"/>
        <w:jc w:val="center"/>
      </w:pPr>
      <w:r w:rsidRPr="004933F7">
        <w:t>СОЦІАЛЬНО-ЕКОНОМІЧНИЙ АНАЛІЗ (СЕА)</w:t>
      </w:r>
    </w:p>
    <w:p w:rsidR="00D747F2" w:rsidRPr="004933F7" w:rsidRDefault="00D747F2" w:rsidP="00D747F2">
      <w:pPr>
        <w:pStyle w:val="a5"/>
        <w:rPr>
          <w:color w:val="000000" w:themeColor="text1"/>
        </w:rPr>
      </w:pPr>
      <w:r w:rsidRPr="004933F7">
        <w:rPr>
          <w:color w:val="000000" w:themeColor="text1"/>
        </w:rPr>
        <w:t xml:space="preserve">У цьому Додатку наведена інформація, яка може бути розглянута для проведення соціально-економічного аналізу (СЕА) та надання відповідних результатів під час процедури </w:t>
      </w:r>
      <w:r>
        <w:rPr>
          <w:color w:val="000000" w:themeColor="text1"/>
        </w:rPr>
        <w:t>встановлення</w:t>
      </w:r>
      <w:r w:rsidRPr="004933F7">
        <w:rPr>
          <w:color w:val="000000" w:themeColor="text1"/>
        </w:rPr>
        <w:t xml:space="preserve"> обмежень </w:t>
      </w:r>
      <w:r w:rsidRPr="00D747F2">
        <w:rPr>
          <w:color w:val="000000" w:themeColor="text1"/>
        </w:rPr>
        <w:t>виробництва, використання або надання на ринку України хімічної продукції</w:t>
      </w:r>
      <w:r w:rsidRPr="004933F7">
        <w:rPr>
          <w:color w:val="000000" w:themeColor="text1"/>
        </w:rPr>
        <w:t xml:space="preserve"> відповідно до пункту </w:t>
      </w:r>
      <w:r>
        <w:rPr>
          <w:color w:val="000000" w:themeColor="text1"/>
        </w:rPr>
        <w:t>290</w:t>
      </w:r>
      <w:r w:rsidRPr="004933F7">
        <w:rPr>
          <w:color w:val="000000" w:themeColor="text1"/>
        </w:rPr>
        <w:t xml:space="preserve"> цього Технічного регламенту</w:t>
      </w:r>
      <w:r>
        <w:rPr>
          <w:color w:val="000000" w:themeColor="text1"/>
        </w:rPr>
        <w:t>, а також для отримання дозволу на використання особливо небезпечної хімічної речовини, яка виводиться з ринку</w:t>
      </w:r>
      <w:r w:rsidRPr="004933F7">
        <w:rPr>
          <w:color w:val="000000" w:themeColor="text1"/>
        </w:rPr>
        <w:t>.</w:t>
      </w:r>
    </w:p>
    <w:p w:rsidR="00D747F2" w:rsidRPr="004933F7" w:rsidRDefault="00D747F2" w:rsidP="00D747F2">
      <w:pPr>
        <w:pStyle w:val="a5"/>
        <w:rPr>
          <w:color w:val="000000" w:themeColor="text1"/>
        </w:rPr>
      </w:pPr>
      <w:r w:rsidRPr="00D747F2">
        <w:rPr>
          <w:color w:val="000000" w:themeColor="text1"/>
        </w:rPr>
        <w:t>Центральний орган виконавчої влади, що реалізує державну політику у сфері забезпечення хімічної безпеки</w:t>
      </w:r>
      <w:r w:rsidRPr="004933F7">
        <w:rPr>
          <w:color w:val="000000" w:themeColor="text1"/>
        </w:rPr>
        <w:t xml:space="preserve">, повинен розробити та опублікувати настанови щодо проведення СЕА. Результати СЕА або додаткові матеріали до нього повинні надаватися у форматі, який визначається центральним органом виконавчої влади, </w:t>
      </w:r>
      <w:r w:rsidRPr="00D747F2">
        <w:rPr>
          <w:color w:val="000000" w:themeColor="text1"/>
        </w:rPr>
        <w:t>що реалізує державну політику у сфері забезпечення хімічної безпеки</w:t>
      </w:r>
      <w:r w:rsidRPr="004933F7">
        <w:rPr>
          <w:color w:val="000000" w:themeColor="text1"/>
        </w:rPr>
        <w:t>.</w:t>
      </w:r>
    </w:p>
    <w:p w:rsidR="00D747F2" w:rsidRPr="004933F7" w:rsidRDefault="00D747F2" w:rsidP="00D747F2">
      <w:pPr>
        <w:pStyle w:val="a5"/>
        <w:rPr>
          <w:color w:val="000000" w:themeColor="text1"/>
        </w:rPr>
      </w:pPr>
      <w:r>
        <w:rPr>
          <w:color w:val="000000" w:themeColor="text1"/>
        </w:rPr>
        <w:t>В</w:t>
      </w:r>
      <w:r w:rsidRPr="004933F7">
        <w:rPr>
          <w:color w:val="000000" w:themeColor="text1"/>
        </w:rPr>
        <w:t>изначення рівня деталізації</w:t>
      </w:r>
      <w:r w:rsidRPr="004933F7" w:rsidDel="00A90270">
        <w:rPr>
          <w:color w:val="000000" w:themeColor="text1"/>
        </w:rPr>
        <w:t xml:space="preserve"> </w:t>
      </w:r>
      <w:r w:rsidRPr="004933F7">
        <w:rPr>
          <w:color w:val="000000" w:themeColor="text1"/>
        </w:rPr>
        <w:t>та сфери застосування СЕА або додаткових матеріалів до нього є відповідальністю заявника на отримання дозволу на використання особливо небезпечної хімічної речовини</w:t>
      </w:r>
      <w:r>
        <w:rPr>
          <w:color w:val="000000" w:themeColor="text1"/>
        </w:rPr>
        <w:t>, яка виводиться з ринку</w:t>
      </w:r>
      <w:r w:rsidRPr="004933F7">
        <w:rPr>
          <w:color w:val="000000" w:themeColor="text1"/>
        </w:rPr>
        <w:t xml:space="preserve"> або під час розгляду пропозицій щодо обмеження використання, – є відповідальністю зацікавленої сторони. Надана інформація може враховувати соціально-економічні наслідки на всіх рівнях.</w:t>
      </w:r>
    </w:p>
    <w:p w:rsidR="00D747F2" w:rsidRPr="004933F7" w:rsidRDefault="00D747F2" w:rsidP="00D747F2">
      <w:pPr>
        <w:pStyle w:val="a5"/>
        <w:rPr>
          <w:color w:val="000000" w:themeColor="text1"/>
        </w:rPr>
      </w:pPr>
      <w:r w:rsidRPr="004933F7">
        <w:rPr>
          <w:color w:val="000000" w:themeColor="text1"/>
        </w:rPr>
        <w:t>СЕА може включати такі елементи:</w:t>
      </w:r>
    </w:p>
    <w:p w:rsidR="00D747F2" w:rsidRDefault="00D747F2" w:rsidP="00D747F2">
      <w:pPr>
        <w:pStyle w:val="a3"/>
        <w:numPr>
          <w:ilvl w:val="1"/>
          <w:numId w:val="1"/>
        </w:numPr>
        <w:ind w:left="1985"/>
        <w:rPr>
          <w:color w:val="000000" w:themeColor="text1"/>
        </w:rPr>
      </w:pPr>
      <w:r w:rsidRPr="00D747F2">
        <w:rPr>
          <w:color w:val="000000" w:themeColor="text1"/>
        </w:rPr>
        <w:t>наслідки надання дозволу на використання особливо небезпечної хімічної речовини, яка виводиться з ринку або відмови у наданні дозволу для відповідного заявника, або у випадку розгляду пропозицій щодо встановлення обмеження</w:t>
      </w:r>
      <w:r>
        <w:rPr>
          <w:color w:val="000000" w:themeColor="text1"/>
        </w:rPr>
        <w:t xml:space="preserve"> </w:t>
      </w:r>
      <w:r w:rsidRPr="00D747F2">
        <w:rPr>
          <w:color w:val="000000" w:themeColor="text1"/>
        </w:rPr>
        <w:t xml:space="preserve">виробництва, використання або надання на ринку України хімічної продукції </w:t>
      </w:r>
      <w:r>
        <w:rPr>
          <w:color w:val="000000" w:themeColor="text1"/>
        </w:rPr>
        <w:t>– н</w:t>
      </w:r>
      <w:r w:rsidRPr="00D747F2">
        <w:rPr>
          <w:color w:val="000000" w:themeColor="text1"/>
        </w:rPr>
        <w:t xml:space="preserve">аслідки для промисловості (наприклад, виробників та імпортерів). </w:t>
      </w:r>
    </w:p>
    <w:p w:rsidR="00D747F2" w:rsidRPr="00D747F2" w:rsidRDefault="00D747F2" w:rsidP="00D747F2">
      <w:pPr>
        <w:pStyle w:val="a3"/>
        <w:numPr>
          <w:ilvl w:val="1"/>
          <w:numId w:val="1"/>
        </w:numPr>
        <w:ind w:left="1985"/>
        <w:rPr>
          <w:color w:val="000000" w:themeColor="text1"/>
        </w:rPr>
      </w:pPr>
      <w:r>
        <w:rPr>
          <w:color w:val="000000" w:themeColor="text1"/>
        </w:rPr>
        <w:t>е</w:t>
      </w:r>
      <w:r w:rsidRPr="00D747F2">
        <w:rPr>
          <w:color w:val="000000" w:themeColor="text1"/>
        </w:rPr>
        <w:t>кономічні наслідки для інших учасників ланцюга постачання, наступних користувачів та пов’язаних підприємств, такі як наслідки для інвестиційної діяльності, необхідність проведення науково-технічних досліджень та розробок, сприяння запровадженню інновацій, разові та експлуатаційні витрати (наприклад, підчас виконання відповідних нормативних вимог, запровадження перехідних заходів, заміни існуючих виробничих процесів, запровадження систем моніторингу та звітності, впровадження нових технологій тощо), зважаючи на загальні тенденції ринку та технологічного розвитку;</w:t>
      </w:r>
    </w:p>
    <w:p w:rsidR="00D747F2" w:rsidRPr="004933F7" w:rsidRDefault="00D747F2" w:rsidP="00D747F2">
      <w:pPr>
        <w:pStyle w:val="a3"/>
        <w:numPr>
          <w:ilvl w:val="1"/>
          <w:numId w:val="1"/>
        </w:numPr>
        <w:ind w:left="1985"/>
        <w:rPr>
          <w:color w:val="000000" w:themeColor="text1"/>
        </w:rPr>
      </w:pPr>
      <w:r w:rsidRPr="004933F7">
        <w:rPr>
          <w:color w:val="000000" w:themeColor="text1"/>
        </w:rPr>
        <w:lastRenderedPageBreak/>
        <w:t>наслідки надання дозволу на використання особливо небезпечної хімічної речовини</w:t>
      </w:r>
      <w:r>
        <w:rPr>
          <w:color w:val="000000" w:themeColor="text1"/>
        </w:rPr>
        <w:t>, яка виводиться з ринку,</w:t>
      </w:r>
      <w:r w:rsidRPr="004933F7">
        <w:rPr>
          <w:color w:val="000000" w:themeColor="text1"/>
        </w:rPr>
        <w:t xml:space="preserve"> або відмови у наданні дозволу, або </w:t>
      </w:r>
      <w:r>
        <w:rPr>
          <w:color w:val="000000" w:themeColor="text1"/>
        </w:rPr>
        <w:t>встановлення</w:t>
      </w:r>
      <w:r w:rsidRPr="004933F7">
        <w:rPr>
          <w:color w:val="000000" w:themeColor="text1"/>
        </w:rPr>
        <w:t xml:space="preserve"> обмеження </w:t>
      </w:r>
      <w:r w:rsidRPr="00D747F2">
        <w:rPr>
          <w:color w:val="000000" w:themeColor="text1"/>
        </w:rPr>
        <w:t>виробництва, використання або надання на ринку України хімічної продукції</w:t>
      </w:r>
      <w:r w:rsidRPr="004933F7">
        <w:rPr>
          <w:color w:val="000000" w:themeColor="text1"/>
        </w:rPr>
        <w:t xml:space="preserve"> для споживачів. Наприклад: зміна ціни продукції, зміна складу, якості або ефективності продукції та її доступність, вплив на вибір продукції, а також рівень небезпечного впливу на здоров’я споживачів та довкілля;</w:t>
      </w:r>
    </w:p>
    <w:p w:rsidR="00D747F2" w:rsidRPr="004933F7" w:rsidRDefault="00D747F2" w:rsidP="00D747F2">
      <w:pPr>
        <w:pStyle w:val="a3"/>
        <w:numPr>
          <w:ilvl w:val="1"/>
          <w:numId w:val="1"/>
        </w:numPr>
        <w:ind w:left="1985"/>
        <w:rPr>
          <w:color w:val="000000" w:themeColor="text1"/>
        </w:rPr>
      </w:pPr>
      <w:r w:rsidRPr="004933F7">
        <w:rPr>
          <w:color w:val="000000" w:themeColor="text1"/>
        </w:rPr>
        <w:t xml:space="preserve">соціальні наслідки надання дозволу на використання особливо небезпечної хімічної речовини або відмови у наданні дозволу, або </w:t>
      </w:r>
      <w:r>
        <w:rPr>
          <w:color w:val="000000" w:themeColor="text1"/>
        </w:rPr>
        <w:t>встановлення</w:t>
      </w:r>
      <w:r w:rsidRPr="004933F7">
        <w:rPr>
          <w:color w:val="000000" w:themeColor="text1"/>
        </w:rPr>
        <w:t xml:space="preserve"> обмеження </w:t>
      </w:r>
      <w:r w:rsidRPr="00D747F2">
        <w:rPr>
          <w:color w:val="000000" w:themeColor="text1"/>
        </w:rPr>
        <w:t>виробництва, використання або надання на ринку України хімічної продукції</w:t>
      </w:r>
      <w:r w:rsidRPr="004933F7">
        <w:rPr>
          <w:color w:val="000000" w:themeColor="text1"/>
        </w:rPr>
        <w:t xml:space="preserve"> за запропонованою пропозицією. Наприклад: наслідки для гарантування трудової зайнятості</w:t>
      </w:r>
      <w:r w:rsidRPr="004933F7" w:rsidDel="006825DE">
        <w:rPr>
          <w:color w:val="000000" w:themeColor="text1"/>
        </w:rPr>
        <w:t xml:space="preserve"> </w:t>
      </w:r>
      <w:r w:rsidRPr="004933F7">
        <w:rPr>
          <w:color w:val="000000" w:themeColor="text1"/>
        </w:rPr>
        <w:t>та наслідки для працевлаштування;</w:t>
      </w:r>
    </w:p>
    <w:p w:rsidR="00D747F2" w:rsidRPr="004933F7" w:rsidRDefault="00D747F2" w:rsidP="00D747F2">
      <w:pPr>
        <w:pStyle w:val="a3"/>
        <w:numPr>
          <w:ilvl w:val="1"/>
          <w:numId w:val="1"/>
        </w:numPr>
        <w:ind w:left="1985"/>
        <w:rPr>
          <w:color w:val="000000" w:themeColor="text1"/>
        </w:rPr>
      </w:pPr>
      <w:r w:rsidRPr="004933F7">
        <w:rPr>
          <w:color w:val="000000" w:themeColor="text1"/>
        </w:rPr>
        <w:t>наявність, придатність та технічна можливість використання альтернативних хімічних речовин та/або технологій та економічні наслідки їх використання, а також інформація щодо швидкості та можливості запровадження технологічних змін у відповідних промислових секторах. Повинні враховуватись соціальні та/або економічні наслідки використання можливих доступних альтернатив;</w:t>
      </w:r>
    </w:p>
    <w:p w:rsidR="00D747F2" w:rsidRPr="004933F7" w:rsidRDefault="00D747F2" w:rsidP="00D747F2">
      <w:pPr>
        <w:pStyle w:val="a3"/>
        <w:numPr>
          <w:ilvl w:val="1"/>
          <w:numId w:val="1"/>
        </w:numPr>
        <w:ind w:left="1985"/>
        <w:rPr>
          <w:color w:val="000000" w:themeColor="text1"/>
        </w:rPr>
      </w:pPr>
      <w:r w:rsidRPr="004933F7">
        <w:rPr>
          <w:color w:val="000000" w:themeColor="text1"/>
        </w:rPr>
        <w:t xml:space="preserve">більш широкі наслідки надання дозволу </w:t>
      </w:r>
      <w:r w:rsidR="004B7543" w:rsidRPr="004933F7">
        <w:rPr>
          <w:color w:val="000000" w:themeColor="text1"/>
        </w:rPr>
        <w:t>на використання особливо небезпечної хімічної речовини</w:t>
      </w:r>
      <w:r w:rsidR="004B7543">
        <w:rPr>
          <w:color w:val="000000" w:themeColor="text1"/>
        </w:rPr>
        <w:t>, яка виводиться з ринку,</w:t>
      </w:r>
      <w:r w:rsidRPr="004933F7">
        <w:rPr>
          <w:color w:val="000000" w:themeColor="text1"/>
        </w:rPr>
        <w:t xml:space="preserve"> або відмови у наданні дозволу, або </w:t>
      </w:r>
      <w:r w:rsidR="004B7543">
        <w:rPr>
          <w:color w:val="000000" w:themeColor="text1"/>
        </w:rPr>
        <w:t>встановлення</w:t>
      </w:r>
      <w:r w:rsidR="004B7543" w:rsidRPr="004933F7">
        <w:rPr>
          <w:color w:val="000000" w:themeColor="text1"/>
        </w:rPr>
        <w:t xml:space="preserve"> обмеження </w:t>
      </w:r>
      <w:r w:rsidR="004B7543" w:rsidRPr="00D747F2">
        <w:rPr>
          <w:color w:val="000000" w:themeColor="text1"/>
        </w:rPr>
        <w:t>виробництва, використання або надання на ринку України хімічної продукції</w:t>
      </w:r>
      <w:r w:rsidRPr="004933F7">
        <w:rPr>
          <w:color w:val="000000" w:themeColor="text1"/>
        </w:rPr>
        <w:t xml:space="preserve"> за запропонованою пропозицією для торгівлі, конкуренції та економічного розвитку (зокрема, для МСП та для третіх країн). Можливий розгляд місцевих, регіональних, національних чи міжнародних аспектів;</w:t>
      </w:r>
    </w:p>
    <w:p w:rsidR="00D747F2" w:rsidRPr="004933F7" w:rsidRDefault="00D747F2" w:rsidP="00D747F2">
      <w:pPr>
        <w:pStyle w:val="a3"/>
        <w:numPr>
          <w:ilvl w:val="1"/>
          <w:numId w:val="1"/>
        </w:numPr>
        <w:ind w:left="1985"/>
        <w:rPr>
          <w:color w:val="000000" w:themeColor="text1"/>
        </w:rPr>
      </w:pPr>
      <w:r w:rsidRPr="004933F7">
        <w:rPr>
          <w:color w:val="000000" w:themeColor="text1"/>
        </w:rPr>
        <w:t xml:space="preserve">у випадку розгляду пропозиції щодо </w:t>
      </w:r>
      <w:r w:rsidR="004B7543">
        <w:rPr>
          <w:color w:val="000000" w:themeColor="text1"/>
        </w:rPr>
        <w:t>встановлення</w:t>
      </w:r>
      <w:r w:rsidR="004B7543" w:rsidRPr="004933F7">
        <w:rPr>
          <w:color w:val="000000" w:themeColor="text1"/>
        </w:rPr>
        <w:t xml:space="preserve"> обмеження </w:t>
      </w:r>
      <w:r w:rsidR="004B7543" w:rsidRPr="00D747F2">
        <w:rPr>
          <w:color w:val="000000" w:themeColor="text1"/>
        </w:rPr>
        <w:t>виробництва, використання або надання на ринку України хімічної продукції</w:t>
      </w:r>
      <w:r w:rsidR="004B7543" w:rsidRPr="004933F7">
        <w:rPr>
          <w:color w:val="000000" w:themeColor="text1"/>
        </w:rPr>
        <w:t xml:space="preserve"> </w:t>
      </w:r>
      <w:r w:rsidRPr="004933F7">
        <w:rPr>
          <w:color w:val="000000" w:themeColor="text1"/>
        </w:rPr>
        <w:t>повинні бути надані пропозиції щодо інших регуляторних заходів або заходів рекомендаційного характеру, які будуть сприяти досягненню мети запропонованого обмеження (враховуючи чинне законодавство). Такі пропозиції</w:t>
      </w:r>
      <w:r w:rsidRPr="004933F7" w:rsidDel="002F0DD7">
        <w:rPr>
          <w:color w:val="000000" w:themeColor="text1"/>
        </w:rPr>
        <w:t xml:space="preserve"> </w:t>
      </w:r>
      <w:r w:rsidRPr="004933F7">
        <w:rPr>
          <w:color w:val="000000" w:themeColor="text1"/>
        </w:rPr>
        <w:t xml:space="preserve">повинні включати результати оцінки ефективності альтернативних заходів </w:t>
      </w:r>
      <w:r w:rsidR="004B7543">
        <w:rPr>
          <w:color w:val="000000" w:themeColor="text1"/>
        </w:rPr>
        <w:t xml:space="preserve">контролю ризиків </w:t>
      </w:r>
      <w:r w:rsidRPr="004933F7">
        <w:rPr>
          <w:color w:val="000000" w:themeColor="text1"/>
        </w:rPr>
        <w:t>та витрат на їх впровадження;</w:t>
      </w:r>
    </w:p>
    <w:p w:rsidR="00D747F2" w:rsidRPr="004933F7" w:rsidRDefault="00D747F2" w:rsidP="00D747F2">
      <w:pPr>
        <w:pStyle w:val="a3"/>
        <w:numPr>
          <w:ilvl w:val="1"/>
          <w:numId w:val="1"/>
        </w:numPr>
        <w:ind w:left="1985"/>
        <w:rPr>
          <w:color w:val="000000" w:themeColor="text1"/>
        </w:rPr>
      </w:pPr>
      <w:r w:rsidRPr="004933F7">
        <w:rPr>
          <w:color w:val="000000" w:themeColor="text1"/>
        </w:rPr>
        <w:t xml:space="preserve">у випадку розгляду пропозиції щодо </w:t>
      </w:r>
      <w:r w:rsidR="004B7543" w:rsidRPr="004B7543">
        <w:rPr>
          <w:color w:val="000000" w:themeColor="text1"/>
        </w:rPr>
        <w:t>встановлення обмеження виробництва, використання або надання на ринку України хімічної продукції</w:t>
      </w:r>
      <w:r w:rsidRPr="004933F7">
        <w:rPr>
          <w:color w:val="000000" w:themeColor="text1"/>
        </w:rPr>
        <w:t xml:space="preserve"> або відмови у наданні дозволу </w:t>
      </w:r>
      <w:r w:rsidR="004B7543" w:rsidRPr="004933F7">
        <w:rPr>
          <w:color w:val="000000" w:themeColor="text1"/>
        </w:rPr>
        <w:t xml:space="preserve">на </w:t>
      </w:r>
      <w:r w:rsidR="004B7543" w:rsidRPr="004933F7">
        <w:rPr>
          <w:color w:val="000000" w:themeColor="text1"/>
        </w:rPr>
        <w:lastRenderedPageBreak/>
        <w:t>використання особливо небезпечної хімічної речовини</w:t>
      </w:r>
      <w:r w:rsidR="004B7543">
        <w:rPr>
          <w:color w:val="000000" w:themeColor="text1"/>
        </w:rPr>
        <w:t>, яка виводиться з ринку,</w:t>
      </w:r>
      <w:r w:rsidR="004B7543" w:rsidRPr="004933F7">
        <w:rPr>
          <w:color w:val="000000" w:themeColor="text1"/>
        </w:rPr>
        <w:t xml:space="preserve"> </w:t>
      </w:r>
      <w:r w:rsidRPr="004933F7">
        <w:rPr>
          <w:color w:val="000000" w:themeColor="text1"/>
        </w:rPr>
        <w:t xml:space="preserve">повинні зазначатися переваги для здоров’я людини та довкілля, а також соціальні та економічні переваги від </w:t>
      </w:r>
      <w:r w:rsidR="004B7543">
        <w:rPr>
          <w:color w:val="000000" w:themeColor="text1"/>
        </w:rPr>
        <w:t xml:space="preserve">встановлення </w:t>
      </w:r>
      <w:r w:rsidRPr="004933F7">
        <w:rPr>
          <w:color w:val="000000" w:themeColor="text1"/>
        </w:rPr>
        <w:t>запропонованого обмеження</w:t>
      </w:r>
      <w:r w:rsidR="004B7543">
        <w:rPr>
          <w:color w:val="000000" w:themeColor="text1"/>
        </w:rPr>
        <w:t xml:space="preserve"> або виведення з ринку</w:t>
      </w:r>
      <w:r w:rsidRPr="004933F7">
        <w:rPr>
          <w:color w:val="000000" w:themeColor="text1"/>
        </w:rPr>
        <w:t>. Наприклад: покращення охорони праці або зменшення несприятливого впливу на довкілля разом із зазначенням поширення визначених переваг, наприклад, географічно або із зазначенням певних груп населення;</w:t>
      </w:r>
    </w:p>
    <w:p w:rsidR="00D747F2" w:rsidRPr="004933F7" w:rsidRDefault="00D747F2" w:rsidP="00D747F2">
      <w:pPr>
        <w:pStyle w:val="a3"/>
        <w:numPr>
          <w:ilvl w:val="1"/>
          <w:numId w:val="1"/>
        </w:numPr>
        <w:ind w:left="1985"/>
        <w:rPr>
          <w:color w:val="000000" w:themeColor="text1"/>
        </w:rPr>
      </w:pPr>
      <w:r w:rsidRPr="004933F7">
        <w:rPr>
          <w:color w:val="000000" w:themeColor="text1"/>
        </w:rPr>
        <w:t>СЕА може також охоплювати будь-які інші важливі та доречні питання на думку заявників або за</w:t>
      </w:r>
      <w:r w:rsidR="004B7543">
        <w:rPr>
          <w:color w:val="000000" w:themeColor="text1"/>
        </w:rPr>
        <w:t>інтересованих</w:t>
      </w:r>
      <w:r w:rsidRPr="004933F7">
        <w:rPr>
          <w:color w:val="000000" w:themeColor="text1"/>
        </w:rPr>
        <w:t xml:space="preserve"> сторін.</w:t>
      </w:r>
    </w:p>
    <w:p w:rsidR="00AE13EC" w:rsidRPr="007978A4" w:rsidRDefault="007978A4" w:rsidP="007978A4">
      <w:pPr>
        <w:jc w:val="center"/>
        <w:rPr>
          <w:lang w:val="uk-UA"/>
        </w:rPr>
      </w:pPr>
      <w:r>
        <w:rPr>
          <w:lang w:val="uk-UA"/>
        </w:rPr>
        <w:t>_____________________________________________________________________</w:t>
      </w:r>
      <w:bookmarkStart w:id="0" w:name="_GoBack"/>
      <w:bookmarkEnd w:id="0"/>
    </w:p>
    <w:sectPr w:rsidR="00AE13EC" w:rsidRPr="007978A4" w:rsidSect="006E481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80" w:rsidRDefault="00C11C80" w:rsidP="006E4810">
      <w:pPr>
        <w:spacing w:after="0" w:line="240" w:lineRule="auto"/>
      </w:pPr>
      <w:r>
        <w:separator/>
      </w:r>
    </w:p>
  </w:endnote>
  <w:endnote w:type="continuationSeparator" w:id="0">
    <w:p w:rsidR="00C11C80" w:rsidRDefault="00C11C80" w:rsidP="006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80" w:rsidRDefault="00C11C80" w:rsidP="006E4810">
      <w:pPr>
        <w:spacing w:after="0" w:line="240" w:lineRule="auto"/>
      </w:pPr>
      <w:r>
        <w:separator/>
      </w:r>
    </w:p>
  </w:footnote>
  <w:footnote w:type="continuationSeparator" w:id="0">
    <w:p w:rsidR="00C11C80" w:rsidRDefault="00C11C80" w:rsidP="006E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90334"/>
      <w:docPartObj>
        <w:docPartGallery w:val="Page Numbers (Top of Page)"/>
        <w:docPartUnique/>
      </w:docPartObj>
    </w:sdtPr>
    <w:sdtEndPr>
      <w:rPr>
        <w:rFonts w:ascii="Times New Roman" w:hAnsi="Times New Roman" w:cs="Times New Roman"/>
        <w:sz w:val="28"/>
        <w:szCs w:val="28"/>
      </w:rPr>
    </w:sdtEndPr>
    <w:sdtContent>
      <w:p w:rsidR="006E4810" w:rsidRPr="006E4810" w:rsidRDefault="006E4810" w:rsidP="006E4810">
        <w:pPr>
          <w:pStyle w:val="a7"/>
          <w:jc w:val="center"/>
          <w:rPr>
            <w:rFonts w:ascii="Times New Roman" w:hAnsi="Times New Roman" w:cs="Times New Roman"/>
            <w:sz w:val="28"/>
            <w:szCs w:val="28"/>
          </w:rPr>
        </w:pPr>
        <w:r w:rsidRPr="006E4810">
          <w:rPr>
            <w:rFonts w:ascii="Times New Roman" w:hAnsi="Times New Roman" w:cs="Times New Roman"/>
            <w:sz w:val="28"/>
            <w:szCs w:val="28"/>
          </w:rPr>
          <w:fldChar w:fldCharType="begin"/>
        </w:r>
        <w:r w:rsidRPr="006E4810">
          <w:rPr>
            <w:rFonts w:ascii="Times New Roman" w:hAnsi="Times New Roman" w:cs="Times New Roman"/>
            <w:sz w:val="28"/>
            <w:szCs w:val="28"/>
          </w:rPr>
          <w:instrText>PAGE   \* MERGEFORMAT</w:instrText>
        </w:r>
        <w:r w:rsidRPr="006E4810">
          <w:rPr>
            <w:rFonts w:ascii="Times New Roman" w:hAnsi="Times New Roman" w:cs="Times New Roman"/>
            <w:sz w:val="28"/>
            <w:szCs w:val="28"/>
          </w:rPr>
          <w:fldChar w:fldCharType="separate"/>
        </w:r>
        <w:r w:rsidR="007978A4" w:rsidRPr="007978A4">
          <w:rPr>
            <w:rFonts w:ascii="Times New Roman" w:hAnsi="Times New Roman" w:cs="Times New Roman"/>
            <w:noProof/>
            <w:sz w:val="28"/>
            <w:szCs w:val="28"/>
            <w:lang w:val="uk-UA"/>
          </w:rPr>
          <w:t>2</w:t>
        </w:r>
        <w:r w:rsidRPr="006E4810">
          <w:rPr>
            <w:rFonts w:ascii="Times New Roman" w:hAnsi="Times New Roman" w:cs="Times New Roman"/>
            <w:sz w:val="28"/>
            <w:szCs w:val="28"/>
          </w:rPr>
          <w:fldChar w:fldCharType="end"/>
        </w:r>
      </w:p>
    </w:sdtContent>
  </w:sdt>
  <w:p w:rsidR="006E4810" w:rsidRDefault="006E48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26A4"/>
    <w:multiLevelType w:val="hybridMultilevel"/>
    <w:tmpl w:val="91528B70"/>
    <w:lvl w:ilvl="0" w:tplc="EE665B80">
      <w:start w:val="7"/>
      <w:numFmt w:val="bullet"/>
      <w:lvlText w:val="–"/>
      <w:lvlJc w:val="left"/>
      <w:pPr>
        <w:ind w:left="720" w:hanging="360"/>
      </w:pPr>
      <w:rPr>
        <w:rFonts w:ascii="Times New Roman" w:eastAsia="Times New Roman" w:hAnsi="Times New Roman" w:cs="Times New Roman" w:hint="default"/>
      </w:rPr>
    </w:lvl>
    <w:lvl w:ilvl="1" w:tplc="E5A0CD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2"/>
    <w:rsid w:val="00184BE3"/>
    <w:rsid w:val="004B7543"/>
    <w:rsid w:val="006E4810"/>
    <w:rsid w:val="007978A4"/>
    <w:rsid w:val="00AE13EC"/>
    <w:rsid w:val="00C11C80"/>
    <w:rsid w:val="00D747F2"/>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E31D-7F9F-4981-80E0-E2B96373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4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даток пп"/>
    <w:basedOn w:val="a"/>
    <w:link w:val="a4"/>
    <w:qFormat/>
    <w:rsid w:val="00D747F2"/>
    <w:pPr>
      <w:spacing w:before="120" w:after="80" w:line="240" w:lineRule="auto"/>
      <w:ind w:left="1701" w:hanging="284"/>
      <w:jc w:val="both"/>
    </w:pPr>
    <w:rPr>
      <w:rFonts w:ascii="Times New Roman" w:hAnsi="Times New Roman" w:cs="Times New Roman"/>
      <w:sz w:val="28"/>
      <w:szCs w:val="28"/>
      <w:lang w:val="uk-UA"/>
    </w:rPr>
  </w:style>
  <w:style w:type="character" w:customStyle="1" w:styleId="a4">
    <w:name w:val="додаток пп Знак"/>
    <w:basedOn w:val="a0"/>
    <w:link w:val="a3"/>
    <w:rsid w:val="00D747F2"/>
    <w:rPr>
      <w:rFonts w:ascii="Times New Roman" w:hAnsi="Times New Roman" w:cs="Times New Roman"/>
      <w:sz w:val="28"/>
      <w:szCs w:val="28"/>
      <w:lang w:val="uk-UA"/>
    </w:rPr>
  </w:style>
  <w:style w:type="paragraph" w:customStyle="1" w:styleId="a5">
    <w:name w:val="додаток абзац"/>
    <w:basedOn w:val="a3"/>
    <w:link w:val="a6"/>
    <w:qFormat/>
    <w:rsid w:val="00D747F2"/>
    <w:pPr>
      <w:ind w:left="284" w:firstLine="0"/>
    </w:pPr>
  </w:style>
  <w:style w:type="character" w:customStyle="1" w:styleId="a6">
    <w:name w:val="додаток абзац Знак"/>
    <w:basedOn w:val="a4"/>
    <w:link w:val="a5"/>
    <w:rsid w:val="00D747F2"/>
    <w:rPr>
      <w:rFonts w:ascii="Times New Roman" w:hAnsi="Times New Roman" w:cs="Times New Roman"/>
      <w:sz w:val="28"/>
      <w:szCs w:val="28"/>
      <w:lang w:val="uk-UA"/>
    </w:rPr>
  </w:style>
  <w:style w:type="paragraph" w:customStyle="1" w:styleId="11">
    <w:name w:val="Додаток заг 1"/>
    <w:basedOn w:val="1"/>
    <w:next w:val="a5"/>
    <w:link w:val="12"/>
    <w:qFormat/>
    <w:rsid w:val="00D747F2"/>
    <w:pPr>
      <w:spacing w:line="240" w:lineRule="auto"/>
      <w:ind w:left="284" w:hanging="710"/>
      <w:jc w:val="both"/>
    </w:pPr>
    <w:rPr>
      <w:rFonts w:ascii="Times New Roman" w:hAnsi="Times New Roman" w:cs="Times New Roman"/>
      <w:color w:val="000000" w:themeColor="text1"/>
      <w:sz w:val="28"/>
      <w:szCs w:val="28"/>
      <w:lang w:val="uk-UA"/>
    </w:rPr>
  </w:style>
  <w:style w:type="character" w:customStyle="1" w:styleId="12">
    <w:name w:val="Додаток заг 1 Знак"/>
    <w:basedOn w:val="10"/>
    <w:link w:val="11"/>
    <w:rsid w:val="00D747F2"/>
    <w:rPr>
      <w:rFonts w:ascii="Times New Roman" w:eastAsiaTheme="majorEastAsia" w:hAnsi="Times New Roman" w:cs="Times New Roman"/>
      <w:color w:val="000000" w:themeColor="text1"/>
      <w:sz w:val="28"/>
      <w:szCs w:val="28"/>
      <w:lang w:val="uk-UA"/>
    </w:rPr>
  </w:style>
  <w:style w:type="character" w:customStyle="1" w:styleId="10">
    <w:name w:val="Заголовок 1 Знак"/>
    <w:basedOn w:val="a0"/>
    <w:link w:val="1"/>
    <w:uiPriority w:val="9"/>
    <w:rsid w:val="00D747F2"/>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6E481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E4810"/>
  </w:style>
  <w:style w:type="paragraph" w:styleId="a9">
    <w:name w:val="footer"/>
    <w:basedOn w:val="a"/>
    <w:link w:val="aa"/>
    <w:uiPriority w:val="99"/>
    <w:unhideWhenUsed/>
    <w:rsid w:val="006E481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E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3243</Words>
  <Characters>1849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5</cp:revision>
  <dcterms:created xsi:type="dcterms:W3CDTF">2023-04-08T14:18:00Z</dcterms:created>
  <dcterms:modified xsi:type="dcterms:W3CDTF">2023-08-22T11:05:00Z</dcterms:modified>
</cp:coreProperties>
</file>