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000000"/>
        </w:rPr>
      </w:pPr>
      <w:bookmarkStart w:colFirst="0" w:colLast="0" w:name="_heading=h.tyjcwt" w:id="0"/>
      <w:bookmarkEnd w:id="0"/>
      <w:r w:rsidDel="00000000" w:rsidR="00000000" w:rsidRPr="00000000">
        <w:rPr>
          <w:rtl w:val="0"/>
        </w:rPr>
      </w:r>
    </w:p>
    <w:p w:rsidR="00000000" w:rsidDel="00000000" w:rsidP="00000000" w:rsidRDefault="00000000" w:rsidRPr="00000000" w14:paraId="00000002">
      <w:pPr>
        <w:jc w:val="center"/>
        <w:rPr>
          <w:b w:val="1"/>
          <w:color w:val="000000"/>
        </w:rPr>
      </w:pPr>
      <w:bookmarkStart w:colFirst="0" w:colLast="0" w:name="_heading=h.gjdgxs" w:id="2"/>
      <w:bookmarkEnd w:id="2"/>
      <w:r w:rsidDel="00000000" w:rsidR="00000000" w:rsidRPr="00000000">
        <w:rPr>
          <w:rtl w:val="0"/>
        </w:rPr>
        <w:t xml:space="preserve"> </w:t>
      </w:r>
      <w:bookmarkStart w:colFirst="0" w:colLast="0" w:name="bookmark=id.30j0zll" w:id="1"/>
      <w:bookmarkEnd w:id="1"/>
      <w:r w:rsidDel="00000000" w:rsidR="00000000" w:rsidRPr="00000000">
        <w:rPr>
          <w:b w:val="1"/>
          <w:color w:val="000000"/>
          <w:rtl w:val="0"/>
        </w:rPr>
        <w:t xml:space="preserve">Project Manager on Public Administration Reform (Category 1)</w:t>
      </w:r>
    </w:p>
    <w:p w:rsidR="00000000" w:rsidDel="00000000" w:rsidP="00000000" w:rsidRDefault="00000000" w:rsidRPr="00000000" w14:paraId="00000003">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b w:val="1"/>
          <w:color w:val="000000"/>
        </w:rPr>
      </w:pPr>
      <w:r w:rsidDel="00000000" w:rsidR="00000000" w:rsidRPr="00000000">
        <w:rPr>
          <w:b w:val="1"/>
          <w:color w:val="000000"/>
          <w:rtl w:val="0"/>
        </w:rPr>
        <w:t xml:space="preserve">Objective(s) and linkages to Reforms</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1985"/>
        </w:tabs>
        <w:spacing w:after="0" w:line="240" w:lineRule="auto"/>
        <w:jc w:val="both"/>
        <w:rPr>
          <w:color w:val="000000"/>
        </w:rPr>
      </w:pPr>
      <w:r w:rsidDel="00000000" w:rsidR="00000000" w:rsidRPr="00000000">
        <w:rPr>
          <w:color w:val="000000"/>
          <w:rtl w:val="0"/>
        </w:rPr>
        <w:t xml:space="preserve">The Reform Support Team (RST) at the Ministry of Environmental Protection and Natural Resources of Ukraine (MEPNR) is composed of a group of Ukrainian professionals (non-civil servants) funded on a temporary basis by international donors to provide targeted technical support and assist the Ministry in the design and implementation of priority reforms. The RST assists in filling the capacity gaps in the design and implementation of priority reform strategies and programs, while strengthening links and partnerships between the MEPNR’s priorities and relevant donor support.</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1985"/>
        </w:tabs>
        <w:spacing w:after="0" w:line="240" w:lineRule="auto"/>
        <w:jc w:val="both"/>
        <w:rPr>
          <w:color w:val="000000"/>
        </w:rPr>
      </w:pPr>
      <w:bookmarkStart w:colFirst="0" w:colLast="0" w:name="_heading=h.2et92p0" w:id="3"/>
      <w:bookmarkEnd w:id="3"/>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1985"/>
        </w:tabs>
        <w:spacing w:after="0" w:line="240" w:lineRule="auto"/>
        <w:jc w:val="both"/>
        <w:rPr>
          <w:color w:val="000000"/>
        </w:rPr>
      </w:pPr>
      <w:r w:rsidDel="00000000" w:rsidR="00000000" w:rsidRPr="00000000">
        <w:rPr>
          <w:color w:val="000000"/>
          <w:rtl w:val="0"/>
        </w:rPr>
        <w:t xml:space="preserve">The Ministry has made Public Administration Reform one of its priorities and is committed to building a healthy and transparent system that will make Ukraine compliant with international standards. The reform aims to achieve the following objectives:</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1985"/>
        </w:tabs>
        <w:spacing w:after="0" w:line="240" w:lineRule="auto"/>
        <w:jc w:val="both"/>
        <w:rPr>
          <w:color w:val="000000"/>
        </w:rPr>
      </w:pPr>
      <w:r w:rsidDel="00000000" w:rsidR="00000000" w:rsidRPr="00000000">
        <w:rPr>
          <w:color w:val="000000"/>
          <w:rtl w:val="0"/>
        </w:rPr>
        <w:t xml:space="preserve">• Optimize the organisational structure of the Ministry in line with the relevant policy framework established by the Government (Decision of 27 December 2017 </w:t>
      </w:r>
      <w:r w:rsidDel="00000000" w:rsidR="00000000" w:rsidRPr="00000000">
        <w:rPr>
          <w:color w:val="000000"/>
          <w:u w:val="single"/>
          <w:rtl w:val="0"/>
        </w:rPr>
        <w:t xml:space="preserve">"On the Concept of optimisation of central executive bodies"</w:t>
      </w:r>
      <w:r w:rsidDel="00000000" w:rsidR="00000000" w:rsidRPr="00000000">
        <w:rPr>
          <w:color w:val="000000"/>
          <w:rtl w:val="0"/>
        </w:rPr>
        <w:t xml:space="preserve">);</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1985"/>
        </w:tabs>
        <w:spacing w:after="0" w:line="240" w:lineRule="auto"/>
        <w:jc w:val="both"/>
        <w:rPr>
          <w:color w:val="000000"/>
        </w:rPr>
      </w:pPr>
      <w:r w:rsidDel="00000000" w:rsidR="00000000" w:rsidRPr="00000000">
        <w:rPr>
          <w:color w:val="000000"/>
          <w:rtl w:val="0"/>
        </w:rPr>
        <w:t xml:space="preserve">• Assess current HR practices and upgrade procedures and methodologies (recruitment, assessment and trainings, career development, remuneration) in line with the law "On Civil Service" and its secondary legislation;</w:t>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1985"/>
        </w:tabs>
        <w:spacing w:after="0" w:line="240" w:lineRule="auto"/>
        <w:jc w:val="both"/>
        <w:rPr>
          <w:color w:val="000000"/>
        </w:rPr>
      </w:pPr>
      <w:r w:rsidDel="00000000" w:rsidR="00000000" w:rsidRPr="00000000">
        <w:rPr>
          <w:color w:val="000000"/>
          <w:rtl w:val="0"/>
        </w:rPr>
        <w:t xml:space="preserve">• Simplify and improve the efficiency of internal approval and decision-making processes in line with the applicable policy development framework.</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1985"/>
        </w:tabs>
        <w:spacing w:after="0" w:line="240" w:lineRule="auto"/>
        <w:jc w:val="both"/>
        <w:rPr>
          <w:i w:val="1"/>
          <w:color w:val="000000"/>
        </w:rPr>
      </w:pPr>
      <w:r w:rsidDel="00000000" w:rsidR="00000000" w:rsidRPr="00000000">
        <w:rPr>
          <w:rtl w:val="0"/>
        </w:rPr>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b w:val="1"/>
          <w:color w:val="000000"/>
        </w:rPr>
      </w:pPr>
      <w:r w:rsidDel="00000000" w:rsidR="00000000" w:rsidRPr="00000000">
        <w:rPr>
          <w:b w:val="1"/>
          <w:color w:val="000000"/>
          <w:rtl w:val="0"/>
        </w:rPr>
        <w:t xml:space="preserve">Position and Reporting Line</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ind w:left="360" w:firstLine="0"/>
        <w:jc w:val="both"/>
        <w:rPr>
          <w:b w:val="1"/>
          <w:color w:val="00000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1985"/>
        </w:tabs>
        <w:spacing w:after="0" w:line="240" w:lineRule="auto"/>
        <w:jc w:val="both"/>
        <w:rPr>
          <w:color w:val="000000"/>
        </w:rPr>
      </w:pPr>
      <w:r w:rsidDel="00000000" w:rsidR="00000000" w:rsidRPr="00000000">
        <w:rPr>
          <w:color w:val="000000"/>
          <w:rtl w:val="0"/>
        </w:rPr>
        <w:t xml:space="preserve">The Project Manager on PAR will work in close cooperation with MEPNR’s State Secretary. The PAR Project Manager will focus on the development of recommendations regarding optimization of the Ministry’s processes, functions and structure within the framework of Public Administration Reform, as well as other relevant documents in the field, including </w:t>
      </w:r>
      <w:r w:rsidDel="00000000" w:rsidR="00000000" w:rsidRPr="00000000">
        <w:rPr>
          <w:color w:val="000000"/>
          <w:u w:val="single"/>
          <w:rtl w:val="0"/>
        </w:rPr>
        <w:t xml:space="preserve">OECD recommendations</w:t>
      </w:r>
      <w:r w:rsidDel="00000000" w:rsidR="00000000" w:rsidRPr="00000000">
        <w:rPr>
          <w:color w:val="000000"/>
          <w:rtl w:val="0"/>
        </w:rPr>
        <w:t xml:space="preserve">.</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1985"/>
        </w:tabs>
        <w:spacing w:after="0" w:line="240" w:lineRule="auto"/>
        <w:jc w:val="both"/>
        <w:rPr>
          <w:color w:val="000000"/>
        </w:rPr>
      </w:pPr>
      <w:r w:rsidDel="00000000" w:rsidR="00000000" w:rsidRPr="00000000">
        <w:rPr>
          <w:rtl w:val="0"/>
        </w:rPr>
      </w:r>
    </w:p>
    <w:p w:rsidR="00000000" w:rsidDel="00000000" w:rsidP="00000000" w:rsidRDefault="00000000" w:rsidRPr="00000000" w14:paraId="0000000F">
      <w:pPr>
        <w:spacing w:after="0" w:line="240" w:lineRule="auto"/>
        <w:jc w:val="both"/>
        <w:rPr>
          <w:color w:val="000000"/>
        </w:rPr>
      </w:pPr>
      <w:r w:rsidDel="00000000" w:rsidR="00000000" w:rsidRPr="00000000">
        <w:rPr>
          <w:color w:val="000000"/>
          <w:rtl w:val="0"/>
        </w:rPr>
        <w:t xml:space="preserve">The Project Manager will be subordinated to the Director of the RST.</w:t>
      </w:r>
    </w:p>
    <w:p w:rsidR="00000000" w:rsidDel="00000000" w:rsidP="00000000" w:rsidRDefault="00000000" w:rsidRPr="00000000" w14:paraId="00000010">
      <w:pPr>
        <w:spacing w:after="0" w:line="240" w:lineRule="auto"/>
        <w:jc w:val="both"/>
        <w:rPr>
          <w:b w:val="1"/>
          <w:color w:val="000000"/>
        </w:rPr>
      </w:pPr>
      <w:r w:rsidDel="00000000" w:rsidR="00000000" w:rsidRPr="00000000">
        <w:rPr>
          <w:rtl w:val="0"/>
        </w:rPr>
      </w:r>
    </w:p>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b w:val="1"/>
          <w:color w:val="000000"/>
        </w:rPr>
      </w:pPr>
      <w:r w:rsidDel="00000000" w:rsidR="00000000" w:rsidRPr="00000000">
        <w:rPr>
          <w:b w:val="1"/>
          <w:color w:val="000000"/>
          <w:rtl w:val="0"/>
        </w:rPr>
        <w:t xml:space="preserve">Duration and Proposed Timeframe</w:t>
      </w:r>
    </w:p>
    <w:p w:rsidR="00000000" w:rsidDel="00000000" w:rsidP="00000000" w:rsidRDefault="00000000" w:rsidRPr="00000000" w14:paraId="00000012">
      <w:pPr>
        <w:spacing w:after="0" w:line="240" w:lineRule="auto"/>
        <w:jc w:val="both"/>
        <w:rPr>
          <w:color w:val="000000"/>
        </w:rPr>
      </w:pPr>
      <w:r w:rsidDel="00000000" w:rsidR="00000000" w:rsidRPr="00000000">
        <w:rPr>
          <w:rtl w:val="0"/>
        </w:rPr>
      </w:r>
    </w:p>
    <w:p w:rsidR="00000000" w:rsidDel="00000000" w:rsidP="00000000" w:rsidRDefault="00000000" w:rsidRPr="00000000" w14:paraId="00000013">
      <w:pPr>
        <w:spacing w:after="0" w:line="240" w:lineRule="auto"/>
        <w:jc w:val="both"/>
        <w:rPr>
          <w:color w:val="000000"/>
        </w:rPr>
      </w:pPr>
      <w:r w:rsidDel="00000000" w:rsidR="00000000" w:rsidRPr="00000000">
        <w:rPr>
          <w:color w:val="000000"/>
          <w:rtl w:val="0"/>
        </w:rPr>
        <w:t xml:space="preserve">The initial consultancy assignment is expected to start in </w:t>
      </w:r>
      <w:r w:rsidDel="00000000" w:rsidR="00000000" w:rsidRPr="00000000">
        <w:rPr>
          <w:rtl w:val="0"/>
        </w:rPr>
        <w:t xml:space="preserve">October</w:t>
      </w:r>
      <w:r w:rsidDel="00000000" w:rsidR="00000000" w:rsidRPr="00000000">
        <w:rPr>
          <w:color w:val="000000"/>
          <w:rtl w:val="0"/>
        </w:rPr>
        <w:t xml:space="preserve"> 202</w:t>
      </w:r>
      <w:r w:rsidDel="00000000" w:rsidR="00000000" w:rsidRPr="00000000">
        <w:rPr>
          <w:rtl w:val="0"/>
        </w:rPr>
        <w:t xml:space="preserve">3</w:t>
      </w:r>
      <w:r w:rsidDel="00000000" w:rsidR="00000000" w:rsidRPr="00000000">
        <w:rPr>
          <w:color w:val="000000"/>
          <w:rtl w:val="0"/>
        </w:rPr>
        <w:t xml:space="preserve"> and has an estimated duration of 1</w:t>
      </w:r>
      <w:r w:rsidDel="00000000" w:rsidR="00000000" w:rsidRPr="00000000">
        <w:rPr>
          <w:rtl w:val="0"/>
        </w:rPr>
        <w:t xml:space="preserve">2</w:t>
      </w:r>
      <w:r w:rsidDel="00000000" w:rsidR="00000000" w:rsidRPr="00000000">
        <w:rPr>
          <w:color w:val="000000"/>
          <w:rtl w:val="0"/>
        </w:rPr>
        <w:t xml:space="preserve"> months. This assignment has an opportunity for extension, subject to the donors funding availability, the consultant’s performance, </w:t>
      </w:r>
      <w:r w:rsidDel="00000000" w:rsidR="00000000" w:rsidRPr="00000000">
        <w:rPr>
          <w:rtl w:val="0"/>
        </w:rPr>
        <w:t xml:space="preserve">and the specific needs of the RST</w:t>
      </w:r>
      <w:r w:rsidDel="00000000" w:rsidR="00000000" w:rsidRPr="00000000">
        <w:rPr>
          <w:color w:val="000000"/>
          <w:rtl w:val="0"/>
        </w:rPr>
        <w:t xml:space="preserve">.</w:t>
      </w:r>
    </w:p>
    <w:p w:rsidR="00000000" w:rsidDel="00000000" w:rsidP="00000000" w:rsidRDefault="00000000" w:rsidRPr="00000000" w14:paraId="00000014">
      <w:pPr>
        <w:spacing w:after="0" w:line="240" w:lineRule="auto"/>
        <w:jc w:val="both"/>
        <w:rPr>
          <w:color w:val="000000"/>
        </w:rPr>
      </w:pPr>
      <w:r w:rsidDel="00000000" w:rsidR="00000000" w:rsidRPr="00000000">
        <w:rPr>
          <w:rtl w:val="0"/>
        </w:rPr>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b w:val="1"/>
          <w:color w:val="000000"/>
        </w:rPr>
      </w:pPr>
      <w:bookmarkStart w:colFirst="0" w:colLast="0" w:name="_heading=h.1fob9te" w:id="4"/>
      <w:bookmarkEnd w:id="4"/>
      <w:r w:rsidDel="00000000" w:rsidR="00000000" w:rsidRPr="00000000">
        <w:rPr>
          <w:b w:val="1"/>
          <w:color w:val="000000"/>
          <w:rtl w:val="0"/>
        </w:rPr>
        <w:t xml:space="preserve">Main Duties</w:t>
      </w:r>
      <w:r w:rsidDel="00000000" w:rsidR="00000000" w:rsidRPr="00000000">
        <w:rPr>
          <w:b w:val="1"/>
          <w:rtl w:val="0"/>
        </w:rPr>
        <w:t xml:space="preserve"> and</w:t>
      </w:r>
      <w:r w:rsidDel="00000000" w:rsidR="00000000" w:rsidRPr="00000000">
        <w:rPr>
          <w:b w:val="1"/>
          <w:color w:val="000000"/>
          <w:rtl w:val="0"/>
        </w:rPr>
        <w:t xml:space="preserve"> Responsibilities </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1985"/>
        </w:tabs>
        <w:spacing w:after="0" w:line="24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17">
      <w:pPr>
        <w:numPr>
          <w:ilvl w:val="0"/>
          <w:numId w:val="4"/>
        </w:numPr>
        <w:pBdr>
          <w:top w:space="0" w:sz="0" w:val="nil"/>
          <w:left w:space="0" w:sz="0" w:val="nil"/>
          <w:bottom w:space="0" w:sz="0" w:val="nil"/>
          <w:right w:space="0" w:sz="0" w:val="nil"/>
          <w:between w:space="0" w:sz="0" w:val="nil"/>
        </w:pBdr>
        <w:tabs>
          <w:tab w:val="left" w:leader="none" w:pos="1985"/>
        </w:tabs>
        <w:spacing w:after="0" w:line="240" w:lineRule="auto"/>
        <w:ind w:left="720" w:hanging="360"/>
        <w:jc w:val="both"/>
        <w:rPr>
          <w:color w:val="000000"/>
        </w:rPr>
      </w:pPr>
      <w:r w:rsidDel="00000000" w:rsidR="00000000" w:rsidRPr="00000000">
        <w:rPr>
          <w:color w:val="000000"/>
          <w:rtl w:val="0"/>
        </w:rPr>
        <w:t xml:space="preserve">support and coordination of PAR process in the Ministry together with the State Secretary and Ministry staff and central executive bodies that are subordinated to the Ministry;</w:t>
      </w:r>
    </w:p>
    <w:p w:rsidR="00000000" w:rsidDel="00000000" w:rsidP="00000000" w:rsidRDefault="00000000" w:rsidRPr="00000000" w14:paraId="00000018">
      <w:pPr>
        <w:numPr>
          <w:ilvl w:val="0"/>
          <w:numId w:val="4"/>
        </w:numPr>
        <w:pBdr>
          <w:top w:space="0" w:sz="0" w:val="nil"/>
          <w:left w:space="0" w:sz="0" w:val="nil"/>
          <w:bottom w:space="0" w:sz="0" w:val="nil"/>
          <w:right w:space="0" w:sz="0" w:val="nil"/>
          <w:between w:space="0" w:sz="0" w:val="nil"/>
        </w:pBdr>
        <w:tabs>
          <w:tab w:val="left" w:leader="none" w:pos="1985"/>
        </w:tabs>
        <w:spacing w:after="0" w:line="240" w:lineRule="auto"/>
        <w:ind w:left="720" w:hanging="360"/>
        <w:jc w:val="both"/>
        <w:rPr/>
      </w:pPr>
      <w:r w:rsidDel="00000000" w:rsidR="00000000" w:rsidRPr="00000000">
        <w:rPr>
          <w:color w:val="000000"/>
          <w:rtl w:val="0"/>
        </w:rPr>
        <w:t xml:space="preserve">communication and coordination with leadership of the Ministry and donor community, as well as other stakeholders on the PAR process in the Ministry;</w:t>
      </w:r>
      <w:r w:rsidDel="00000000" w:rsidR="00000000" w:rsidRPr="00000000">
        <w:rPr>
          <w:rtl w:val="0"/>
        </w:rPr>
      </w:r>
    </w:p>
    <w:p w:rsidR="00000000" w:rsidDel="00000000" w:rsidP="00000000" w:rsidRDefault="00000000" w:rsidRPr="00000000" w14:paraId="00000019">
      <w:pPr>
        <w:numPr>
          <w:ilvl w:val="0"/>
          <w:numId w:val="4"/>
        </w:numPr>
        <w:pBdr>
          <w:top w:space="0" w:sz="0" w:val="nil"/>
          <w:left w:space="0" w:sz="0" w:val="nil"/>
          <w:bottom w:space="0" w:sz="0" w:val="nil"/>
          <w:right w:space="0" w:sz="0" w:val="nil"/>
          <w:between w:space="0" w:sz="0" w:val="nil"/>
        </w:pBdr>
        <w:tabs>
          <w:tab w:val="left" w:leader="none" w:pos="1985"/>
        </w:tabs>
        <w:spacing w:after="0" w:line="240" w:lineRule="auto"/>
        <w:ind w:left="720" w:hanging="360"/>
        <w:jc w:val="both"/>
        <w:rPr/>
      </w:pPr>
      <w:r w:rsidDel="00000000" w:rsidR="00000000" w:rsidRPr="00000000">
        <w:rPr>
          <w:color w:val="000000"/>
          <w:rtl w:val="0"/>
        </w:rPr>
        <w:t xml:space="preserve">analytical support to the Ministry in the preparation of bylaws to comply with the Law on Administrative Procedure; </w:t>
      </w:r>
      <w:r w:rsidDel="00000000" w:rsidR="00000000" w:rsidRPr="00000000">
        <w:rPr>
          <w:rtl w:val="0"/>
        </w:rPr>
      </w:r>
    </w:p>
    <w:p w:rsidR="00000000" w:rsidDel="00000000" w:rsidP="00000000" w:rsidRDefault="00000000" w:rsidRPr="00000000" w14:paraId="0000001A">
      <w:pPr>
        <w:numPr>
          <w:ilvl w:val="0"/>
          <w:numId w:val="4"/>
        </w:numPr>
        <w:pBdr>
          <w:top w:space="0" w:sz="0" w:val="nil"/>
          <w:left w:space="0" w:sz="0" w:val="nil"/>
          <w:bottom w:space="0" w:sz="0" w:val="nil"/>
          <w:right w:space="0" w:sz="0" w:val="nil"/>
          <w:between w:space="0" w:sz="0" w:val="nil"/>
        </w:pBdr>
        <w:tabs>
          <w:tab w:val="left" w:leader="none" w:pos="1985"/>
        </w:tabs>
        <w:spacing w:after="0" w:line="240" w:lineRule="auto"/>
        <w:ind w:left="720" w:hanging="360"/>
        <w:jc w:val="both"/>
        <w:rPr>
          <w:color w:val="000000"/>
        </w:rPr>
      </w:pPr>
      <w:r w:rsidDel="00000000" w:rsidR="00000000" w:rsidRPr="00000000">
        <w:rPr>
          <w:color w:val="000000"/>
          <w:rtl w:val="0"/>
        </w:rPr>
        <w:t xml:space="preserve">support to the Ministry on the development of strategic, annual plans of the Ministry and central executive bodies that are subordinated to the Ministry, monitoring the implementation of these strategies and plans;</w:t>
      </w:r>
    </w:p>
    <w:p w:rsidR="00000000" w:rsidDel="00000000" w:rsidP="00000000" w:rsidRDefault="00000000" w:rsidRPr="00000000" w14:paraId="0000001B">
      <w:pPr>
        <w:numPr>
          <w:ilvl w:val="0"/>
          <w:numId w:val="4"/>
        </w:numPr>
        <w:pBdr>
          <w:top w:space="0" w:sz="0" w:val="nil"/>
          <w:left w:space="0" w:sz="0" w:val="nil"/>
          <w:bottom w:space="0" w:sz="0" w:val="nil"/>
          <w:right w:space="0" w:sz="0" w:val="nil"/>
          <w:between w:space="0" w:sz="0" w:val="nil"/>
        </w:pBdr>
        <w:tabs>
          <w:tab w:val="left" w:leader="none" w:pos="1985"/>
        </w:tabs>
        <w:spacing w:after="0" w:line="240" w:lineRule="auto"/>
        <w:ind w:left="720" w:hanging="360"/>
        <w:jc w:val="both"/>
        <w:rPr>
          <w:color w:val="000000"/>
        </w:rPr>
      </w:pPr>
      <w:r w:rsidDel="00000000" w:rsidR="00000000" w:rsidRPr="00000000">
        <w:rPr>
          <w:color w:val="000000"/>
          <w:rtl w:val="0"/>
        </w:rPr>
        <w:t xml:space="preserve">data and information gathering, data integration and analysis related to PAR;</w:t>
      </w:r>
    </w:p>
    <w:p w:rsidR="00000000" w:rsidDel="00000000" w:rsidP="00000000" w:rsidRDefault="00000000" w:rsidRPr="00000000" w14:paraId="0000001C">
      <w:pPr>
        <w:numPr>
          <w:ilvl w:val="0"/>
          <w:numId w:val="4"/>
        </w:numPr>
        <w:pBdr>
          <w:top w:space="0" w:sz="0" w:val="nil"/>
          <w:left w:space="0" w:sz="0" w:val="nil"/>
          <w:bottom w:space="0" w:sz="0" w:val="nil"/>
          <w:right w:space="0" w:sz="0" w:val="nil"/>
          <w:between w:space="0" w:sz="0" w:val="nil"/>
        </w:pBdr>
        <w:tabs>
          <w:tab w:val="left" w:leader="none" w:pos="1985"/>
        </w:tabs>
        <w:spacing w:after="0" w:line="240" w:lineRule="auto"/>
        <w:ind w:left="720" w:hanging="360"/>
        <w:jc w:val="both"/>
        <w:rPr>
          <w:color w:val="000000"/>
        </w:rPr>
      </w:pPr>
      <w:bookmarkStart w:colFirst="0" w:colLast="0" w:name="_heading=h.3znysh7" w:id="5"/>
      <w:bookmarkEnd w:id="5"/>
      <w:r w:rsidDel="00000000" w:rsidR="00000000" w:rsidRPr="00000000">
        <w:rPr>
          <w:color w:val="000000"/>
          <w:rtl w:val="0"/>
        </w:rPr>
        <w:t xml:space="preserve">drafting of evidence-based policy and legal reform proposals in compliance with OECD standards;</w:t>
      </w:r>
    </w:p>
    <w:p w:rsidR="00000000" w:rsidDel="00000000" w:rsidP="00000000" w:rsidRDefault="00000000" w:rsidRPr="00000000" w14:paraId="0000001D">
      <w:pPr>
        <w:numPr>
          <w:ilvl w:val="0"/>
          <w:numId w:val="4"/>
        </w:numPr>
        <w:pBdr>
          <w:top w:space="0" w:sz="0" w:val="nil"/>
          <w:left w:space="0" w:sz="0" w:val="nil"/>
          <w:bottom w:space="0" w:sz="0" w:val="nil"/>
          <w:right w:space="0" w:sz="0" w:val="nil"/>
          <w:between w:space="0" w:sz="0" w:val="nil"/>
        </w:pBdr>
        <w:tabs>
          <w:tab w:val="left" w:leader="none" w:pos="1985"/>
        </w:tabs>
        <w:spacing w:after="0" w:line="240" w:lineRule="auto"/>
        <w:ind w:left="720" w:hanging="360"/>
        <w:jc w:val="both"/>
        <w:rPr>
          <w:color w:val="000000"/>
        </w:rPr>
      </w:pPr>
      <w:r w:rsidDel="00000000" w:rsidR="00000000" w:rsidRPr="00000000">
        <w:rPr>
          <w:color w:val="000000"/>
          <w:rtl w:val="0"/>
        </w:rPr>
        <w:t xml:space="preserve">support to training and capacity building within the Ministry and the RST;</w:t>
      </w:r>
    </w:p>
    <w:p w:rsidR="00000000" w:rsidDel="00000000" w:rsidP="00000000" w:rsidRDefault="00000000" w:rsidRPr="00000000" w14:paraId="0000001E">
      <w:pPr>
        <w:numPr>
          <w:ilvl w:val="0"/>
          <w:numId w:val="4"/>
        </w:numPr>
        <w:pBdr>
          <w:top w:space="0" w:sz="0" w:val="nil"/>
          <w:left w:space="0" w:sz="0" w:val="nil"/>
          <w:bottom w:space="0" w:sz="0" w:val="nil"/>
          <w:right w:space="0" w:sz="0" w:val="nil"/>
          <w:between w:space="0" w:sz="0" w:val="nil"/>
        </w:pBdr>
        <w:tabs>
          <w:tab w:val="left" w:leader="none" w:pos="1985"/>
        </w:tabs>
        <w:spacing w:after="0" w:line="240" w:lineRule="auto"/>
        <w:ind w:left="720" w:hanging="360"/>
        <w:jc w:val="both"/>
        <w:rPr>
          <w:color w:val="000000"/>
        </w:rPr>
      </w:pPr>
      <w:r w:rsidDel="00000000" w:rsidR="00000000" w:rsidRPr="00000000">
        <w:rPr>
          <w:color w:val="000000"/>
          <w:rtl w:val="0"/>
        </w:rPr>
        <w:t xml:space="preserve">organizational support to the RST in the area of PAR, including but not limited to  events, round tables, conferences and forums to engage stakeholders on key reform themes and policy proposals;</w:t>
      </w:r>
    </w:p>
    <w:p w:rsidR="00000000" w:rsidDel="00000000" w:rsidP="00000000" w:rsidRDefault="00000000" w:rsidRPr="00000000" w14:paraId="0000001F">
      <w:pPr>
        <w:numPr>
          <w:ilvl w:val="0"/>
          <w:numId w:val="4"/>
        </w:numPr>
        <w:pBdr>
          <w:top w:space="0" w:sz="0" w:val="nil"/>
          <w:left w:space="0" w:sz="0" w:val="nil"/>
          <w:bottom w:space="0" w:sz="0" w:val="nil"/>
          <w:right w:space="0" w:sz="0" w:val="nil"/>
          <w:between w:space="0" w:sz="0" w:val="nil"/>
        </w:pBdr>
        <w:tabs>
          <w:tab w:val="left" w:leader="none" w:pos="1985"/>
        </w:tabs>
        <w:spacing w:after="0" w:line="240" w:lineRule="auto"/>
        <w:ind w:left="720" w:hanging="360"/>
        <w:jc w:val="both"/>
        <w:rPr>
          <w:color w:val="000000"/>
        </w:rPr>
      </w:pPr>
      <w:r w:rsidDel="00000000" w:rsidR="00000000" w:rsidRPr="00000000">
        <w:rPr>
          <w:color w:val="000000"/>
          <w:rtl w:val="0"/>
        </w:rPr>
        <w:t xml:space="preserve">preparation of timely and quality reports and status updates on implementation progress in the area of PAR;</w:t>
      </w:r>
    </w:p>
    <w:p w:rsidR="00000000" w:rsidDel="00000000" w:rsidP="00000000" w:rsidRDefault="00000000" w:rsidRPr="00000000" w14:paraId="00000020">
      <w:pPr>
        <w:numPr>
          <w:ilvl w:val="0"/>
          <w:numId w:val="4"/>
        </w:numPr>
        <w:pBdr>
          <w:top w:space="0" w:sz="0" w:val="nil"/>
          <w:left w:space="0" w:sz="0" w:val="nil"/>
          <w:bottom w:space="0" w:sz="0" w:val="nil"/>
          <w:right w:space="0" w:sz="0" w:val="nil"/>
          <w:between w:space="0" w:sz="0" w:val="nil"/>
        </w:pBdr>
        <w:tabs>
          <w:tab w:val="left" w:leader="none" w:pos="1985"/>
        </w:tabs>
        <w:spacing w:after="0" w:line="240" w:lineRule="auto"/>
        <w:ind w:left="720" w:hanging="360"/>
        <w:jc w:val="both"/>
        <w:rPr/>
      </w:pPr>
      <w:r w:rsidDel="00000000" w:rsidR="00000000" w:rsidRPr="00000000">
        <w:rPr>
          <w:color w:val="000000"/>
          <w:rtl w:val="0"/>
        </w:rPr>
        <w:t xml:space="preserve">preparation of slides for presentations, infographics on the reform implementation progress;</w:t>
      </w:r>
      <w:r w:rsidDel="00000000" w:rsidR="00000000" w:rsidRPr="00000000">
        <w:rPr>
          <w:rtl w:val="0"/>
        </w:rPr>
      </w:r>
    </w:p>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tabs>
          <w:tab w:val="left" w:leader="none" w:pos="1985"/>
        </w:tabs>
        <w:spacing w:after="0" w:line="240" w:lineRule="auto"/>
        <w:ind w:left="720" w:hanging="360"/>
        <w:jc w:val="both"/>
        <w:rPr/>
      </w:pPr>
      <w:r w:rsidDel="00000000" w:rsidR="00000000" w:rsidRPr="00000000">
        <w:rPr>
          <w:color w:val="000000"/>
          <w:rtl w:val="0"/>
        </w:rPr>
        <w:t xml:space="preserve">providing English-Ukrainian translation support (upon request).</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1985"/>
        </w:tabs>
        <w:spacing w:after="0" w:line="240" w:lineRule="auto"/>
        <w:ind w:left="720" w:firstLine="0"/>
        <w:jc w:val="both"/>
        <w:rPr>
          <w:color w:val="000000"/>
        </w:rPr>
      </w:pPr>
      <w:r w:rsidDel="00000000" w:rsidR="00000000" w:rsidRPr="00000000">
        <w:rPr>
          <w:rtl w:val="0"/>
        </w:rPr>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b w:val="1"/>
          <w:color w:val="000000"/>
        </w:rPr>
      </w:pPr>
      <w:r w:rsidDel="00000000" w:rsidR="00000000" w:rsidRPr="00000000">
        <w:rPr>
          <w:b w:val="1"/>
          <w:color w:val="000000"/>
          <w:rtl w:val="0"/>
        </w:rPr>
        <w:t xml:space="preserve">Qualifications, Skills and Experience</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ind w:left="360" w:firstLine="0"/>
        <w:jc w:val="both"/>
        <w:rPr>
          <w:b w:val="1"/>
          <w:color w:val="000000"/>
        </w:rPr>
      </w:pPr>
      <w:r w:rsidDel="00000000" w:rsidR="00000000" w:rsidRPr="00000000">
        <w:rPr>
          <w:rtl w:val="0"/>
        </w:rPr>
      </w:r>
    </w:p>
    <w:p w:rsidR="00000000" w:rsidDel="00000000" w:rsidP="00000000" w:rsidRDefault="00000000" w:rsidRPr="00000000" w14:paraId="00000025">
      <w:pPr>
        <w:numPr>
          <w:ilvl w:val="1"/>
          <w:numId w:val="1"/>
        </w:numPr>
        <w:pBdr>
          <w:top w:space="0" w:sz="0" w:val="nil"/>
          <w:left w:space="0" w:sz="0" w:val="nil"/>
          <w:bottom w:space="0" w:sz="0" w:val="nil"/>
          <w:right w:space="0" w:sz="0" w:val="nil"/>
          <w:between w:space="0" w:sz="0" w:val="nil"/>
        </w:pBdr>
        <w:spacing w:after="0" w:line="240" w:lineRule="auto"/>
        <w:ind w:left="360" w:hanging="360"/>
        <w:jc w:val="both"/>
        <w:rPr>
          <w:color w:val="000000"/>
        </w:rPr>
      </w:pPr>
      <w:r w:rsidDel="00000000" w:rsidR="00000000" w:rsidRPr="00000000">
        <w:rPr>
          <w:b w:val="1"/>
          <w:i w:val="1"/>
          <w:color w:val="000000"/>
          <w:rtl w:val="0"/>
        </w:rPr>
        <w:t xml:space="preserve">Qualifications and Skills</w:t>
      </w:r>
      <w:r w:rsidDel="00000000" w:rsidR="00000000" w:rsidRPr="00000000">
        <w:rPr>
          <w:color w:val="000000"/>
          <w:rtl w:val="0"/>
        </w:rPr>
        <w:t xml:space="preserve">:</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pacing w:after="0" w:line="240" w:lineRule="auto"/>
        <w:ind w:left="1080" w:hanging="360"/>
        <w:jc w:val="both"/>
        <w:rPr>
          <w:color w:val="000000"/>
        </w:rPr>
      </w:pPr>
      <w:r w:rsidDel="00000000" w:rsidR="00000000" w:rsidRPr="00000000">
        <w:rPr>
          <w:color w:val="000000"/>
          <w:rtl w:val="0"/>
        </w:rPr>
        <w:t xml:space="preserve">Master’s degree in Public Administration</w:t>
      </w:r>
      <w:r w:rsidDel="00000000" w:rsidR="00000000" w:rsidRPr="00000000">
        <w:rPr>
          <w:rtl w:val="0"/>
        </w:rPr>
        <w:t xml:space="preserve"> /</w:t>
      </w:r>
      <w:r w:rsidDel="00000000" w:rsidR="00000000" w:rsidRPr="00000000">
        <w:rPr>
          <w:color w:val="000000"/>
          <w:rtl w:val="0"/>
        </w:rPr>
        <w:t xml:space="preserve"> Economics</w:t>
      </w:r>
      <w:r w:rsidDel="00000000" w:rsidR="00000000" w:rsidRPr="00000000">
        <w:rPr>
          <w:rtl w:val="0"/>
        </w:rPr>
        <w:t xml:space="preserve"> /</w:t>
      </w:r>
      <w:r w:rsidDel="00000000" w:rsidR="00000000" w:rsidRPr="00000000">
        <w:rPr>
          <w:color w:val="000000"/>
          <w:rtl w:val="0"/>
        </w:rPr>
        <w:t xml:space="preserve"> Law</w:t>
      </w:r>
      <w:r w:rsidDel="00000000" w:rsidR="00000000" w:rsidRPr="00000000">
        <w:rPr>
          <w:rtl w:val="0"/>
        </w:rPr>
        <w:t xml:space="preserve"> /</w:t>
      </w:r>
      <w:r w:rsidDel="00000000" w:rsidR="00000000" w:rsidRPr="00000000">
        <w:rPr>
          <w:color w:val="000000"/>
          <w:rtl w:val="0"/>
        </w:rPr>
        <w:t xml:space="preserve"> Business Administration Management</w:t>
      </w:r>
      <w:r w:rsidDel="00000000" w:rsidR="00000000" w:rsidRPr="00000000">
        <w:rPr>
          <w:rtl w:val="0"/>
        </w:rPr>
        <w:t xml:space="preserve"> /</w:t>
      </w:r>
      <w:r w:rsidDel="00000000" w:rsidR="00000000" w:rsidRPr="00000000">
        <w:rPr>
          <w:color w:val="000000"/>
          <w:rtl w:val="0"/>
        </w:rPr>
        <w:t xml:space="preserve"> International Relations</w:t>
      </w:r>
      <w:r w:rsidDel="00000000" w:rsidR="00000000" w:rsidRPr="00000000">
        <w:rPr>
          <w:rtl w:val="0"/>
        </w:rPr>
        <w:t xml:space="preserve"> /</w:t>
      </w:r>
      <w:r w:rsidDel="00000000" w:rsidR="00000000" w:rsidRPr="00000000">
        <w:rPr>
          <w:color w:val="000000"/>
          <w:rtl w:val="0"/>
        </w:rPr>
        <w:t xml:space="preserve"> Psychology </w:t>
      </w:r>
      <w:r w:rsidDel="00000000" w:rsidR="00000000" w:rsidRPr="00000000">
        <w:rPr>
          <w:rtl w:val="0"/>
        </w:rPr>
        <w:t xml:space="preserve">/ </w:t>
      </w:r>
      <w:r w:rsidDel="00000000" w:rsidR="00000000" w:rsidRPr="00000000">
        <w:rPr>
          <w:color w:val="000000"/>
          <w:rtl w:val="0"/>
        </w:rPr>
        <w:t xml:space="preserve">Philosophy, or another relevant field. </w:t>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spacing w:after="0" w:line="240" w:lineRule="auto"/>
        <w:ind w:left="1080" w:hanging="360"/>
        <w:jc w:val="both"/>
        <w:rPr>
          <w:color w:val="000000"/>
        </w:rPr>
      </w:pPr>
      <w:r w:rsidDel="00000000" w:rsidR="00000000" w:rsidRPr="00000000">
        <w:rPr>
          <w:color w:val="000000"/>
          <w:rtl w:val="0"/>
        </w:rPr>
        <w:t xml:space="preserve">Experience in high-level negotiations, </w:t>
      </w:r>
      <w:r w:rsidDel="00000000" w:rsidR="00000000" w:rsidRPr="00000000">
        <w:rPr>
          <w:rtl w:val="0"/>
        </w:rPr>
        <w:t xml:space="preserve">excellent communication</w:t>
      </w:r>
      <w:r w:rsidDel="00000000" w:rsidR="00000000" w:rsidRPr="00000000">
        <w:rPr>
          <w:color w:val="000000"/>
          <w:rtl w:val="0"/>
        </w:rPr>
        <w:t xml:space="preserve"> and presentation skills.</w:t>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pacing w:after="0" w:line="240" w:lineRule="auto"/>
        <w:ind w:left="1080" w:hanging="360"/>
        <w:jc w:val="both"/>
        <w:rPr>
          <w:color w:val="000000"/>
        </w:rPr>
      </w:pPr>
      <w:r w:rsidDel="00000000" w:rsidR="00000000" w:rsidRPr="00000000">
        <w:rPr>
          <w:color w:val="000000"/>
          <w:rtl w:val="0"/>
        </w:rPr>
        <w:t xml:space="preserve">Proven ability to lead a team of experts in donor-funded, business or public organizations.</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pacing w:after="0" w:line="240" w:lineRule="auto"/>
        <w:ind w:left="1080" w:hanging="360"/>
        <w:jc w:val="both"/>
        <w:rPr>
          <w:color w:val="000000"/>
        </w:rPr>
      </w:pPr>
      <w:r w:rsidDel="00000000" w:rsidR="00000000" w:rsidRPr="00000000">
        <w:rPr>
          <w:color w:val="000000"/>
          <w:rtl w:val="0"/>
        </w:rPr>
        <w:t xml:space="preserve">Strong analytical skills with the ability to interpret complex legal, commercial and financial information.</w:t>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spacing w:after="0" w:line="240" w:lineRule="auto"/>
        <w:ind w:left="1080" w:hanging="360"/>
        <w:jc w:val="both"/>
        <w:rPr>
          <w:color w:val="000000"/>
        </w:rPr>
      </w:pPr>
      <w:r w:rsidDel="00000000" w:rsidR="00000000" w:rsidRPr="00000000">
        <w:rPr>
          <w:color w:val="000000"/>
          <w:rtl w:val="0"/>
        </w:rPr>
        <w:t xml:space="preserve">Certifications and/or diplomas in the field of public administration is an asset.</w:t>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after="0" w:line="240" w:lineRule="auto"/>
        <w:ind w:left="1080" w:hanging="360"/>
        <w:jc w:val="both"/>
        <w:rPr>
          <w:color w:val="000000"/>
        </w:rPr>
      </w:pPr>
      <w:r w:rsidDel="00000000" w:rsidR="00000000" w:rsidRPr="00000000">
        <w:rPr>
          <w:color w:val="000000"/>
          <w:rtl w:val="0"/>
        </w:rPr>
        <w:t xml:space="preserve">Impeccable ethical standards</w:t>
      </w:r>
      <w:r w:rsidDel="00000000" w:rsidR="00000000" w:rsidRPr="00000000">
        <w:rPr>
          <w:rtl w:val="0"/>
        </w:rPr>
        <w:t xml:space="preserve">, great interpersonal and intercultural skills, capacity for assuming leadership, ability to work under pressure and meet tight deadlines.</w:t>
      </w:r>
      <w:r w:rsidDel="00000000" w:rsidR="00000000" w:rsidRPr="00000000">
        <w:rPr>
          <w:rtl w:val="0"/>
        </w:rPr>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pacing w:after="0" w:line="240" w:lineRule="auto"/>
        <w:ind w:left="1080" w:hanging="360"/>
        <w:jc w:val="both"/>
        <w:rPr>
          <w:color w:val="000000"/>
        </w:rPr>
      </w:pPr>
      <w:r w:rsidDel="00000000" w:rsidR="00000000" w:rsidRPr="00000000">
        <w:rPr>
          <w:color w:val="000000"/>
          <w:rtl w:val="0"/>
        </w:rPr>
        <w:t xml:space="preserve">Fluency in Ukrainian and English.</w:t>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pacing w:after="0" w:line="240" w:lineRule="auto"/>
        <w:ind w:left="1080" w:hanging="360"/>
        <w:jc w:val="both"/>
        <w:rPr>
          <w:color w:val="000000"/>
        </w:rPr>
      </w:pPr>
      <w:r w:rsidDel="00000000" w:rsidR="00000000" w:rsidRPr="00000000">
        <w:rPr>
          <w:color w:val="000000"/>
          <w:rtl w:val="0"/>
        </w:rPr>
        <w:t xml:space="preserve">PC literacy. </w:t>
      </w:r>
    </w:p>
    <w:p w:rsidR="00000000" w:rsidDel="00000000" w:rsidP="00000000" w:rsidRDefault="00000000" w:rsidRPr="00000000" w14:paraId="0000002E">
      <w:pPr>
        <w:spacing w:after="0" w:line="240" w:lineRule="auto"/>
        <w:ind w:left="720" w:firstLine="0"/>
        <w:jc w:val="both"/>
        <w:rPr>
          <w:color w:val="000000"/>
        </w:rPr>
      </w:pPr>
      <w:r w:rsidDel="00000000" w:rsidR="00000000" w:rsidRPr="00000000">
        <w:rPr>
          <w:rtl w:val="0"/>
        </w:rPr>
      </w:r>
    </w:p>
    <w:p w:rsidR="00000000" w:rsidDel="00000000" w:rsidP="00000000" w:rsidRDefault="00000000" w:rsidRPr="00000000" w14:paraId="0000002F">
      <w:pPr>
        <w:numPr>
          <w:ilvl w:val="1"/>
          <w:numId w:val="1"/>
        </w:numPr>
        <w:pBdr>
          <w:top w:space="0" w:sz="0" w:val="nil"/>
          <w:left w:space="0" w:sz="0" w:val="nil"/>
          <w:bottom w:space="0" w:sz="0" w:val="nil"/>
          <w:right w:space="0" w:sz="0" w:val="nil"/>
          <w:between w:space="0" w:sz="0" w:val="nil"/>
        </w:pBdr>
        <w:spacing w:after="0" w:line="240" w:lineRule="auto"/>
        <w:ind w:left="360" w:hanging="360"/>
        <w:jc w:val="both"/>
        <w:rPr>
          <w:color w:val="000000"/>
        </w:rPr>
      </w:pPr>
      <w:r w:rsidDel="00000000" w:rsidR="00000000" w:rsidRPr="00000000">
        <w:rPr>
          <w:b w:val="1"/>
          <w:i w:val="1"/>
          <w:color w:val="000000"/>
          <w:rtl w:val="0"/>
        </w:rPr>
        <w:t xml:space="preserve">Professional Experience:</w:t>
      </w:r>
      <w:r w:rsidDel="00000000" w:rsidR="00000000" w:rsidRPr="00000000">
        <w:rPr>
          <w:rtl w:val="0"/>
        </w:rPr>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tabs>
          <w:tab w:val="left" w:leader="none" w:pos="1985"/>
        </w:tabs>
        <w:spacing w:after="0" w:line="240" w:lineRule="auto"/>
        <w:ind w:left="1080" w:hanging="360"/>
        <w:jc w:val="both"/>
        <w:rPr>
          <w:color w:val="000000"/>
        </w:rPr>
      </w:pPr>
      <w:r w:rsidDel="00000000" w:rsidR="00000000" w:rsidRPr="00000000">
        <w:rPr>
          <w:color w:val="000000"/>
          <w:rtl w:val="0"/>
        </w:rPr>
        <w:t xml:space="preserve">At least </w:t>
      </w:r>
      <w:r w:rsidDel="00000000" w:rsidR="00000000" w:rsidRPr="00000000">
        <w:rPr>
          <w:rtl w:val="0"/>
        </w:rPr>
        <w:t xml:space="preserve">7</w:t>
      </w:r>
      <w:r w:rsidDel="00000000" w:rsidR="00000000" w:rsidRPr="00000000">
        <w:rPr>
          <w:color w:val="000000"/>
          <w:rtl w:val="0"/>
        </w:rPr>
        <w:t xml:space="preserve"> years of general postgraduate professional experience.</w:t>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spacing w:after="0" w:line="240" w:lineRule="auto"/>
        <w:ind w:left="1080" w:hanging="360"/>
        <w:jc w:val="both"/>
        <w:rPr>
          <w:color w:val="000000"/>
        </w:rPr>
      </w:pPr>
      <w:r w:rsidDel="00000000" w:rsidR="00000000" w:rsidRPr="00000000">
        <w:rPr>
          <w:color w:val="000000"/>
          <w:rtl w:val="0"/>
        </w:rPr>
        <w:t xml:space="preserve">5 years of experience in </w:t>
      </w:r>
      <w:r w:rsidDel="00000000" w:rsidR="00000000" w:rsidRPr="00000000">
        <w:rPr>
          <w:rtl w:val="0"/>
        </w:rPr>
        <w:t xml:space="preserve">a relevant field (</w:t>
      </w:r>
      <w:r w:rsidDel="00000000" w:rsidR="00000000" w:rsidRPr="00000000">
        <w:rPr>
          <w:color w:val="000000"/>
          <w:rtl w:val="0"/>
        </w:rPr>
        <w:t xml:space="preserve">project management, public administration, HR management</w:t>
      </w:r>
      <w:r w:rsidDel="00000000" w:rsidR="00000000" w:rsidRPr="00000000">
        <w:rPr>
          <w:rtl w:val="0"/>
        </w:rPr>
        <w:t xml:space="preserve">, etc)</w:t>
      </w:r>
      <w:r w:rsidDel="00000000" w:rsidR="00000000" w:rsidRPr="00000000">
        <w:rPr>
          <w:color w:val="000000"/>
          <w:rtl w:val="0"/>
        </w:rPr>
        <w:t xml:space="preserve">.</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ind w:left="1080" w:firstLine="0"/>
        <w:jc w:val="both"/>
        <w:rPr>
          <w:color w:val="000000"/>
        </w:rPr>
      </w:pPr>
      <w:r w:rsidDel="00000000" w:rsidR="00000000" w:rsidRPr="00000000">
        <w:rPr>
          <w:rtl w:val="0"/>
        </w:rPr>
      </w:r>
    </w:p>
    <w:p w:rsidR="00000000" w:rsidDel="00000000" w:rsidP="00000000" w:rsidRDefault="00000000" w:rsidRPr="00000000" w14:paraId="00000033">
      <w:pPr>
        <w:numPr>
          <w:ilvl w:val="1"/>
          <w:numId w:val="1"/>
        </w:numPr>
        <w:pBdr>
          <w:top w:space="0" w:sz="0" w:val="nil"/>
          <w:left w:space="0" w:sz="0" w:val="nil"/>
          <w:bottom w:space="0" w:sz="0" w:val="nil"/>
          <w:right w:space="0" w:sz="0" w:val="nil"/>
          <w:between w:space="0" w:sz="0" w:val="nil"/>
        </w:pBdr>
        <w:tabs>
          <w:tab w:val="left" w:leader="none" w:pos="1985"/>
        </w:tabs>
        <w:spacing w:after="0" w:line="240" w:lineRule="auto"/>
        <w:ind w:left="360" w:hanging="360"/>
        <w:jc w:val="both"/>
        <w:rPr>
          <w:color w:val="000000"/>
        </w:rPr>
      </w:pPr>
      <w:r w:rsidDel="00000000" w:rsidR="00000000" w:rsidRPr="00000000">
        <w:rPr>
          <w:b w:val="1"/>
          <w:i w:val="1"/>
          <w:color w:val="000000"/>
          <w:rtl w:val="0"/>
        </w:rPr>
        <w:t xml:space="preserve">Other Experience:</w:t>
      </w:r>
      <w:r w:rsidDel="00000000" w:rsidR="00000000" w:rsidRPr="00000000">
        <w:rPr>
          <w:rtl w:val="0"/>
        </w:rPr>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spacing w:after="0" w:line="240" w:lineRule="auto"/>
        <w:ind w:left="1080" w:hanging="360"/>
        <w:jc w:val="both"/>
        <w:rPr>
          <w:color w:val="000000"/>
        </w:rPr>
      </w:pPr>
      <w:r w:rsidDel="00000000" w:rsidR="00000000" w:rsidRPr="00000000">
        <w:rPr>
          <w:color w:val="000000"/>
          <w:rtl w:val="0"/>
        </w:rPr>
        <w:t xml:space="preserve">Proven knowledge and professional experience in the prepa</w:t>
      </w:r>
      <w:r w:rsidDel="00000000" w:rsidR="00000000" w:rsidRPr="00000000">
        <w:rPr>
          <w:rtl w:val="0"/>
        </w:rPr>
        <w:t xml:space="preserve">ration of</w:t>
      </w:r>
      <w:r w:rsidDel="00000000" w:rsidR="00000000" w:rsidRPr="00000000">
        <w:rPr>
          <w:color w:val="000000"/>
          <w:rtl w:val="0"/>
        </w:rPr>
        <w:t xml:space="preserve"> legal acts, policy analysis and </w:t>
      </w:r>
      <w:r w:rsidDel="00000000" w:rsidR="00000000" w:rsidRPr="00000000">
        <w:rPr>
          <w:rtl w:val="0"/>
        </w:rPr>
        <w:t xml:space="preserve">development of analytical materials</w:t>
      </w:r>
      <w:r w:rsidDel="00000000" w:rsidR="00000000" w:rsidRPr="00000000">
        <w:rPr>
          <w:color w:val="000000"/>
          <w:rtl w:val="0"/>
        </w:rPr>
        <w:t xml:space="preserve"> </w:t>
      </w:r>
      <w:r w:rsidDel="00000000" w:rsidR="00000000" w:rsidRPr="00000000">
        <w:rPr>
          <w:rtl w:val="0"/>
        </w:rPr>
        <w:t xml:space="preserve">in the field of public administration and/or human resource management, capacity building, e-governance</w:t>
      </w:r>
      <w:r w:rsidDel="00000000" w:rsidR="00000000" w:rsidRPr="00000000">
        <w:rPr>
          <w:color w:val="000000"/>
          <w:rtl w:val="0"/>
        </w:rPr>
        <w:t xml:space="preserve">. </w:t>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spacing w:after="0" w:line="240" w:lineRule="auto"/>
        <w:ind w:left="1080" w:hanging="360"/>
        <w:jc w:val="both"/>
        <w:rPr>
          <w:color w:val="000000"/>
        </w:rPr>
      </w:pPr>
      <w:r w:rsidDel="00000000" w:rsidR="00000000" w:rsidRPr="00000000">
        <w:rPr>
          <w:color w:val="000000"/>
          <w:rtl w:val="0"/>
        </w:rPr>
        <w:t xml:space="preserve">Experience with the reform implementation process in Ukraine, particularly public administration is a</w:t>
      </w:r>
      <w:r w:rsidDel="00000000" w:rsidR="00000000" w:rsidRPr="00000000">
        <w:rPr>
          <w:rtl w:val="0"/>
        </w:rPr>
        <w:t xml:space="preserve">n asset.</w:t>
      </w:r>
      <w:r w:rsidDel="00000000" w:rsidR="00000000" w:rsidRPr="00000000">
        <w:rPr>
          <w:rtl w:val="0"/>
        </w:rPr>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spacing w:after="0" w:line="240" w:lineRule="auto"/>
        <w:ind w:left="1080" w:hanging="360"/>
        <w:jc w:val="both"/>
        <w:rPr>
          <w:color w:val="000000"/>
        </w:rPr>
      </w:pPr>
      <w:r w:rsidDel="00000000" w:rsidR="00000000" w:rsidRPr="00000000">
        <w:rPr>
          <w:color w:val="000000"/>
          <w:rtl w:val="0"/>
        </w:rPr>
        <w:t xml:space="preserve">Experience with government entities and their mandate and processes is an asset.</w:t>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tabs>
          <w:tab w:val="left" w:leader="none" w:pos="1985"/>
        </w:tabs>
        <w:spacing w:after="0" w:line="240" w:lineRule="auto"/>
        <w:ind w:left="1080" w:hanging="360"/>
        <w:jc w:val="both"/>
        <w:rPr>
          <w:color w:val="000000"/>
        </w:rPr>
      </w:pPr>
      <w:r w:rsidDel="00000000" w:rsidR="00000000" w:rsidRPr="00000000">
        <w:rPr>
          <w:color w:val="000000"/>
          <w:rtl w:val="0"/>
        </w:rPr>
        <w:t xml:space="preserve">Prior experience  working in public service is a plus.</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ind w:left="360" w:firstLine="0"/>
        <w:jc w:val="both"/>
        <w:rPr>
          <w:color w:val="000000"/>
        </w:rPr>
      </w:pPr>
      <w:r w:rsidDel="00000000" w:rsidR="00000000" w:rsidRPr="00000000">
        <w:rPr>
          <w:rtl w:val="0"/>
        </w:rPr>
      </w:r>
    </w:p>
    <w:p w:rsidR="00000000" w:rsidDel="00000000" w:rsidP="00000000" w:rsidRDefault="00000000" w:rsidRPr="00000000" w14:paraId="00000039">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b w:val="1"/>
          <w:color w:val="000000"/>
        </w:rPr>
      </w:pPr>
      <w:r w:rsidDel="00000000" w:rsidR="00000000" w:rsidRPr="00000000">
        <w:rPr>
          <w:b w:val="1"/>
          <w:color w:val="000000"/>
          <w:rtl w:val="0"/>
        </w:rPr>
        <w:t xml:space="preserve">Funding Source</w:t>
      </w:r>
    </w:p>
    <w:p w:rsidR="00000000" w:rsidDel="00000000" w:rsidP="00000000" w:rsidRDefault="00000000" w:rsidRPr="00000000" w14:paraId="0000003A">
      <w:pPr>
        <w:spacing w:after="0" w:line="240" w:lineRule="auto"/>
        <w:jc w:val="both"/>
        <w:rPr>
          <w:color w:val="000000"/>
          <w:shd w:fill="fff2cc" w:val="clear"/>
        </w:rPr>
      </w:pPr>
      <w:bookmarkStart w:colFirst="0" w:colLast="0" w:name="_heading=h.3dy6vkm" w:id="6"/>
      <w:bookmarkEnd w:id="6"/>
      <w:r w:rsidDel="00000000" w:rsidR="00000000" w:rsidRPr="00000000">
        <w:rPr>
          <w:rtl w:val="0"/>
        </w:rPr>
        <w:t xml:space="preserve">The funding source of this assignment is the EBRD Ukraine Stabilisation and Sustainable Growth Multi-Donor Account (MDA). Contributors to the MDA are Austria, Denmark, Finland, France, Germany, Italy, Japan, the Netherlands, Norway, Poland, Sweden, Switzerland, the United Kingdom, the United States and the European Union, the largest donor.</w:t>
      </w:r>
      <w:r w:rsidDel="00000000" w:rsidR="00000000" w:rsidRPr="00000000">
        <w:rPr>
          <w:rtl w:val="0"/>
        </w:rPr>
      </w:r>
    </w:p>
    <w:p w:rsidR="00000000" w:rsidDel="00000000" w:rsidP="00000000" w:rsidRDefault="00000000" w:rsidRPr="00000000" w14:paraId="0000003B">
      <w:pPr>
        <w:spacing w:after="0" w:line="240" w:lineRule="auto"/>
        <w:jc w:val="both"/>
        <w:rPr>
          <w:color w:val="000000"/>
        </w:rPr>
      </w:pPr>
      <w:r w:rsidDel="00000000" w:rsidR="00000000" w:rsidRPr="00000000">
        <w:rPr>
          <w:rtl w:val="0"/>
        </w:rPr>
      </w:r>
    </w:p>
    <w:p w:rsidR="00000000" w:rsidDel="00000000" w:rsidP="00000000" w:rsidRDefault="00000000" w:rsidRPr="00000000" w14:paraId="0000003C">
      <w:pPr>
        <w:spacing w:after="0" w:line="240" w:lineRule="auto"/>
        <w:jc w:val="both"/>
        <w:rPr>
          <w:color w:val="000000"/>
        </w:rPr>
      </w:pPr>
      <w:r w:rsidDel="00000000" w:rsidR="00000000" w:rsidRPr="00000000">
        <w:rPr>
          <w:color w:val="000000"/>
          <w:rtl w:val="0"/>
        </w:rPr>
        <w:t xml:space="preserve">Please note that selection and contracting will be subject to the availability of funding.</w:t>
      </w:r>
    </w:p>
    <w:p w:rsidR="00000000" w:rsidDel="00000000" w:rsidP="00000000" w:rsidRDefault="00000000" w:rsidRPr="00000000" w14:paraId="0000003D">
      <w:pPr>
        <w:spacing w:after="0" w:line="240" w:lineRule="auto"/>
        <w:jc w:val="both"/>
        <w:rPr>
          <w:color w:val="000000"/>
        </w:rPr>
      </w:pPr>
      <w:r w:rsidDel="00000000" w:rsidR="00000000" w:rsidRPr="00000000">
        <w:rPr>
          <w:rtl w:val="0"/>
        </w:rPr>
      </w:r>
    </w:p>
    <w:p w:rsidR="00000000" w:rsidDel="00000000" w:rsidP="00000000" w:rsidRDefault="00000000" w:rsidRPr="00000000" w14:paraId="0000003E">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b w:val="1"/>
          <w:color w:val="000000"/>
        </w:rPr>
      </w:pPr>
      <w:r w:rsidDel="00000000" w:rsidR="00000000" w:rsidRPr="00000000">
        <w:rPr>
          <w:b w:val="1"/>
          <w:color w:val="000000"/>
          <w:rtl w:val="0"/>
        </w:rPr>
        <w:t xml:space="preserve">Submissions</w:t>
      </w:r>
    </w:p>
    <w:p w:rsidR="00000000" w:rsidDel="00000000" w:rsidP="00000000" w:rsidRDefault="00000000" w:rsidRPr="00000000" w14:paraId="0000003F">
      <w:pPr>
        <w:spacing w:after="0" w:line="240" w:lineRule="auto"/>
        <w:jc w:val="both"/>
        <w:rPr>
          <w:color w:val="000000"/>
        </w:rPr>
      </w:pPr>
      <w:bookmarkStart w:colFirst="0" w:colLast="0" w:name="_heading=h.30j0zll" w:id="7"/>
      <w:bookmarkEnd w:id="7"/>
      <w:r w:rsidDel="00000000" w:rsidR="00000000" w:rsidRPr="00000000">
        <w:rPr>
          <w:color w:val="000000"/>
          <w:rtl w:val="0"/>
        </w:rPr>
        <w:t xml:space="preserve">Submissions must be prepared in English only and be delivered electronically by </w:t>
      </w:r>
      <w:r w:rsidDel="00000000" w:rsidR="00000000" w:rsidRPr="00000000">
        <w:rPr>
          <w:rtl w:val="0"/>
        </w:rPr>
        <w:t xml:space="preserve">17 September </w:t>
      </w:r>
      <w:r w:rsidDel="00000000" w:rsidR="00000000" w:rsidRPr="00000000">
        <w:rPr>
          <w:color w:val="000000"/>
          <w:rtl w:val="0"/>
        </w:rPr>
        <w:t xml:space="preserve">23.59 (Kyiv time), 202</w:t>
      </w:r>
      <w:r w:rsidDel="00000000" w:rsidR="00000000" w:rsidRPr="00000000">
        <w:rPr>
          <w:rtl w:val="0"/>
        </w:rPr>
        <w:t xml:space="preserve">3</w:t>
      </w:r>
      <w:r w:rsidDel="00000000" w:rsidR="00000000" w:rsidRPr="00000000">
        <w:rPr>
          <w:color w:val="000000"/>
          <w:rtl w:val="0"/>
        </w:rPr>
        <w:t xml:space="preserve"> to </w:t>
      </w:r>
      <w:hyperlink r:id="rId7">
        <w:r w:rsidDel="00000000" w:rsidR="00000000" w:rsidRPr="00000000">
          <w:rPr>
            <w:color w:val="0563c1"/>
            <w:u w:val="single"/>
            <w:rtl w:val="0"/>
          </w:rPr>
          <w:t xml:space="preserve">rst.mepr@gmail.com</w:t>
        </w:r>
      </w:hyperlink>
      <w:r w:rsidDel="00000000" w:rsidR="00000000" w:rsidRPr="00000000">
        <w:rPr>
          <w:rtl w:val="0"/>
        </w:rPr>
        <w:t xml:space="preserve"> </w:t>
      </w:r>
      <w:r w:rsidDel="00000000" w:rsidR="00000000" w:rsidRPr="00000000">
        <w:rPr>
          <w:color w:val="000000"/>
          <w:rtl w:val="0"/>
        </w:rPr>
        <w:t xml:space="preserve">. All submissions must include a completed Application Form, NDA Form, the candidate’s Curriculum Vitae and Reference Letter from a recent supervisor (original in English, or Ukrainian with English translation) together with the contact details for two further referees who, if contacted, can attest to the professional and/or educational background of the candidate. </w:t>
      </w:r>
    </w:p>
    <w:p w:rsidR="00000000" w:rsidDel="00000000" w:rsidP="00000000" w:rsidRDefault="00000000" w:rsidRPr="00000000" w14:paraId="00000040">
      <w:pPr>
        <w:tabs>
          <w:tab w:val="left" w:leader="none" w:pos="1985"/>
        </w:tabs>
        <w:spacing w:after="0" w:line="240" w:lineRule="auto"/>
        <w:jc w:val="both"/>
        <w:rPr>
          <w:color w:val="000000"/>
        </w:rPr>
      </w:pPr>
      <w:r w:rsidDel="00000000" w:rsidR="00000000" w:rsidRPr="00000000">
        <w:rPr>
          <w:rtl w:val="0"/>
        </w:rPr>
      </w:r>
    </w:p>
    <w:p w:rsidR="00000000" w:rsidDel="00000000" w:rsidP="00000000" w:rsidRDefault="00000000" w:rsidRPr="00000000" w14:paraId="00000041">
      <w:pPr>
        <w:tabs>
          <w:tab w:val="left" w:leader="none" w:pos="1985"/>
        </w:tabs>
        <w:spacing w:after="0" w:line="240" w:lineRule="auto"/>
        <w:jc w:val="both"/>
        <w:rPr>
          <w:color w:val="000000"/>
        </w:rPr>
      </w:pPr>
      <w:r w:rsidDel="00000000" w:rsidR="00000000" w:rsidRPr="00000000">
        <w:rPr>
          <w:color w:val="000000"/>
          <w:rtl w:val="0"/>
        </w:rPr>
        <w:t xml:space="preserve">Only applications which have been submitted using the correct template and are fully completed will be considered. </w:t>
      </w:r>
    </w:p>
    <w:p w:rsidR="00000000" w:rsidDel="00000000" w:rsidP="00000000" w:rsidRDefault="00000000" w:rsidRPr="00000000" w14:paraId="00000042">
      <w:pPr>
        <w:tabs>
          <w:tab w:val="left" w:leader="none" w:pos="1985"/>
        </w:tabs>
        <w:spacing w:after="0" w:line="240" w:lineRule="auto"/>
        <w:jc w:val="both"/>
        <w:rPr>
          <w:color w:val="000000"/>
        </w:rPr>
      </w:pPr>
      <w:r w:rsidDel="00000000" w:rsidR="00000000" w:rsidRPr="00000000">
        <w:rPr>
          <w:rtl w:val="0"/>
        </w:rPr>
      </w:r>
    </w:p>
    <w:p w:rsidR="00000000" w:rsidDel="00000000" w:rsidP="00000000" w:rsidRDefault="00000000" w:rsidRPr="00000000" w14:paraId="00000043">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b w:val="1"/>
          <w:color w:val="000000"/>
        </w:rPr>
      </w:pPr>
      <w:r w:rsidDel="00000000" w:rsidR="00000000" w:rsidRPr="00000000">
        <w:rPr>
          <w:b w:val="1"/>
          <w:color w:val="000000"/>
          <w:rtl w:val="0"/>
        </w:rPr>
        <w:t xml:space="preserve">Selection Procedure</w:t>
      </w:r>
    </w:p>
    <w:p w:rsidR="00000000" w:rsidDel="00000000" w:rsidP="00000000" w:rsidRDefault="00000000" w:rsidRPr="00000000" w14:paraId="00000044">
      <w:pPr>
        <w:spacing w:after="0" w:line="240" w:lineRule="auto"/>
        <w:jc w:val="both"/>
        <w:rPr/>
      </w:pPr>
      <w:r w:rsidDel="00000000" w:rsidR="00000000" w:rsidRPr="00000000">
        <w:rPr>
          <w:rtl w:val="0"/>
        </w:rPr>
        <w:t xml:space="preserve">Following the evaluation of all applications received, selected candidates may be invited to a written tests. Only shortlisted candidates will be invited to the interview.</w:t>
      </w:r>
    </w:p>
    <w:p w:rsidR="00000000" w:rsidDel="00000000" w:rsidP="00000000" w:rsidRDefault="00000000" w:rsidRPr="00000000" w14:paraId="00000045">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color w:val="000000"/>
      </w:rPr>
    </w:pPr>
    <w:r w:rsidDel="00000000" w:rsidR="00000000" w:rsidRPr="00000000">
      <w:rPr>
        <w:rFonts w:ascii="Arial" w:cs="Arial" w:eastAsia="Arial" w:hAnsi="Arial"/>
        <w:color w:val="0000ff"/>
        <w:sz w:val="18"/>
        <w:szCs w:val="18"/>
        <w:rtl w:val="0"/>
      </w:rPr>
      <w:t xml:space="preserve">OFFICIAL USE</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color w:val="000000"/>
      </w:rPr>
    </w:pPr>
    <w:r w:rsidDel="00000000" w:rsidR="00000000" w:rsidRPr="00000000">
      <w:rPr>
        <w:rFonts w:ascii="Arial" w:cs="Arial" w:eastAsia="Arial" w:hAnsi="Arial"/>
        <w:color w:val="0000ff"/>
        <w:sz w:val="18"/>
        <w:szCs w:val="18"/>
        <w:rtl w:val="0"/>
      </w:rPr>
      <w:t xml:space="preserve">OFFICIAL USE</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color w:val="000000"/>
      </w:rPr>
    </w:pPr>
    <w:r w:rsidDel="00000000" w:rsidR="00000000" w:rsidRPr="00000000">
      <w:rPr>
        <w:rFonts w:ascii="Arial" w:cs="Arial" w:eastAsia="Arial" w:hAnsi="Arial"/>
        <w:color w:val="0000ff"/>
        <w:sz w:val="18"/>
        <w:szCs w:val="18"/>
        <w:rtl w:val="0"/>
      </w:rPr>
      <w:t xml:space="preserve">OFFICIAL USE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color w:val="000000"/>
      </w:rPr>
    </w:pPr>
    <w:r w:rsidDel="00000000" w:rsidR="00000000" w:rsidRPr="00000000">
      <w:rPr>
        <w:rFonts w:ascii="Arial" w:cs="Arial" w:eastAsia="Arial" w:hAnsi="Arial"/>
        <w:color w:val="0000ff"/>
        <w:sz w:val="18"/>
        <w:szCs w:val="18"/>
        <w:rtl w:val="0"/>
      </w:rPr>
      <w:t xml:space="preserve">OFFICIAL USE</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color w:val="000000"/>
      </w:rPr>
    </w:pPr>
    <w:r w:rsidDel="00000000" w:rsidR="00000000" w:rsidRPr="00000000">
      <w:rPr>
        <w:rFonts w:ascii="Arial" w:cs="Arial" w:eastAsia="Arial" w:hAnsi="Arial"/>
        <w:color w:val="0000ff"/>
        <w:sz w:val="18"/>
        <w:szCs w:val="18"/>
        <w:rtl w:val="0"/>
      </w:rPr>
      <w:t xml:space="preserve">OFFICIAL USE</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rPr>
        <w:color w:val="000000"/>
      </w:rPr>
    </w:pPr>
    <w:r w:rsidDel="00000000" w:rsidR="00000000" w:rsidRPr="00000000">
      <w:rPr>
        <w:color w:val="000000"/>
        <w:rtl w:val="0"/>
      </w:rPr>
      <w:t xml:space="preserve">                                                                                                                                  </w:t>
    </w:r>
    <w:r w:rsidDel="00000000" w:rsidR="00000000" w:rsidRPr="00000000">
      <w:rPr>
        <w:color w:val="000000"/>
      </w:rPr>
      <w:drawing>
        <wp:inline distB="0" distT="0" distL="0" distR="0">
          <wp:extent cx="1810385" cy="554990"/>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10385" cy="55499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color w:val="000000"/>
      </w:rPr>
    </w:pPr>
    <w:r w:rsidDel="00000000" w:rsidR="00000000" w:rsidRPr="00000000">
      <w:rPr>
        <w:rFonts w:ascii="Arial" w:cs="Arial" w:eastAsia="Arial" w:hAnsi="Arial"/>
        <w:color w:val="0000ff"/>
        <w:sz w:val="18"/>
        <w:szCs w:val="18"/>
        <w:rtl w:val="0"/>
      </w:rPr>
      <w:t xml:space="preserve">OFFICIAL USE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decimal"/>
      <w:lvlText w:val="%1"/>
      <w:lvlJc w:val="left"/>
      <w:pPr>
        <w:ind w:left="360" w:hanging="360"/>
      </w:pPr>
      <w:rPr>
        <w:b w:val="1"/>
        <w:i w:val="1"/>
      </w:rPr>
    </w:lvl>
    <w:lvl w:ilvl="1">
      <w:start w:val="1"/>
      <w:numFmt w:val="decimal"/>
      <w:lvlText w:val="%1.%2"/>
      <w:lvlJc w:val="left"/>
      <w:pPr>
        <w:ind w:left="360" w:hanging="360"/>
      </w:pPr>
      <w:rPr>
        <w:b w:val="1"/>
        <w:i w:val="1"/>
      </w:rPr>
    </w:lvl>
    <w:lvl w:ilvl="2">
      <w:start w:val="1"/>
      <w:numFmt w:val="decimal"/>
      <w:lvlText w:val="%1.%2.%3"/>
      <w:lvlJc w:val="left"/>
      <w:pPr>
        <w:ind w:left="720" w:hanging="720"/>
      </w:pPr>
      <w:rPr>
        <w:b w:val="1"/>
        <w:i w:val="1"/>
      </w:rPr>
    </w:lvl>
    <w:lvl w:ilvl="3">
      <w:start w:val="1"/>
      <w:numFmt w:val="decimal"/>
      <w:lvlText w:val="%1.%2.%3.%4"/>
      <w:lvlJc w:val="left"/>
      <w:pPr>
        <w:ind w:left="720" w:hanging="720"/>
      </w:pPr>
      <w:rPr>
        <w:b w:val="1"/>
        <w:i w:val="1"/>
      </w:rPr>
    </w:lvl>
    <w:lvl w:ilvl="4">
      <w:start w:val="1"/>
      <w:numFmt w:val="decimal"/>
      <w:lvlText w:val="%1.%2.%3.%4.%5"/>
      <w:lvlJc w:val="left"/>
      <w:pPr>
        <w:ind w:left="1080" w:hanging="1080"/>
      </w:pPr>
      <w:rPr>
        <w:b w:val="1"/>
        <w:i w:val="1"/>
      </w:rPr>
    </w:lvl>
    <w:lvl w:ilvl="5">
      <w:start w:val="1"/>
      <w:numFmt w:val="decimal"/>
      <w:lvlText w:val="%1.%2.%3.%4.%5.%6"/>
      <w:lvlJc w:val="left"/>
      <w:pPr>
        <w:ind w:left="1080" w:hanging="1080"/>
      </w:pPr>
      <w:rPr>
        <w:b w:val="1"/>
        <w:i w:val="1"/>
      </w:rPr>
    </w:lvl>
    <w:lvl w:ilvl="6">
      <w:start w:val="1"/>
      <w:numFmt w:val="decimal"/>
      <w:lvlText w:val="%1.%2.%3.%4.%5.%6.%7"/>
      <w:lvlJc w:val="left"/>
      <w:pPr>
        <w:ind w:left="1440" w:hanging="1440"/>
      </w:pPr>
      <w:rPr>
        <w:b w:val="1"/>
        <w:i w:val="1"/>
      </w:rPr>
    </w:lvl>
    <w:lvl w:ilvl="7">
      <w:start w:val="1"/>
      <w:numFmt w:val="decimal"/>
      <w:lvlText w:val="%1.%2.%3.%4.%5.%6.%7.%8"/>
      <w:lvlJc w:val="left"/>
      <w:pPr>
        <w:ind w:left="1440" w:hanging="1440"/>
      </w:pPr>
      <w:rPr>
        <w:b w:val="1"/>
        <w:i w:val="1"/>
      </w:rPr>
    </w:lvl>
    <w:lvl w:ilvl="8">
      <w:start w:val="1"/>
      <w:numFmt w:val="decimal"/>
      <w:lvlText w:val="%1.%2.%3.%4.%5.%6.%7.%8.%9"/>
      <w:lvlJc w:val="left"/>
      <w:pPr>
        <w:ind w:left="1440" w:hanging="1440"/>
      </w:pPr>
      <w:rPr>
        <w:b w:val="1"/>
        <w:i w:val="1"/>
      </w:rPr>
    </w:lvl>
  </w:abstractNum>
  <w:abstractNum w:abstractNumId="2">
    <w:lvl w:ilvl="0">
      <w:start w:val="11"/>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121DE"/>
    <w:rPr>
      <w:rFonts w:eastAsiaTheme="minorEastAsia"/>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1" w:customStyle="1">
    <w:name w:val="Table Normal1"/>
    <w:tblPr>
      <w:tblCellMar>
        <w:top w:w="0.0" w:type="dxa"/>
        <w:left w:w="0.0" w:type="dxa"/>
        <w:bottom w:w="0.0" w:type="dxa"/>
        <w:right w:w="0.0" w:type="dxa"/>
      </w:tblCellMar>
    </w:tblPr>
  </w:style>
  <w:style w:type="paragraph" w:styleId="Header">
    <w:name w:val="header"/>
    <w:basedOn w:val="Normal"/>
    <w:link w:val="HeaderChar"/>
    <w:uiPriority w:val="99"/>
    <w:unhideWhenUsed w:val="1"/>
    <w:rsid w:val="008121DE"/>
    <w:pPr>
      <w:tabs>
        <w:tab w:val="center" w:pos="4677"/>
        <w:tab w:val="right" w:pos="9355"/>
      </w:tabs>
      <w:spacing w:after="0" w:line="240" w:lineRule="auto"/>
    </w:pPr>
  </w:style>
  <w:style w:type="character" w:styleId="HeaderChar" w:customStyle="1">
    <w:name w:val="Header Char"/>
    <w:basedOn w:val="DefaultParagraphFont"/>
    <w:link w:val="Header"/>
    <w:uiPriority w:val="99"/>
    <w:rsid w:val="008121DE"/>
  </w:style>
  <w:style w:type="paragraph" w:styleId="Footer">
    <w:name w:val="footer"/>
    <w:basedOn w:val="Normal"/>
    <w:link w:val="FooterChar"/>
    <w:uiPriority w:val="99"/>
    <w:unhideWhenUsed w:val="1"/>
    <w:rsid w:val="008121DE"/>
    <w:pPr>
      <w:tabs>
        <w:tab w:val="center" w:pos="4677"/>
        <w:tab w:val="right" w:pos="9355"/>
      </w:tabs>
      <w:spacing w:after="0" w:line="240" w:lineRule="auto"/>
    </w:pPr>
  </w:style>
  <w:style w:type="character" w:styleId="FooterChar" w:customStyle="1">
    <w:name w:val="Footer Char"/>
    <w:basedOn w:val="DefaultParagraphFont"/>
    <w:link w:val="Footer"/>
    <w:uiPriority w:val="99"/>
    <w:rsid w:val="008121DE"/>
  </w:style>
  <w:style w:type="paragraph" w:styleId="ListParagraph">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Normal"/>
    <w:link w:val="ListParagraphChar"/>
    <w:uiPriority w:val="34"/>
    <w:qFormat w:val="1"/>
    <w:rsid w:val="008121DE"/>
    <w:pPr>
      <w:spacing w:after="160" w:line="259" w:lineRule="auto"/>
      <w:ind w:left="720"/>
      <w:contextualSpacing w:val="1"/>
    </w:pPr>
    <w:rPr>
      <w:lang w:val="en-US"/>
    </w:rPr>
  </w:style>
  <w:style w:type="character" w:styleId="ListParagraphChar" w:customStyle="1">
    <w:name w:val="List Paragraph Char"/>
    <w:aliases w:val="Bullet Points Char,Liste Paragraf Char,Llista Nivell1 Char,Lista de nivel 1 Char,Paragraphe de liste PBLH Char,Normal bullet 2 Char,Graph &amp; Table tite Char,Table of contents numbered Char,Bullet list Char,Bullet List Paragraph Char"/>
    <w:link w:val="ListParagraph"/>
    <w:uiPriority w:val="34"/>
    <w:locked w:val="1"/>
    <w:rsid w:val="008121DE"/>
    <w:rPr>
      <w:rFonts w:eastAsiaTheme="minorEastAsia"/>
      <w:lang w:eastAsia="uk-UA" w:val="en-US"/>
    </w:rPr>
  </w:style>
  <w:style w:type="paragraph" w:styleId="Normale-n-ind" w:customStyle="1">
    <w:name w:val="Normale-n-ind"/>
    <w:rsid w:val="008121DE"/>
    <w:pPr>
      <w:pBdr>
        <w:top w:space="0" w:sz="0" w:val="nil"/>
        <w:left w:space="0" w:sz="0" w:val="nil"/>
        <w:bottom w:space="0" w:sz="0" w:val="nil"/>
        <w:right w:space="0" w:sz="0" w:val="nil"/>
        <w:between w:space="0" w:sz="0" w:val="nil"/>
        <w:bar w:space="0" w:sz="0" w:val="nil"/>
      </w:pBdr>
      <w:spacing w:after="120" w:line="180" w:lineRule="atLeast"/>
      <w:jc w:val="both"/>
    </w:pPr>
    <w:rPr>
      <w:rFonts w:ascii="Times New Roman" w:cs="Times New Roman" w:eastAsia="Times New Roman" w:hAnsi="Times New Roman"/>
      <w:color w:val="000000"/>
      <w:sz w:val="24"/>
      <w:szCs w:val="24"/>
      <w:u w:color="000000"/>
      <w:bdr w:space="0" w:sz="0" w:val="nil"/>
      <w:lang w:val="it-IT"/>
    </w:rPr>
  </w:style>
  <w:style w:type="character" w:styleId="Hyperlink">
    <w:name w:val="Hyperlink"/>
    <w:basedOn w:val="DefaultParagraphFont"/>
    <w:uiPriority w:val="99"/>
    <w:unhideWhenUsed w:val="1"/>
    <w:rsid w:val="00690962"/>
    <w:rPr>
      <w:color w:val="0563c1" w:themeColor="hyperlink"/>
      <w:u w:val="single"/>
    </w:rPr>
  </w:style>
  <w:style w:type="character" w:styleId="1" w:customStyle="1">
    <w:name w:val="Неразрешенное упоминание1"/>
    <w:basedOn w:val="DefaultParagraphFont"/>
    <w:uiPriority w:val="99"/>
    <w:semiHidden w:val="1"/>
    <w:unhideWhenUsed w:val="1"/>
    <w:rsid w:val="00690962"/>
    <w:rPr>
      <w:color w:val="605e5c"/>
      <w:shd w:color="auto" w:fill="e1dfdd" w:val="clear"/>
    </w:rPr>
  </w:style>
  <w:style w:type="paragraph" w:styleId="BalloonText">
    <w:name w:val="Balloon Text"/>
    <w:basedOn w:val="Normal"/>
    <w:link w:val="BalloonTextChar"/>
    <w:uiPriority w:val="99"/>
    <w:semiHidden w:val="1"/>
    <w:unhideWhenUsed w:val="1"/>
    <w:rsid w:val="00B6071F"/>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6071F"/>
    <w:rPr>
      <w:rFonts w:ascii="Tahoma" w:cs="Tahoma" w:hAnsi="Tahoma" w:eastAsiaTheme="minorEastAsia"/>
      <w:sz w:val="16"/>
      <w:szCs w:val="16"/>
      <w:lang w:eastAsia="uk-UA" w:val="uk-UA"/>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CommentReference">
    <w:name w:val="annotation reference"/>
    <w:basedOn w:val="DefaultParagraphFont"/>
    <w:uiPriority w:val="99"/>
    <w:semiHidden w:val="1"/>
    <w:unhideWhenUsed w:val="1"/>
    <w:rsid w:val="00B472EB"/>
    <w:rPr>
      <w:sz w:val="16"/>
      <w:szCs w:val="16"/>
    </w:rPr>
  </w:style>
  <w:style w:type="paragraph" w:styleId="CommentText">
    <w:name w:val="annotation text"/>
    <w:basedOn w:val="Normal"/>
    <w:link w:val="CommentTextChar"/>
    <w:uiPriority w:val="99"/>
    <w:semiHidden w:val="1"/>
    <w:unhideWhenUsed w:val="1"/>
    <w:rsid w:val="00B472EB"/>
    <w:pPr>
      <w:spacing w:line="240" w:lineRule="auto"/>
    </w:pPr>
    <w:rPr>
      <w:sz w:val="20"/>
      <w:szCs w:val="20"/>
    </w:rPr>
  </w:style>
  <w:style w:type="character" w:styleId="CommentTextChar" w:customStyle="1">
    <w:name w:val="Comment Text Char"/>
    <w:basedOn w:val="DefaultParagraphFont"/>
    <w:link w:val="CommentText"/>
    <w:uiPriority w:val="99"/>
    <w:semiHidden w:val="1"/>
    <w:rsid w:val="00B472EB"/>
    <w:rPr>
      <w:rFonts w:eastAsiaTheme="minorEastAsia"/>
      <w:sz w:val="20"/>
      <w:szCs w:val="20"/>
    </w:rPr>
  </w:style>
  <w:style w:type="paragraph" w:styleId="CommentSubject">
    <w:name w:val="annotation subject"/>
    <w:basedOn w:val="CommentText"/>
    <w:next w:val="CommentText"/>
    <w:link w:val="CommentSubjectChar"/>
    <w:uiPriority w:val="99"/>
    <w:semiHidden w:val="1"/>
    <w:unhideWhenUsed w:val="1"/>
    <w:rsid w:val="00B472EB"/>
    <w:rPr>
      <w:b w:val="1"/>
      <w:bCs w:val="1"/>
    </w:rPr>
  </w:style>
  <w:style w:type="character" w:styleId="CommentSubjectChar" w:customStyle="1">
    <w:name w:val="Comment Subject Char"/>
    <w:basedOn w:val="CommentTextChar"/>
    <w:link w:val="CommentSubject"/>
    <w:uiPriority w:val="99"/>
    <w:semiHidden w:val="1"/>
    <w:rsid w:val="00B472EB"/>
    <w:rPr>
      <w:rFonts w:eastAsiaTheme="minorEastAsia"/>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st.mepr@gmail.com"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sLNvl+k+Ue2vJp03JzGSZ+HFWQ==">CgMxLjAyCGgudHlqY3d0MgppZC4zMGowemxsMghoLmdqZGd4czIJaC4yZXQ5MnAwMgloLjFmb2I5dGUyCWguM3pueXNoNzIJaC4zZHk2dmttMgloLjMwajB6bGw4AHIhMW1EcGdRN005UmtvRGVYenAzOEdrV0dRcXU3WFNxcHJw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2023-08-09T13:27:00Z</dcterms:created>
  <dc:creator>Anikeeva, Yuliya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ddb5483c-2307-4557-ad57-e720338fc5c6</vt:lpwstr>
  </property>
  <property fmtid="{D5CDD505-2E9C-101B-9397-08002B2CF9AE}" pid="3" name="bjDocumentLabelXML">
    <vt:lpwstr>&lt;?xml version="1.0" encoding="us-ascii"?&gt;&lt;sisl xmlns:xsi="http://www.w3.org/2001/XMLSchema-instance" xmlns:xsd="http://www.w3.org/2001/XMLSchema" sislVersion="0" policy="1d45786f-a737-4735-8af6-df12fb6939a2" origin="defaultValue" xmlns="http://www.boldonj</vt:lpwstr>
  </property>
  <property fmtid="{D5CDD505-2E9C-101B-9397-08002B2CF9AE}" pid="4" name="bjDocumentLabelXML-0">
    <vt:lpwstr>ames.com/2008/01/sie/internal/label"&gt;&lt;element uid="id_classification_generalbusiness" value="" /&gt;&lt;element uid="3f2bf68e-965f-4645-8d3a-c9eb7a3821bd" value="" /&gt;&lt;/sisl&gt;</vt:lpwstr>
  </property>
  <property fmtid="{D5CDD505-2E9C-101B-9397-08002B2CF9AE}" pid="5" name="bjDocumentSecurityLabel">
    <vt:lpwstr>OFFICIAL USE</vt:lpwstr>
  </property>
  <property fmtid="{D5CDD505-2E9C-101B-9397-08002B2CF9AE}" pid="6" name="bjHeaderBothDocProperty">
    <vt:lpwstr>OFFICIAL USE</vt:lpwstr>
  </property>
  <property fmtid="{D5CDD505-2E9C-101B-9397-08002B2CF9AE}" pid="7" name="bjHeaderFirstPageDocProperty">
    <vt:lpwstr>OFFICIAL USE</vt:lpwstr>
  </property>
  <property fmtid="{D5CDD505-2E9C-101B-9397-08002B2CF9AE}" pid="8" name="bjHeaderEvenPageDocProperty">
    <vt:lpwstr>OFFICIAL USE</vt:lpwstr>
  </property>
  <property fmtid="{D5CDD505-2E9C-101B-9397-08002B2CF9AE}" pid="9" name="bjFooterBothDocProperty">
    <vt:lpwstr>OFFICIAL USE</vt:lpwstr>
  </property>
  <property fmtid="{D5CDD505-2E9C-101B-9397-08002B2CF9AE}" pid="10" name="bjFooterFirstPageDocProperty">
    <vt:lpwstr>OFFICIAL USE</vt:lpwstr>
  </property>
  <property fmtid="{D5CDD505-2E9C-101B-9397-08002B2CF9AE}" pid="11" name="bjFooterEvenPageDocProperty">
    <vt:lpwstr>OFFICIAL USE</vt:lpwstr>
  </property>
  <property fmtid="{D5CDD505-2E9C-101B-9397-08002B2CF9AE}" pid="12" name="bjSaver">
    <vt:lpwstr>jNVazOmbWstbFCE5y2QVOLvhavx6YHsz</vt:lpwstr>
  </property>
</Properties>
</file>