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E2BA" w14:textId="77777777" w:rsidR="00AF7E09" w:rsidRPr="00662CB6" w:rsidRDefault="00AF7E09" w:rsidP="008A3BA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62CB6">
        <w:rPr>
          <w:rFonts w:ascii="Times New Roman" w:hAnsi="Times New Roman"/>
          <w:b/>
          <w:caps/>
          <w:sz w:val="28"/>
          <w:szCs w:val="28"/>
          <w:lang w:val="uk-UA"/>
        </w:rPr>
        <w:t>Пояснювальна записка</w:t>
      </w:r>
    </w:p>
    <w:p w14:paraId="0FCFD79C" w14:textId="1810E943" w:rsidR="00AF7E09" w:rsidRPr="00662CB6" w:rsidRDefault="00AF7E09" w:rsidP="008A3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CB6">
        <w:rPr>
          <w:rFonts w:ascii="Times New Roman" w:hAnsi="Times New Roman"/>
          <w:b/>
          <w:sz w:val="28"/>
          <w:szCs w:val="28"/>
          <w:lang w:val="uk-UA"/>
        </w:rPr>
        <w:t>до проекту постанови Кабінету Міністрів України «</w:t>
      </w:r>
      <w:r w:rsidR="00A26ECA" w:rsidRPr="00662CB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Технічних вимог до експлуатації установок </w:t>
      </w:r>
      <w:r w:rsidR="00F0382E" w:rsidRPr="00662CB6">
        <w:rPr>
          <w:rFonts w:ascii="Times New Roman" w:hAnsi="Times New Roman"/>
          <w:b/>
          <w:sz w:val="28"/>
          <w:szCs w:val="28"/>
          <w:lang w:val="uk-UA"/>
        </w:rPr>
        <w:t xml:space="preserve">зі </w:t>
      </w:r>
      <w:r w:rsidR="00A26ECA" w:rsidRPr="00662CB6">
        <w:rPr>
          <w:rFonts w:ascii="Times New Roman" w:hAnsi="Times New Roman"/>
          <w:b/>
          <w:sz w:val="28"/>
          <w:szCs w:val="28"/>
          <w:lang w:val="uk-UA"/>
        </w:rPr>
        <w:t xml:space="preserve">спалювання відходів та установок </w:t>
      </w:r>
      <w:r w:rsidR="00F0382E" w:rsidRPr="00662CB6">
        <w:rPr>
          <w:rFonts w:ascii="Times New Roman" w:hAnsi="Times New Roman"/>
          <w:b/>
          <w:sz w:val="28"/>
          <w:szCs w:val="28"/>
          <w:lang w:val="uk-UA"/>
        </w:rPr>
        <w:t xml:space="preserve">із </w:t>
      </w:r>
      <w:r w:rsidR="00A26ECA" w:rsidRPr="00662CB6">
        <w:rPr>
          <w:rFonts w:ascii="Times New Roman" w:hAnsi="Times New Roman"/>
          <w:b/>
          <w:sz w:val="28"/>
          <w:szCs w:val="28"/>
          <w:lang w:val="uk-UA"/>
        </w:rPr>
        <w:t>сумісного спалювання відходів</w:t>
      </w:r>
      <w:r w:rsidRPr="00662CB6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38F2D93" w14:textId="77777777" w:rsidR="00AF7E09" w:rsidRPr="00662CB6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D43932" w14:textId="77777777" w:rsidR="00AF7E09" w:rsidRPr="00662CB6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CB6">
        <w:rPr>
          <w:rFonts w:ascii="Times New Roman" w:hAnsi="Times New Roman"/>
          <w:b/>
          <w:sz w:val="28"/>
          <w:szCs w:val="28"/>
          <w:lang w:val="uk-UA"/>
        </w:rPr>
        <w:t>1. Мета</w:t>
      </w:r>
    </w:p>
    <w:p w14:paraId="66A2F001" w14:textId="59CEFE78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CB6">
        <w:rPr>
          <w:rFonts w:ascii="Times New Roman" w:hAnsi="Times New Roman"/>
          <w:sz w:val="28"/>
          <w:szCs w:val="28"/>
          <w:lang w:val="uk-UA"/>
        </w:rPr>
        <w:t>Метою проєкту постанови Кабінету Міністрів України «</w:t>
      </w:r>
      <w:r w:rsidR="00A26ECA" w:rsidRPr="00662C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Технічних вимог до експлуатації установок </w:t>
      </w:r>
      <w:r w:rsidR="00F0382E" w:rsidRPr="00662C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зі </w:t>
      </w:r>
      <w:r w:rsidR="00A26ECA" w:rsidRPr="00662C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спалювання відходів та установок </w:t>
      </w:r>
      <w:r w:rsidR="00F0382E" w:rsidRPr="00662C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</w:t>
      </w:r>
      <w:r w:rsidR="00A26ECA" w:rsidRPr="00662C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сумісного спалювання відходів</w:t>
      </w:r>
      <w:r w:rsidRPr="00662CB6">
        <w:rPr>
          <w:rFonts w:ascii="Times New Roman" w:hAnsi="Times New Roman"/>
          <w:sz w:val="28"/>
          <w:szCs w:val="28"/>
          <w:lang w:val="uk-UA"/>
        </w:rPr>
        <w:t xml:space="preserve">» (далі – проєкт </w:t>
      </w:r>
      <w:r w:rsidR="00B33F97" w:rsidRPr="00662CB6">
        <w:rPr>
          <w:rFonts w:ascii="Times New Roman" w:hAnsi="Times New Roman"/>
          <w:sz w:val="28"/>
          <w:szCs w:val="28"/>
          <w:lang w:val="uk-UA"/>
        </w:rPr>
        <w:t>акта</w:t>
      </w:r>
      <w:r w:rsidRPr="00662CB6">
        <w:rPr>
          <w:rFonts w:ascii="Times New Roman" w:hAnsi="Times New Roman"/>
          <w:sz w:val="28"/>
          <w:szCs w:val="28"/>
          <w:lang w:val="uk-UA"/>
        </w:rPr>
        <w:t>) є</w:t>
      </w:r>
      <w:r w:rsidR="00A26ECA" w:rsidRPr="00662CB6">
        <w:rPr>
          <w:rFonts w:ascii="Times New Roman" w:hAnsi="Times New Roman"/>
          <w:sz w:val="28"/>
          <w:szCs w:val="28"/>
          <w:lang w:val="uk-UA"/>
        </w:rPr>
        <w:t xml:space="preserve"> визначення основних умов, що висуваються до операторів стаціонарних та мобільних установок спалювання відходів або установок сумісного спалювання відходів під час їх експлуатації, для запобігання або зменшення</w:t>
      </w:r>
      <w:r w:rsidR="00A26ECA" w:rsidRPr="00A26ECA">
        <w:rPr>
          <w:rFonts w:ascii="Times New Roman" w:hAnsi="Times New Roman"/>
          <w:sz w:val="28"/>
          <w:szCs w:val="28"/>
          <w:lang w:val="uk-UA"/>
        </w:rPr>
        <w:t xml:space="preserve"> обсягів ймовірного забруднення навколишнього природного середовища та небезпеки для здоров’я людей</w:t>
      </w:r>
      <w:r w:rsidR="00054A1D">
        <w:rPr>
          <w:rFonts w:ascii="Times New Roman" w:hAnsi="Times New Roman"/>
          <w:sz w:val="28"/>
          <w:szCs w:val="28"/>
          <w:lang w:val="uk-UA"/>
        </w:rPr>
        <w:t>.</w:t>
      </w:r>
    </w:p>
    <w:p w14:paraId="13DE4316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06BF9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2. Обґрунтування необхідності прийняття акта</w:t>
      </w:r>
    </w:p>
    <w:p w14:paraId="00FB0627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9549876"/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B33F97">
        <w:rPr>
          <w:rFonts w:ascii="Times New Roman" w:hAnsi="Times New Roman"/>
          <w:sz w:val="28"/>
          <w:szCs w:val="28"/>
          <w:lang w:val="uk-UA"/>
        </w:rPr>
        <w:t>акта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розроблено </w:t>
      </w:r>
      <w:r w:rsidRPr="007631C5">
        <w:rPr>
          <w:rFonts w:ascii="Times New Roman" w:hAnsi="Times New Roman"/>
          <w:sz w:val="28"/>
          <w:szCs w:val="28"/>
          <w:lang w:val="uk-UA"/>
        </w:rPr>
        <w:t>на виконання частини</w:t>
      </w:r>
      <w:r w:rsidR="00A26ECA">
        <w:rPr>
          <w:rFonts w:ascii="Times New Roman" w:hAnsi="Times New Roman"/>
          <w:sz w:val="28"/>
          <w:szCs w:val="28"/>
          <w:lang w:val="uk-UA"/>
        </w:rPr>
        <w:t xml:space="preserve"> п’ятої</w:t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2BF">
        <w:rPr>
          <w:rFonts w:ascii="Times New Roman" w:hAnsi="Times New Roman"/>
          <w:sz w:val="28"/>
          <w:szCs w:val="28"/>
          <w:lang w:val="uk-UA"/>
        </w:rPr>
        <w:br/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A26ECA">
        <w:rPr>
          <w:rFonts w:ascii="Times New Roman" w:hAnsi="Times New Roman"/>
          <w:sz w:val="28"/>
          <w:szCs w:val="28"/>
          <w:lang w:val="uk-UA"/>
        </w:rPr>
        <w:t>39</w:t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 Закону України «Про управління відходами» </w:t>
      </w:r>
      <w:r w:rsidR="00B33F97">
        <w:rPr>
          <w:rFonts w:ascii="Times New Roman" w:hAnsi="Times New Roman"/>
          <w:sz w:val="28"/>
          <w:szCs w:val="28"/>
          <w:lang w:val="uk-UA"/>
        </w:rPr>
        <w:t>для</w:t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 створення правового механізму</w:t>
      </w:r>
      <w:r w:rsidR="00A26E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DF6">
        <w:rPr>
          <w:rFonts w:ascii="Times New Roman" w:hAnsi="Times New Roman"/>
          <w:sz w:val="28"/>
          <w:szCs w:val="28"/>
          <w:lang w:val="uk-UA"/>
        </w:rPr>
        <w:t xml:space="preserve">функціонування та експлуатації </w:t>
      </w:r>
      <w:r w:rsidR="00916DF6" w:rsidRPr="00916DF6">
        <w:rPr>
          <w:rFonts w:ascii="Times New Roman" w:hAnsi="Times New Roman"/>
          <w:sz w:val="28"/>
          <w:szCs w:val="28"/>
          <w:lang w:val="uk-UA"/>
        </w:rPr>
        <w:t>установок спалювання відходів та установок сумісного спалювання відходів</w:t>
      </w:r>
      <w:r w:rsidR="00916DF6">
        <w:rPr>
          <w:rFonts w:ascii="Times New Roman" w:hAnsi="Times New Roman"/>
          <w:sz w:val="28"/>
          <w:szCs w:val="28"/>
          <w:lang w:val="uk-UA"/>
        </w:rPr>
        <w:t xml:space="preserve"> відповідно до європейських стандартів екологічної безпеки</w:t>
      </w:r>
      <w:r>
        <w:rPr>
          <w:rFonts w:ascii="Times New Roman" w:hAnsi="Times New Roman"/>
          <w:sz w:val="28"/>
          <w:szCs w:val="28"/>
          <w:lang w:val="uk-UA"/>
        </w:rPr>
        <w:t>, зокрема</w:t>
      </w:r>
      <w:r w:rsidR="00916DF6">
        <w:rPr>
          <w:rFonts w:ascii="Times New Roman" w:hAnsi="Times New Roman"/>
          <w:sz w:val="28"/>
          <w:szCs w:val="28"/>
          <w:lang w:val="uk-UA"/>
        </w:rPr>
        <w:t xml:space="preserve"> передбачених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3927BFB7" w14:textId="77777777" w:rsidR="00AF7E09" w:rsidRPr="00662CB6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6E84">
        <w:rPr>
          <w:rFonts w:ascii="Times New Roman" w:hAnsi="Times New Roman"/>
          <w:bCs/>
          <w:sz w:val="28"/>
          <w:szCs w:val="28"/>
          <w:lang w:val="uk-UA"/>
        </w:rPr>
        <w:t xml:space="preserve">Директивою </w:t>
      </w:r>
      <w:r w:rsidRPr="00662CB6">
        <w:rPr>
          <w:rFonts w:ascii="Times New Roman" w:hAnsi="Times New Roman"/>
          <w:bCs/>
          <w:sz w:val="28"/>
          <w:szCs w:val="28"/>
          <w:lang w:val="uk-UA"/>
        </w:rPr>
        <w:t xml:space="preserve">Європейського Парламенту та Ради 2008/98/ЄС </w:t>
      </w:r>
      <w:r w:rsidRPr="00662CB6">
        <w:rPr>
          <w:rFonts w:ascii="Times New Roman" w:hAnsi="Times New Roman"/>
          <w:bCs/>
          <w:sz w:val="28"/>
          <w:szCs w:val="28"/>
          <w:lang w:val="uk-UA"/>
        </w:rPr>
        <w:br/>
        <w:t>від 19 листопада 2008 року про відходи та скасування директив;</w:t>
      </w:r>
    </w:p>
    <w:p w14:paraId="2976AD09" w14:textId="68FAD096" w:rsidR="00916DF6" w:rsidRPr="00662CB6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62CB6">
        <w:rPr>
          <w:rFonts w:ascii="Times New Roman" w:hAnsi="Times New Roman"/>
          <w:bCs/>
          <w:sz w:val="28"/>
          <w:szCs w:val="28"/>
          <w:lang w:val="uk-UA"/>
        </w:rPr>
        <w:t xml:space="preserve">Директивою Європейського Парламенту та Ради 2010/75/ЄС </w:t>
      </w:r>
      <w:r w:rsidRPr="00662CB6">
        <w:rPr>
          <w:rFonts w:ascii="Times New Roman" w:hAnsi="Times New Roman"/>
          <w:bCs/>
          <w:sz w:val="28"/>
          <w:szCs w:val="28"/>
          <w:lang w:val="uk-UA"/>
        </w:rPr>
        <w:br/>
        <w:t>від 24 листопада 2010 року про промислові викиди (інтегрований підхід до запобігання забрудненню та його контролю)</w:t>
      </w:r>
      <w:r w:rsidR="007F3816" w:rsidRPr="00662CB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48D8F076" w14:textId="1FB80002" w:rsidR="00AF7E09" w:rsidRPr="00662CB6" w:rsidRDefault="00916DF6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CB6">
        <w:rPr>
          <w:rFonts w:ascii="Times New Roman" w:hAnsi="Times New Roman"/>
          <w:bCs/>
          <w:sz w:val="28"/>
          <w:szCs w:val="28"/>
          <w:lang w:val="uk-UA"/>
        </w:rPr>
        <w:t>Імплементаційн</w:t>
      </w:r>
      <w:r w:rsidR="007F3816" w:rsidRPr="00662CB6">
        <w:rPr>
          <w:rFonts w:ascii="Times New Roman" w:hAnsi="Times New Roman"/>
          <w:bCs/>
          <w:sz w:val="28"/>
          <w:szCs w:val="28"/>
          <w:lang w:val="uk-UA"/>
        </w:rPr>
        <w:t>им</w:t>
      </w:r>
      <w:r w:rsidRPr="00662CB6">
        <w:rPr>
          <w:rFonts w:ascii="Times New Roman" w:hAnsi="Times New Roman"/>
          <w:bCs/>
          <w:sz w:val="28"/>
          <w:szCs w:val="28"/>
          <w:lang w:val="uk-UA"/>
        </w:rPr>
        <w:t xml:space="preserve"> рішення</w:t>
      </w:r>
      <w:r w:rsidR="007F3816" w:rsidRPr="00662CB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662CB6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Європейської комісії (EU) 2019/2010 від 12 листопада 2019 року про встановлення висновків щодо найкращих доступних методів (НДМ) для спалювання відходів, відповідно до Директиви 2010/75/ЄС Європейського парламенту та Ради ЄС</w:t>
      </w:r>
      <w:r w:rsidR="00AF7E09" w:rsidRPr="00662CB6">
        <w:rPr>
          <w:rFonts w:ascii="Times New Roman" w:hAnsi="Times New Roman"/>
          <w:bCs/>
          <w:sz w:val="28"/>
          <w:szCs w:val="28"/>
          <w:lang w:val="uk-UA"/>
        </w:rPr>
        <w:t>.</w:t>
      </w:r>
    </w:p>
    <w:bookmarkEnd w:id="0"/>
    <w:p w14:paraId="458DAF91" w14:textId="634380A2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CB6">
        <w:rPr>
          <w:rFonts w:ascii="Times New Roman" w:hAnsi="Times New Roman"/>
          <w:sz w:val="28"/>
          <w:szCs w:val="28"/>
          <w:lang w:val="uk-UA"/>
        </w:rPr>
        <w:t xml:space="preserve">Крім того, </w:t>
      </w:r>
      <w:r w:rsidR="00B33F97" w:rsidRPr="00662CB6">
        <w:rPr>
          <w:rFonts w:ascii="Times New Roman" w:hAnsi="Times New Roman"/>
          <w:sz w:val="28"/>
          <w:szCs w:val="28"/>
          <w:lang w:val="uk-UA"/>
        </w:rPr>
        <w:t>Міндовкілля</w:t>
      </w:r>
      <w:r w:rsidRPr="00662CB6">
        <w:rPr>
          <w:rFonts w:ascii="Times New Roman" w:hAnsi="Times New Roman"/>
          <w:sz w:val="28"/>
          <w:szCs w:val="28"/>
          <w:lang w:val="uk-UA"/>
        </w:rPr>
        <w:t xml:space="preserve"> визначене відповідальним за виконання завдань, передбачених пункт</w:t>
      </w:r>
      <w:r w:rsidR="00916DF6" w:rsidRPr="00662CB6">
        <w:rPr>
          <w:rFonts w:ascii="Times New Roman" w:hAnsi="Times New Roman"/>
          <w:sz w:val="28"/>
          <w:szCs w:val="28"/>
          <w:lang w:val="uk-UA"/>
        </w:rPr>
        <w:t>ом</w:t>
      </w:r>
      <w:r w:rsidRPr="00662CB6">
        <w:rPr>
          <w:rFonts w:ascii="Times New Roman" w:hAnsi="Times New Roman"/>
          <w:sz w:val="28"/>
          <w:szCs w:val="28"/>
          <w:lang w:val="uk-UA"/>
        </w:rPr>
        <w:t xml:space="preserve"> 1763 Плану заходів з виконання Угоди про асоціацію </w:t>
      </w:r>
      <w:r w:rsidR="007F3816" w:rsidRPr="00662CB6">
        <w:rPr>
          <w:rFonts w:ascii="Times New Roman" w:hAnsi="Times New Roman"/>
          <w:sz w:val="28"/>
          <w:szCs w:val="28"/>
          <w:lang w:val="uk-UA"/>
        </w:rPr>
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Pr="00662CB6">
        <w:rPr>
          <w:rFonts w:ascii="Times New Roman" w:hAnsi="Times New Roman"/>
          <w:sz w:val="28"/>
          <w:szCs w:val="28"/>
          <w:lang w:val="uk-UA"/>
        </w:rPr>
        <w:t>затвердженого постановою Кабінету Міністрів України від 25 жовтня 2017 року № 1106</w:t>
      </w:r>
      <w:bookmarkStart w:id="1" w:name="_Hlk138068186"/>
      <w:r w:rsidRPr="00662CB6">
        <w:rPr>
          <w:rFonts w:ascii="Times New Roman" w:hAnsi="Times New Roman"/>
          <w:sz w:val="28"/>
          <w:szCs w:val="28"/>
          <w:lang w:val="uk-UA"/>
        </w:rPr>
        <w:t>.</w:t>
      </w:r>
    </w:p>
    <w:bookmarkEnd w:id="1"/>
    <w:p w14:paraId="4A177153" w14:textId="77777777" w:rsidR="0049662D" w:rsidRDefault="0049662D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6363E2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Основні положення проє</w:t>
      </w:r>
      <w:r w:rsidRPr="00345661">
        <w:rPr>
          <w:rFonts w:ascii="Times New Roman" w:hAnsi="Times New Roman"/>
          <w:b/>
          <w:sz w:val="28"/>
          <w:szCs w:val="28"/>
          <w:lang w:val="uk-UA"/>
        </w:rPr>
        <w:t>кту акта</w:t>
      </w:r>
    </w:p>
    <w:p w14:paraId="7FFB89B3" w14:textId="2CAD738C" w:rsidR="00AF7E09" w:rsidRPr="0072648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Проєктом акта </w:t>
      </w:r>
      <w:r w:rsidRPr="00726489">
        <w:rPr>
          <w:rFonts w:ascii="Times New Roman" w:hAnsi="Times New Roman"/>
          <w:sz w:val="28"/>
          <w:szCs w:val="28"/>
          <w:lang w:val="uk-UA"/>
        </w:rPr>
        <w:t>пропонується затвердити</w:t>
      </w:r>
      <w:r w:rsidR="0049662D">
        <w:rPr>
          <w:rFonts w:ascii="Times New Roman" w:hAnsi="Times New Roman"/>
          <w:sz w:val="28"/>
          <w:szCs w:val="28"/>
          <w:lang w:val="uk-UA"/>
        </w:rPr>
        <w:t xml:space="preserve"> Технічні вимоги </w:t>
      </w:r>
      <w:r w:rsidR="0049662D" w:rsidRPr="0049662D">
        <w:rPr>
          <w:rFonts w:ascii="Times New Roman" w:hAnsi="Times New Roman"/>
          <w:sz w:val="28"/>
          <w:szCs w:val="28"/>
          <w:lang w:val="uk-UA"/>
        </w:rPr>
        <w:t xml:space="preserve">до експлуатації установок </w:t>
      </w:r>
      <w:r w:rsidR="00F0382E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="0049662D" w:rsidRPr="0049662D">
        <w:rPr>
          <w:rFonts w:ascii="Times New Roman" w:hAnsi="Times New Roman"/>
          <w:sz w:val="28"/>
          <w:szCs w:val="28"/>
          <w:lang w:val="uk-UA"/>
        </w:rPr>
        <w:t xml:space="preserve">спалювання відходів та установок </w:t>
      </w:r>
      <w:r w:rsidR="00F0382E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49662D" w:rsidRPr="0049662D">
        <w:rPr>
          <w:rFonts w:ascii="Times New Roman" w:hAnsi="Times New Roman"/>
          <w:sz w:val="28"/>
          <w:szCs w:val="28"/>
          <w:lang w:val="uk-UA"/>
        </w:rPr>
        <w:t>сумісного спалювання відходів</w:t>
      </w:r>
      <w:r w:rsidRPr="00726489">
        <w:rPr>
          <w:rFonts w:ascii="Times New Roman" w:hAnsi="Times New Roman"/>
          <w:sz w:val="28"/>
          <w:szCs w:val="28"/>
          <w:lang w:val="uk-UA"/>
        </w:rPr>
        <w:t>.</w:t>
      </w:r>
    </w:p>
    <w:p w14:paraId="7469B4AC" w14:textId="4916047C" w:rsidR="00415FE6" w:rsidRDefault="0044385F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244A">
        <w:rPr>
          <w:rFonts w:ascii="Times New Roman" w:hAnsi="Times New Roman"/>
          <w:sz w:val="28"/>
          <w:szCs w:val="28"/>
          <w:lang w:val="uk-UA"/>
        </w:rPr>
        <w:t>Пунктом 2 проекту Технічних вимог передбачається, що Вимоги є обов’язковими для виконання усіма операторами установок</w:t>
      </w:r>
      <w:r w:rsidR="00415FE6">
        <w:rPr>
          <w:rFonts w:ascii="Times New Roman" w:hAnsi="Times New Roman"/>
          <w:sz w:val="28"/>
          <w:szCs w:val="28"/>
          <w:lang w:val="uk-UA"/>
        </w:rPr>
        <w:t>, крім установок, які визначені частинами третьою та четвертою статті 38 Закону України «Про управління відходами».</w:t>
      </w:r>
    </w:p>
    <w:p w14:paraId="70B02D40" w14:textId="77777777" w:rsidR="0049662D" w:rsidRDefault="0049662D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1C4DBC6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lastRenderedPageBreak/>
        <w:t>4. Правові аспекти</w:t>
      </w:r>
    </w:p>
    <w:p w14:paraId="68300794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11BD">
        <w:rPr>
          <w:rFonts w:ascii="Times New Roman" w:hAnsi="Times New Roman"/>
          <w:bCs/>
          <w:sz w:val="28"/>
          <w:szCs w:val="28"/>
          <w:lang w:val="uk-UA"/>
        </w:rPr>
        <w:t>У цій сфері правового регулювання діють:</w:t>
      </w:r>
    </w:p>
    <w:p w14:paraId="159FB201" w14:textId="77777777" w:rsidR="00AF7E09" w:rsidRPr="00A279FF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1) 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>Угод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</w:r>
      <w:r>
        <w:rPr>
          <w:rFonts w:ascii="Times New Roman" w:hAnsi="Times New Roman"/>
          <w:bCs/>
          <w:sz w:val="28"/>
          <w:szCs w:val="28"/>
          <w:lang w:val="uk-UA"/>
        </w:rPr>
        <w:t>, ратифікована</w:t>
      </w:r>
      <w:r w:rsidRPr="00A279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16 вересня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>2014 року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№1678-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A7C7FCB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r w:rsidRPr="006869AD">
        <w:rPr>
          <w:rFonts w:ascii="Times New Roman" w:hAnsi="Times New Roman"/>
          <w:bCs/>
          <w:sz w:val="28"/>
          <w:szCs w:val="28"/>
          <w:lang w:val="uk-UA"/>
        </w:rPr>
        <w:t>Закон України «Про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охорону навколишнього природного середовища</w:t>
      </w:r>
      <w:r w:rsidRPr="006869AD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157B8A64" w14:textId="486E53A0" w:rsidR="0044385F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>Закон Укр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t xml:space="preserve">аїни </w:t>
      </w:r>
      <w:r w:rsidR="0044385F">
        <w:rPr>
          <w:rFonts w:ascii="Times New Roman" w:hAnsi="Times New Roman"/>
          <w:bCs/>
          <w:sz w:val="28"/>
          <w:szCs w:val="28"/>
          <w:lang w:val="uk-UA"/>
        </w:rPr>
        <w:t>«Про охорону атмосферного повітря»;</w:t>
      </w:r>
    </w:p>
    <w:p w14:paraId="053F67C4" w14:textId="55FA918D" w:rsidR="00AF7E09" w:rsidRDefault="0044385F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4) </w:t>
      </w:r>
      <w:r w:rsidRPr="0044385F">
        <w:rPr>
          <w:rFonts w:ascii="Times New Roman" w:hAnsi="Times New Roman"/>
          <w:bCs/>
          <w:sz w:val="28"/>
          <w:szCs w:val="28"/>
          <w:lang w:val="uk-UA"/>
        </w:rPr>
        <w:t xml:space="preserve">Закон України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t>«Про управління відходами».</w:t>
      </w:r>
    </w:p>
    <w:p w14:paraId="6C7C7596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B7DBD9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117A0474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положень проє</w:t>
      </w:r>
      <w:r w:rsidRPr="00765FE3">
        <w:rPr>
          <w:rFonts w:ascii="Times New Roman" w:hAnsi="Times New Roman"/>
          <w:sz w:val="28"/>
          <w:szCs w:val="28"/>
          <w:lang w:val="uk-UA"/>
        </w:rPr>
        <w:t xml:space="preserve">кту </w:t>
      </w:r>
      <w:r>
        <w:rPr>
          <w:rFonts w:ascii="Times New Roman" w:hAnsi="Times New Roman"/>
          <w:sz w:val="28"/>
          <w:szCs w:val="28"/>
          <w:lang w:val="uk-UA"/>
        </w:rPr>
        <w:t>акта</w:t>
      </w:r>
      <w:r w:rsidRPr="00765FE3">
        <w:rPr>
          <w:rFonts w:ascii="Times New Roman" w:hAnsi="Times New Roman"/>
          <w:sz w:val="28"/>
          <w:szCs w:val="28"/>
          <w:lang w:val="uk-UA"/>
        </w:rPr>
        <w:t xml:space="preserve"> не потребує додаткових фінансових витрат з державного або місцевого бюджетів.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0989EB" w14:textId="6A05DB7F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C71E18">
        <w:rPr>
          <w:rFonts w:ascii="Times New Roman" w:hAnsi="Times New Roman"/>
          <w:sz w:val="28"/>
          <w:szCs w:val="28"/>
          <w:lang w:val="uk-UA"/>
        </w:rPr>
        <w:t xml:space="preserve">інансування заходів </w:t>
      </w:r>
      <w:r w:rsidR="0049662D">
        <w:rPr>
          <w:rFonts w:ascii="Times New Roman" w:hAnsi="Times New Roman"/>
          <w:sz w:val="28"/>
          <w:szCs w:val="28"/>
          <w:lang w:val="uk-UA"/>
        </w:rPr>
        <w:t xml:space="preserve">щодо функціонування </w:t>
      </w:r>
      <w:r w:rsidR="0044385F">
        <w:rPr>
          <w:rFonts w:ascii="Times New Roman" w:hAnsi="Times New Roman"/>
          <w:sz w:val="28"/>
          <w:szCs w:val="28"/>
          <w:lang w:val="uk-UA"/>
        </w:rPr>
        <w:t xml:space="preserve">та експлуатації </w:t>
      </w:r>
      <w:r w:rsidR="0049662D">
        <w:rPr>
          <w:rFonts w:ascii="Times New Roman" w:hAnsi="Times New Roman"/>
          <w:sz w:val="28"/>
          <w:szCs w:val="28"/>
          <w:lang w:val="uk-UA"/>
        </w:rPr>
        <w:t>установок спалювання відходів та установок сумісного спалювання відходів, здійснення операторами таких установок</w:t>
      </w:r>
      <w:r w:rsidRPr="00C71E18">
        <w:rPr>
          <w:rFonts w:ascii="Times New Roman" w:hAnsi="Times New Roman"/>
          <w:sz w:val="28"/>
          <w:szCs w:val="28"/>
          <w:lang w:val="uk-UA"/>
        </w:rPr>
        <w:t xml:space="preserve"> моніторингу </w:t>
      </w:r>
      <w:r w:rsidR="0049662D">
        <w:rPr>
          <w:rFonts w:ascii="Times New Roman" w:hAnsi="Times New Roman"/>
          <w:sz w:val="28"/>
          <w:szCs w:val="28"/>
          <w:lang w:val="uk-UA"/>
        </w:rPr>
        <w:t>установок</w:t>
      </w:r>
      <w:r w:rsidRPr="00C71E18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власних коштів суб’єктів господарювання у сфері управління відходами, які експлуатують об’єкт оброблення відходів, незалежно від форм власності та організаційно-правових форм, а також з  інших джерел, не заборонених законодавством.</w:t>
      </w:r>
    </w:p>
    <w:p w14:paraId="35FCC38E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6E77E" w14:textId="77777777" w:rsidR="00AF7E09" w:rsidRPr="00662CB6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2CB6">
        <w:rPr>
          <w:rFonts w:ascii="Times New Roman" w:hAnsi="Times New Roman"/>
          <w:b/>
          <w:sz w:val="28"/>
          <w:szCs w:val="28"/>
          <w:lang w:val="uk-UA"/>
        </w:rPr>
        <w:t>6. Позиція заінтересованих сторін</w:t>
      </w:r>
    </w:p>
    <w:p w14:paraId="1BDCF236" w14:textId="448F43B5" w:rsidR="007F3816" w:rsidRPr="00662CB6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CB6">
        <w:rPr>
          <w:rFonts w:ascii="Times New Roman" w:hAnsi="Times New Roman"/>
          <w:sz w:val="28"/>
          <w:szCs w:val="28"/>
          <w:lang w:val="uk-UA"/>
        </w:rPr>
        <w:t xml:space="preserve">Проєкт акта не стосується питань </w:t>
      </w:r>
      <w:r w:rsidR="007F3816" w:rsidRPr="00662CB6">
        <w:rPr>
          <w:rFonts w:ascii="Times New Roman" w:hAnsi="Times New Roman"/>
          <w:sz w:val="28"/>
          <w:szCs w:val="28"/>
          <w:lang w:val="uk-UA"/>
        </w:rPr>
        <w:t>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мови, а також визначається ступінь відображення такої позиції в проекті акта.</w:t>
      </w:r>
    </w:p>
    <w:p w14:paraId="4CBF982A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CB6">
        <w:rPr>
          <w:rFonts w:ascii="Times New Roman" w:hAnsi="Times New Roman"/>
          <w:sz w:val="28"/>
          <w:szCs w:val="28"/>
          <w:lang w:val="uk-UA"/>
        </w:rPr>
        <w:t>Проєкт акта не стосується сфери наукової та науково</w:t>
      </w:r>
      <w:r w:rsidRPr="00CD4745">
        <w:rPr>
          <w:rFonts w:ascii="Times New Roman" w:hAnsi="Times New Roman"/>
          <w:sz w:val="28"/>
          <w:szCs w:val="28"/>
          <w:lang w:val="uk-UA"/>
        </w:rPr>
        <w:t>-технічної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745">
        <w:rPr>
          <w:rFonts w:ascii="Times New Roman" w:hAnsi="Times New Roman"/>
          <w:sz w:val="28"/>
          <w:szCs w:val="28"/>
          <w:lang w:val="uk-UA"/>
        </w:rPr>
        <w:t>і не потребує консультацій із Науковим комітетом Національної ради з питань розвитку науки і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D3D6FE7" w14:textId="4725589C" w:rsidR="00054A1D" w:rsidRDefault="007D1E73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E73">
        <w:rPr>
          <w:rFonts w:ascii="Times New Roman" w:hAnsi="Times New Roman"/>
          <w:sz w:val="28"/>
          <w:szCs w:val="28"/>
          <w:lang w:val="uk-UA"/>
        </w:rPr>
        <w:t xml:space="preserve">З огляду на положення абзацу вісімнадцятого частини </w:t>
      </w:r>
      <w:r w:rsidR="008A72BF">
        <w:rPr>
          <w:rFonts w:ascii="Times New Roman" w:hAnsi="Times New Roman"/>
          <w:sz w:val="28"/>
          <w:szCs w:val="28"/>
          <w:lang w:val="uk-UA"/>
        </w:rPr>
        <w:t>другої статті 3 Закону України «</w:t>
      </w:r>
      <w:r w:rsidRPr="007D1E73">
        <w:rPr>
          <w:rFonts w:ascii="Times New Roman" w:hAnsi="Times New Roman"/>
          <w:sz w:val="28"/>
          <w:szCs w:val="28"/>
          <w:lang w:val="uk-UA"/>
        </w:rPr>
        <w:t>Про засади державної регуляторної політики у</w:t>
      </w:r>
      <w:r w:rsidR="008A72BF">
        <w:rPr>
          <w:rFonts w:ascii="Times New Roman" w:hAnsi="Times New Roman"/>
          <w:sz w:val="28"/>
          <w:szCs w:val="28"/>
          <w:lang w:val="uk-UA"/>
        </w:rPr>
        <w:t xml:space="preserve"> сфері господарської діяльності»</w:t>
      </w:r>
      <w:r w:rsidRPr="007D1E73">
        <w:rPr>
          <w:rFonts w:ascii="Times New Roman" w:hAnsi="Times New Roman"/>
          <w:sz w:val="28"/>
          <w:szCs w:val="28"/>
          <w:lang w:val="uk-UA"/>
        </w:rPr>
        <w:t xml:space="preserve">, згідно з яким його дія не поширюється на здійснення регуляторної діяльності, пов’язаної з прийняттям нормативно-правових актів, що містять положення, спрямовані на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</w:t>
      </w:r>
      <w:r w:rsidRPr="007D1E73">
        <w:rPr>
          <w:rFonts w:ascii="Times New Roman" w:hAnsi="Times New Roman"/>
          <w:sz w:val="28"/>
          <w:szCs w:val="28"/>
          <w:lang w:val="uk-UA"/>
        </w:rPr>
        <w:lastRenderedPageBreak/>
        <w:t xml:space="preserve">сторони, у тому числі додатків до неї, проєкт </w:t>
      </w:r>
      <w:r w:rsidR="008A72BF">
        <w:rPr>
          <w:rFonts w:ascii="Times New Roman" w:hAnsi="Times New Roman"/>
          <w:sz w:val="28"/>
          <w:szCs w:val="28"/>
          <w:lang w:val="uk-UA"/>
        </w:rPr>
        <w:t>акта</w:t>
      </w:r>
      <w:r w:rsidRPr="007D1E73">
        <w:rPr>
          <w:rFonts w:ascii="Times New Roman" w:hAnsi="Times New Roman"/>
          <w:sz w:val="28"/>
          <w:szCs w:val="28"/>
          <w:lang w:val="uk-UA"/>
        </w:rPr>
        <w:t xml:space="preserve"> не потребує погодження з Державною регуляторною службою України.</w:t>
      </w:r>
    </w:p>
    <w:p w14:paraId="358CBEEE" w14:textId="04960A7C" w:rsidR="007F3816" w:rsidRDefault="007F3816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2CB6">
        <w:rPr>
          <w:rFonts w:ascii="Times New Roman" w:hAnsi="Times New Roman"/>
          <w:sz w:val="28"/>
          <w:szCs w:val="28"/>
          <w:lang w:val="uk-UA"/>
        </w:rPr>
        <w:t>На виконання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 996 “Про забезпечення участі громадськості у формуванні та реалізації державної політики”, проект постанови розміщено на офіційн</w:t>
      </w:r>
      <w:r w:rsidR="00662CB6" w:rsidRPr="00662CB6">
        <w:rPr>
          <w:rFonts w:ascii="Times New Roman" w:hAnsi="Times New Roman"/>
          <w:sz w:val="28"/>
          <w:szCs w:val="28"/>
          <w:lang w:val="uk-UA"/>
        </w:rPr>
        <w:t>ому</w:t>
      </w:r>
      <w:r w:rsidRPr="00662CB6">
        <w:rPr>
          <w:rFonts w:ascii="Times New Roman" w:hAnsi="Times New Roman"/>
          <w:sz w:val="28"/>
          <w:szCs w:val="28"/>
          <w:lang w:val="uk-UA"/>
        </w:rPr>
        <w:t xml:space="preserve"> веб-</w:t>
      </w:r>
      <w:r w:rsidR="00662CB6" w:rsidRPr="00662CB6">
        <w:rPr>
          <w:rFonts w:ascii="Times New Roman" w:hAnsi="Times New Roman"/>
          <w:sz w:val="28"/>
          <w:szCs w:val="28"/>
          <w:lang w:val="uk-UA"/>
        </w:rPr>
        <w:t>сайті</w:t>
      </w:r>
      <w:r w:rsidRPr="00662CB6">
        <w:rPr>
          <w:rFonts w:ascii="Times New Roman" w:hAnsi="Times New Roman"/>
          <w:sz w:val="28"/>
          <w:szCs w:val="28"/>
          <w:lang w:val="uk-UA"/>
        </w:rPr>
        <w:t xml:space="preserve"> Міндовкілля</w:t>
      </w:r>
      <w:r w:rsidR="00662CB6" w:rsidRPr="00662CB6">
        <w:rPr>
          <w:rFonts w:ascii="Times New Roman" w:hAnsi="Times New Roman"/>
          <w:sz w:val="28"/>
          <w:szCs w:val="28"/>
          <w:lang w:val="uk-UA"/>
        </w:rPr>
        <w:t>.</w:t>
      </w:r>
    </w:p>
    <w:p w14:paraId="68FAE4C1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C26B96B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7. Оцінка відповідності</w:t>
      </w:r>
    </w:p>
    <w:p w14:paraId="74A440FE" w14:textId="77777777" w:rsidR="00AF7E09" w:rsidRPr="00D93932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акта </w:t>
      </w:r>
      <w:r w:rsidRPr="00CD4745">
        <w:rPr>
          <w:rFonts w:ascii="Times New Roman" w:hAnsi="Times New Roman"/>
          <w:bCs/>
          <w:sz w:val="28"/>
          <w:szCs w:val="28"/>
          <w:lang w:val="uk-UA"/>
        </w:rPr>
        <w:t>містить положення, що стосуються зобов’язань України у сфері європейської інтеграції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, зокрема:</w:t>
      </w:r>
    </w:p>
    <w:p w14:paraId="5C5E4BAE" w14:textId="77777777" w:rsidR="00AF7E09" w:rsidRPr="00D93932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32">
        <w:rPr>
          <w:rFonts w:ascii="Times New Roman" w:hAnsi="Times New Roman"/>
          <w:bCs/>
          <w:sz w:val="28"/>
          <w:szCs w:val="28"/>
          <w:lang w:val="uk-UA"/>
        </w:rPr>
        <w:tab/>
        <w:t>Директив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Європейського Парламенту та Ради 2008/98/ЄС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br/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від 19 листопада 2008 року про відходи та скасування директив;</w:t>
      </w:r>
    </w:p>
    <w:p w14:paraId="58BA3588" w14:textId="23B81FA3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32">
        <w:rPr>
          <w:rFonts w:ascii="Times New Roman" w:hAnsi="Times New Roman"/>
          <w:bCs/>
          <w:sz w:val="28"/>
          <w:szCs w:val="28"/>
          <w:lang w:val="uk-UA"/>
        </w:rPr>
        <w:tab/>
      </w:r>
      <w:r w:rsidR="00B33F9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Директив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Європейського Парламенту та Ради 2010/75/ЄС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br/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від 24 листопада 2010 року про промислові викиди (інтегрований підхід до запобігання забрудненню та його контролю)</w:t>
      </w:r>
      <w:r w:rsidR="007F3816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AA47AE5" w14:textId="440D6B32" w:rsidR="00916DF6" w:rsidRDefault="00916DF6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6DF6">
        <w:rPr>
          <w:rFonts w:ascii="Times New Roman" w:hAnsi="Times New Roman"/>
          <w:bCs/>
          <w:sz w:val="28"/>
          <w:szCs w:val="28"/>
          <w:lang w:val="uk-UA"/>
        </w:rPr>
        <w:t>Імплементаційн</w:t>
      </w:r>
      <w:r w:rsidR="007F3816"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916DF6">
        <w:rPr>
          <w:rFonts w:ascii="Times New Roman" w:hAnsi="Times New Roman"/>
          <w:bCs/>
          <w:sz w:val="28"/>
          <w:szCs w:val="28"/>
          <w:lang w:val="uk-UA"/>
        </w:rPr>
        <w:t xml:space="preserve"> рішення Європейської комісії (EU) 2019/2010 від 12 листопада 2019 року про встановлення висновків щодо найкращих доступних методів (НДМ) для спалювання відходів, відповідно до Директиви 2010/75/ЄС Європейського парламенту та Ради ЄС.</w:t>
      </w:r>
    </w:p>
    <w:p w14:paraId="130B90E4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Проєкт акта не містить положень, 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що стосуються прав та свобод, гарантованих Конвенцією про захист прав людини і основоположних свобод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DC22B4F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акта не 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впливає на забезпечення рівних прав т</w:t>
      </w:r>
      <w:r>
        <w:rPr>
          <w:rFonts w:ascii="Times New Roman" w:hAnsi="Times New Roman"/>
          <w:bCs/>
          <w:sz w:val="28"/>
          <w:szCs w:val="28"/>
          <w:lang w:val="uk-UA"/>
        </w:rPr>
        <w:t>а можливостей жінок і чоловіків,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на ринок праці,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не містить положень, які порушують принцип забезпечення рівних прав та можливостей жінок і чоловіків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D043D2E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Норми проє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кту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акта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6ABF27E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Проєкт акта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буде направлено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до Національного агентства з питань запобігання корупції </w:t>
      </w:r>
      <w:r w:rsidRPr="006E47F6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визначення необхідності </w:t>
      </w:r>
      <w:r w:rsidRPr="006E47F6">
        <w:rPr>
          <w:rFonts w:ascii="Times New Roman" w:hAnsi="Times New Roman"/>
          <w:bCs/>
          <w:sz w:val="28"/>
          <w:szCs w:val="28"/>
          <w:lang w:val="uk-UA"/>
        </w:rPr>
        <w:t>проведення антикорупційної експертизи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D828B04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5EA8">
        <w:rPr>
          <w:rFonts w:ascii="Times New Roman" w:hAnsi="Times New Roman"/>
          <w:bCs/>
          <w:sz w:val="28"/>
          <w:szCs w:val="28"/>
          <w:lang w:val="uk-UA"/>
        </w:rPr>
        <w:t>Громадська антикорупційна, громадська антидискримінаційна та громадська гендерно-правова експертизи не проводились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41BD79E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2BA6F6" w14:textId="77777777" w:rsidR="00AF7E09" w:rsidRPr="00345661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8. Прогноз результатів</w:t>
      </w:r>
    </w:p>
    <w:p w14:paraId="74B0E7AE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проє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кту </w:t>
      </w:r>
      <w:r>
        <w:rPr>
          <w:rFonts w:ascii="Times New Roman" w:hAnsi="Times New Roman"/>
          <w:sz w:val="28"/>
          <w:szCs w:val="28"/>
          <w:lang w:val="uk-UA"/>
        </w:rPr>
        <w:t>акта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 матиме позитивний вплив на 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навколишнє </w:t>
      </w:r>
      <w:r w:rsidR="008A72BF">
        <w:rPr>
          <w:rFonts w:ascii="Times New Roman" w:hAnsi="Times New Roman"/>
          <w:sz w:val="28"/>
          <w:szCs w:val="28"/>
          <w:lang w:val="uk-UA"/>
        </w:rPr>
        <w:t>природне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 середовище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забезпечить </w:t>
      </w:r>
      <w:r w:rsidR="0049662D">
        <w:rPr>
          <w:rFonts w:ascii="Times New Roman" w:hAnsi="Times New Roman"/>
          <w:sz w:val="28"/>
          <w:szCs w:val="28"/>
          <w:lang w:val="uk-UA"/>
        </w:rPr>
        <w:t xml:space="preserve">ефективне функціонування </w:t>
      </w:r>
      <w:r w:rsidR="0049662D" w:rsidRPr="0049662D">
        <w:rPr>
          <w:rFonts w:ascii="Times New Roman" w:hAnsi="Times New Roman"/>
          <w:sz w:val="28"/>
          <w:szCs w:val="28"/>
          <w:lang w:val="uk-UA"/>
        </w:rPr>
        <w:t>установок спалювання відходів та установок сумісного спалювання відходів,</w:t>
      </w:r>
      <w:r w:rsidR="0049662D">
        <w:rPr>
          <w:rFonts w:ascii="Times New Roman" w:hAnsi="Times New Roman"/>
          <w:sz w:val="28"/>
          <w:szCs w:val="28"/>
          <w:lang w:val="uk-UA"/>
        </w:rPr>
        <w:t xml:space="preserve"> застосування методів та заходів скорочення викидів в атмосферне повітря та скидів у водні об’єкти, застосування операторами установок найкращих доступних технологій у роботі зазначених установок, ефективне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C4689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оніторингу </w:t>
      </w:r>
      <w:r w:rsidR="00C46891">
        <w:rPr>
          <w:rFonts w:ascii="Times New Roman" w:hAnsi="Times New Roman"/>
          <w:sz w:val="28"/>
          <w:szCs w:val="28"/>
          <w:lang w:val="uk-UA"/>
        </w:rPr>
        <w:t xml:space="preserve">роботи установок і </w:t>
      </w:r>
      <w:r w:rsidRPr="00516749">
        <w:rPr>
          <w:rFonts w:ascii="Times New Roman" w:hAnsi="Times New Roman"/>
          <w:sz w:val="28"/>
          <w:szCs w:val="28"/>
          <w:lang w:val="uk-UA"/>
        </w:rPr>
        <w:t>вимірювання показників стану атмосферного повітря, підземних та поверхових вод, ґрунт</w:t>
      </w:r>
      <w:r w:rsidR="00C46891">
        <w:rPr>
          <w:rFonts w:ascii="Times New Roman" w:hAnsi="Times New Roman"/>
          <w:sz w:val="28"/>
          <w:szCs w:val="28"/>
          <w:lang w:val="uk-UA"/>
        </w:rPr>
        <w:t>ів</w:t>
      </w:r>
      <w:r w:rsidRPr="00516749">
        <w:rPr>
          <w:rFonts w:ascii="Times New Roman" w:hAnsi="Times New Roman"/>
          <w:sz w:val="28"/>
          <w:szCs w:val="28"/>
          <w:lang w:val="uk-UA"/>
        </w:rPr>
        <w:t>,</w:t>
      </w:r>
      <w:r w:rsidR="00C46891">
        <w:rPr>
          <w:rFonts w:ascii="Times New Roman" w:hAnsi="Times New Roman"/>
          <w:sz w:val="28"/>
          <w:szCs w:val="28"/>
          <w:lang w:val="uk-UA"/>
        </w:rPr>
        <w:t xml:space="preserve"> запахів,</w:t>
      </w:r>
      <w:r w:rsidRPr="00516749">
        <w:rPr>
          <w:rFonts w:ascii="Times New Roman" w:hAnsi="Times New Roman"/>
          <w:sz w:val="28"/>
          <w:szCs w:val="28"/>
          <w:lang w:val="uk-UA"/>
        </w:rPr>
        <w:t xml:space="preserve"> шумового </w:t>
      </w:r>
      <w:r w:rsidR="00C46891">
        <w:rPr>
          <w:rFonts w:ascii="Times New Roman" w:hAnsi="Times New Roman"/>
          <w:sz w:val="28"/>
          <w:szCs w:val="28"/>
          <w:lang w:val="uk-UA"/>
        </w:rPr>
        <w:t>забруднення</w:t>
      </w:r>
      <w:r w:rsidR="008A72B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Pr="006E47F6">
        <w:rPr>
          <w:rFonts w:ascii="Times New Roman" w:hAnsi="Times New Roman"/>
          <w:sz w:val="28"/>
          <w:szCs w:val="28"/>
          <w:lang w:val="uk-UA"/>
        </w:rPr>
        <w:t>вцілому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 призведе до покращення здоров’я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санітарно-епідеміологічного стану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територій</w:t>
      </w:r>
      <w:r w:rsidR="00C468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891" w:rsidRPr="00C46891">
        <w:rPr>
          <w:rFonts w:ascii="Times New Roman" w:hAnsi="Times New Roman"/>
          <w:sz w:val="28"/>
          <w:szCs w:val="28"/>
          <w:lang w:val="uk-UA"/>
        </w:rPr>
        <w:t>установок спалювання відходів та установок сумісного спалювання відходів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1B506E1" w14:textId="777777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47F6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6E47F6">
        <w:rPr>
          <w:rFonts w:ascii="Times New Roman" w:hAnsi="Times New Roman"/>
          <w:sz w:val="28"/>
          <w:szCs w:val="28"/>
          <w:lang w:val="uk-UA"/>
        </w:rPr>
        <w:t>кту</w:t>
      </w:r>
      <w:r>
        <w:rPr>
          <w:rFonts w:ascii="Times New Roman" w:hAnsi="Times New Roman"/>
          <w:sz w:val="28"/>
          <w:szCs w:val="28"/>
          <w:lang w:val="uk-UA"/>
        </w:rPr>
        <w:t xml:space="preserve"> акта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 матиме вплив на інтереси заінтересованих сторін:</w:t>
      </w:r>
    </w:p>
    <w:tbl>
      <w:tblPr>
        <w:tblW w:w="4997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0"/>
        <w:gridCol w:w="2590"/>
        <w:gridCol w:w="4836"/>
      </w:tblGrid>
      <w:tr w:rsidR="00AF7E09" w:rsidRPr="009A3E55" w14:paraId="76B3B9EE" w14:textId="77777777" w:rsidTr="005C6C97">
        <w:tc>
          <w:tcPr>
            <w:tcW w:w="2222" w:type="dxa"/>
            <w:shd w:val="clear" w:color="auto" w:fill="FFFFFF"/>
            <w:vAlign w:val="center"/>
            <w:hideMark/>
          </w:tcPr>
          <w:p w14:paraId="58D5CB91" w14:textId="77777777" w:rsidR="00AF7E09" w:rsidRPr="009A3E55" w:rsidRDefault="00AF7E09" w:rsidP="008A3BA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14:paraId="1CEF4DBF" w14:textId="77777777" w:rsidR="00AF7E09" w:rsidRPr="009A3E55" w:rsidRDefault="00AF7E09" w:rsidP="008A3BA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14:paraId="23866A96" w14:textId="77777777" w:rsidR="00AF7E09" w:rsidRPr="009A3E55" w:rsidRDefault="00AF7E09" w:rsidP="008A3BA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Пояснення очікуваного впливу</w:t>
            </w:r>
          </w:p>
        </w:tc>
      </w:tr>
      <w:tr w:rsidR="00AF7E09" w:rsidRPr="00662CB6" w14:paraId="6FAA0E22" w14:textId="77777777" w:rsidTr="005C6C97">
        <w:tc>
          <w:tcPr>
            <w:tcW w:w="2222" w:type="dxa"/>
            <w:vMerge w:val="restart"/>
            <w:shd w:val="clear" w:color="auto" w:fill="FFFFFF"/>
          </w:tcPr>
          <w:p w14:paraId="67F0DD90" w14:textId="77777777" w:rsidR="00AF7E09" w:rsidRPr="009A3E55" w:rsidRDefault="00AF7E09" w:rsidP="008A3BA5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2581" w:type="dxa"/>
            <w:shd w:val="clear" w:color="auto" w:fill="FFFFFF"/>
          </w:tcPr>
          <w:p w14:paraId="1E70D221" w14:textId="77777777" w:rsidR="00AF7E09" w:rsidRPr="009A3E55" w:rsidRDefault="00AF7E09" w:rsidP="008A3BA5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4819" w:type="dxa"/>
            <w:shd w:val="clear" w:color="auto" w:fill="FFFFFF"/>
          </w:tcPr>
          <w:p w14:paraId="6939F648" w14:textId="77777777" w:rsidR="00AF7E09" w:rsidRPr="009A3E55" w:rsidRDefault="00AF7E09" w:rsidP="008A3BA5">
            <w:pPr>
              <w:spacing w:after="0" w:line="240" w:lineRule="auto"/>
              <w:ind w:left="170" w:righ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чітк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технічних вимог </w:t>
            </w:r>
            <w:r w:rsidR="00C46891" w:rsidRPr="00C46891">
              <w:rPr>
                <w:rFonts w:ascii="Times New Roman" w:hAnsi="Times New Roman"/>
                <w:sz w:val="24"/>
                <w:szCs w:val="24"/>
                <w:lang w:val="uk-UA"/>
              </w:rPr>
              <w:t>до експлуатації установок спалювання відходів та установок сумісного спалювання відходів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призведе до 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таки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>установок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</w:t>
            </w:r>
            <w:r w:rsidR="008A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</w:t>
            </w:r>
            <w:r w:rsidR="008A72BF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найкращих європейських практик та Закону України «Про управління відходами</w:t>
            </w:r>
            <w:r w:rsidR="00B33F9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дозволить запобігти чи зменшити та контролювати негативні наслідки для </w:t>
            </w:r>
            <w:r w:rsidR="008A72BF">
              <w:rPr>
                <w:rFonts w:ascii="Times New Roman" w:hAnsi="Times New Roman"/>
                <w:sz w:val="24"/>
                <w:szCs w:val="24"/>
                <w:lang w:val="uk-UA"/>
              </w:rPr>
              <w:t>навколишнього природн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середовища 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об’єктів оброблення відходів.</w:t>
            </w:r>
          </w:p>
        </w:tc>
      </w:tr>
      <w:tr w:rsidR="00AF7E09" w:rsidRPr="00662CB6" w14:paraId="0A15D2AA" w14:textId="77777777" w:rsidTr="005C6C97">
        <w:tc>
          <w:tcPr>
            <w:tcW w:w="2222" w:type="dxa"/>
            <w:vMerge/>
            <w:shd w:val="clear" w:color="auto" w:fill="FFFFFF"/>
          </w:tcPr>
          <w:p w14:paraId="69ED105B" w14:textId="77777777" w:rsidR="00AF7E09" w:rsidRPr="009A3E55" w:rsidRDefault="00AF7E09" w:rsidP="008A3BA5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shd w:val="clear" w:color="auto" w:fill="FFFFFF"/>
          </w:tcPr>
          <w:p w14:paraId="46996360" w14:textId="77777777" w:rsidR="00AF7E09" w:rsidRPr="009A3E55" w:rsidRDefault="00AF7E09" w:rsidP="008A3BA5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4819" w:type="dxa"/>
            <w:shd w:val="clear" w:color="auto" w:fill="FFFFFF"/>
          </w:tcPr>
          <w:p w14:paraId="05863E6F" w14:textId="77777777" w:rsidR="00AF7E09" w:rsidRPr="009A3E55" w:rsidRDefault="00AF7E09" w:rsidP="008A3BA5">
            <w:pPr>
              <w:spacing w:after="0" w:line="240" w:lineRule="auto"/>
              <w:ind w:left="170" w:righ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операційних витрат на 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методів управління та заходів, спрямованих на </w:t>
            </w:r>
            <w:r w:rsidR="00C46891" w:rsidRPr="00C46891">
              <w:rPr>
                <w:rFonts w:ascii="Times New Roman" w:hAnsi="Times New Roman"/>
                <w:sz w:val="24"/>
                <w:szCs w:val="24"/>
                <w:lang w:val="uk-UA"/>
              </w:rPr>
              <w:t>скорочення викидів в атмосферне повітр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>я та  с</w:t>
            </w:r>
            <w:r w:rsidR="00C46891" w:rsidRPr="00C46891">
              <w:rPr>
                <w:rFonts w:ascii="Times New Roman" w:hAnsi="Times New Roman"/>
                <w:sz w:val="24"/>
                <w:szCs w:val="24"/>
                <w:lang w:val="uk-UA"/>
              </w:rPr>
              <w:t>корочення скидів у водні об’єкти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>, вжиття заходів до зменшення шумового забруднення та запахів від установок, запобігання аваріям, та здійснення моніторингу роботи установок.</w:t>
            </w:r>
          </w:p>
        </w:tc>
      </w:tr>
      <w:tr w:rsidR="00AF7E09" w:rsidRPr="00662CB6" w14:paraId="1715B00D" w14:textId="77777777" w:rsidTr="005C6C97">
        <w:tc>
          <w:tcPr>
            <w:tcW w:w="2222" w:type="dxa"/>
            <w:shd w:val="clear" w:color="auto" w:fill="FFFFFF"/>
          </w:tcPr>
          <w:p w14:paraId="023F68ED" w14:textId="77777777" w:rsidR="00AF7E09" w:rsidRPr="009A3E55" w:rsidRDefault="00AF7E09" w:rsidP="008A3BA5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</w:tc>
        <w:tc>
          <w:tcPr>
            <w:tcW w:w="2581" w:type="dxa"/>
            <w:shd w:val="clear" w:color="auto" w:fill="FFFFFF"/>
          </w:tcPr>
          <w:p w14:paraId="55A9032B" w14:textId="77777777" w:rsidR="00AF7E09" w:rsidRPr="009A3E55" w:rsidRDefault="00AF7E09" w:rsidP="008A3BA5">
            <w:pPr>
              <w:spacing w:after="0" w:line="240" w:lineRule="auto"/>
              <w:ind w:left="130" w:right="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4819" w:type="dxa"/>
            <w:shd w:val="clear" w:color="auto" w:fill="FFFFFF"/>
          </w:tcPr>
          <w:p w14:paraId="4FEB75DE" w14:textId="77777777" w:rsidR="00AF7E09" w:rsidRPr="009A3E55" w:rsidRDefault="00AF7E09" w:rsidP="008A3BA5">
            <w:pPr>
              <w:spacing w:after="0" w:line="240" w:lineRule="auto"/>
              <w:ind w:left="170" w:righ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Уникнення чи зменшення шкідливого впливу </w:t>
            </w:r>
            <w:r w:rsidR="00C46891" w:rsidRPr="00C46891">
              <w:rPr>
                <w:rFonts w:ascii="Times New Roman" w:hAnsi="Times New Roman"/>
                <w:sz w:val="24"/>
                <w:szCs w:val="24"/>
                <w:lang w:val="uk-UA"/>
              </w:rPr>
              <w:t>установок спалювання відходів та установок сумісного спалювання відходів</w:t>
            </w:r>
            <w:r w:rsidR="00C46891"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здоров’я населення, покращення санітарно-епідеміологічного стану територій довкола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 w:rsidR="00C468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оброблення відходів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, зменшення соціального впливу та негативного відношення населення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49">
              <w:rPr>
                <w:rFonts w:ascii="Times New Roman" w:hAnsi="Times New Roman"/>
                <w:sz w:val="24"/>
                <w:szCs w:val="24"/>
                <w:lang w:val="uk-UA"/>
              </w:rPr>
              <w:t>об’єктів оброблення відходів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60F9380" w14:textId="7B995F77" w:rsidR="00AF7E09" w:rsidRDefault="00AF7E09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F04AAF" w14:textId="2E6DF3C4" w:rsidR="007F3816" w:rsidRDefault="007F3816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D7806" w14:textId="77777777" w:rsidR="007F3816" w:rsidRDefault="007F3816" w:rsidP="008A3B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B3DDA" w14:textId="0646A47A" w:rsidR="00AF7E09" w:rsidRPr="00345661" w:rsidRDefault="007F3816" w:rsidP="008A3B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F46D1">
        <w:rPr>
          <w:rFonts w:ascii="Times New Roman" w:hAnsi="Times New Roman"/>
          <w:b/>
          <w:sz w:val="28"/>
          <w:szCs w:val="28"/>
          <w:lang w:val="uk-UA"/>
        </w:rPr>
        <w:t>Міністр</w:t>
      </w:r>
      <w:bookmarkStart w:id="2" w:name="_GoBack"/>
      <w:bookmarkEnd w:id="2"/>
      <w:r w:rsidRPr="00CF46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739" w:rsidRPr="00CF46D1">
        <w:rPr>
          <w:rFonts w:ascii="Times New Roman" w:hAnsi="Times New Roman"/>
          <w:b/>
          <w:sz w:val="28"/>
          <w:szCs w:val="28"/>
          <w:lang w:val="uk-UA"/>
        </w:rPr>
        <w:t>захисту довкілля</w:t>
      </w:r>
      <w:r w:rsidR="003E7B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739" w:rsidRPr="00CF46D1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3E7BFE">
        <w:rPr>
          <w:rFonts w:ascii="Times New Roman" w:hAnsi="Times New Roman"/>
          <w:b/>
          <w:sz w:val="28"/>
          <w:szCs w:val="28"/>
          <w:lang w:val="uk-UA"/>
        </w:rPr>
        <w:br/>
      </w:r>
      <w:r w:rsidR="00B67739" w:rsidRPr="00CF46D1">
        <w:rPr>
          <w:rFonts w:ascii="Times New Roman" w:hAnsi="Times New Roman"/>
          <w:b/>
          <w:sz w:val="28"/>
          <w:szCs w:val="28"/>
          <w:lang w:val="uk-UA"/>
        </w:rPr>
        <w:t>природних ресурсів України</w:t>
      </w:r>
      <w:r w:rsidR="003E7BFE">
        <w:rPr>
          <w:rFonts w:ascii="Times New Roman" w:hAnsi="Times New Roman"/>
          <w:b/>
          <w:sz w:val="28"/>
          <w:szCs w:val="28"/>
          <w:lang w:val="uk-UA"/>
        </w:rPr>
        <w:tab/>
      </w:r>
      <w:r w:rsidR="003E7BFE">
        <w:rPr>
          <w:rFonts w:ascii="Times New Roman" w:hAnsi="Times New Roman"/>
          <w:b/>
          <w:sz w:val="28"/>
          <w:szCs w:val="28"/>
          <w:lang w:val="uk-UA"/>
        </w:rPr>
        <w:tab/>
      </w:r>
      <w:r w:rsidR="003E7BFE">
        <w:rPr>
          <w:rFonts w:ascii="Times New Roman" w:hAnsi="Times New Roman"/>
          <w:b/>
          <w:sz w:val="28"/>
          <w:szCs w:val="28"/>
          <w:lang w:val="uk-UA"/>
        </w:rPr>
        <w:tab/>
      </w:r>
      <w:r w:rsidR="003E7BFE">
        <w:rPr>
          <w:rFonts w:ascii="Times New Roman" w:hAnsi="Times New Roman"/>
          <w:b/>
          <w:sz w:val="28"/>
          <w:szCs w:val="28"/>
          <w:lang w:val="uk-UA"/>
        </w:rPr>
        <w:tab/>
      </w:r>
      <w:r w:rsidR="003E7BFE">
        <w:rPr>
          <w:rFonts w:ascii="Times New Roman" w:hAnsi="Times New Roman"/>
          <w:b/>
          <w:sz w:val="28"/>
          <w:szCs w:val="28"/>
          <w:lang w:val="uk-UA"/>
        </w:rPr>
        <w:tab/>
        <w:t xml:space="preserve"> Руслан СТРІЛЕЦЬ</w:t>
      </w:r>
    </w:p>
    <w:p w14:paraId="4B20BB4C" w14:textId="1E5CB6DE" w:rsidR="00AF7E09" w:rsidRDefault="00AF7E09" w:rsidP="008A3B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E013CD" w14:textId="77777777" w:rsidR="00FB084A" w:rsidRDefault="00FB084A" w:rsidP="008A3B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1BE2A0D" w14:textId="77777777" w:rsidR="00AF7E09" w:rsidRPr="00345661" w:rsidRDefault="00AF7E09" w:rsidP="008A3B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 _______________ 2023 р.</w:t>
      </w:r>
    </w:p>
    <w:p w14:paraId="37600D97" w14:textId="77777777" w:rsidR="00345661" w:rsidRPr="00AF7E09" w:rsidRDefault="00345661" w:rsidP="008A3BA5">
      <w:pPr>
        <w:spacing w:line="240" w:lineRule="auto"/>
      </w:pPr>
    </w:p>
    <w:sectPr w:rsidR="00345661" w:rsidRPr="00AF7E09" w:rsidSect="00B15F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4D956" w14:textId="77777777" w:rsidR="00780F62" w:rsidRDefault="00780F62" w:rsidP="00B15FF8">
      <w:pPr>
        <w:spacing w:after="0" w:line="240" w:lineRule="auto"/>
      </w:pPr>
      <w:r>
        <w:separator/>
      </w:r>
    </w:p>
  </w:endnote>
  <w:endnote w:type="continuationSeparator" w:id="0">
    <w:p w14:paraId="50FD1840" w14:textId="77777777" w:rsidR="00780F62" w:rsidRDefault="00780F62" w:rsidP="00B1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DE76" w14:textId="77777777" w:rsidR="00780F62" w:rsidRDefault="00780F62" w:rsidP="00B15FF8">
      <w:pPr>
        <w:spacing w:after="0" w:line="240" w:lineRule="auto"/>
      </w:pPr>
      <w:r>
        <w:separator/>
      </w:r>
    </w:p>
  </w:footnote>
  <w:footnote w:type="continuationSeparator" w:id="0">
    <w:p w14:paraId="2B2D4B3C" w14:textId="77777777" w:rsidR="00780F62" w:rsidRDefault="00780F62" w:rsidP="00B1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451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E9DC28" w14:textId="77777777" w:rsidR="00B15FF8" w:rsidRPr="00B15FF8" w:rsidRDefault="00E613EA">
        <w:pPr>
          <w:pStyle w:val="a6"/>
          <w:jc w:val="center"/>
          <w:rPr>
            <w:rFonts w:ascii="Times New Roman" w:hAnsi="Times New Roman" w:cs="Times New Roman"/>
          </w:rPr>
        </w:pPr>
        <w:r w:rsidRPr="00B15FF8">
          <w:rPr>
            <w:rFonts w:ascii="Times New Roman" w:hAnsi="Times New Roman" w:cs="Times New Roman"/>
          </w:rPr>
          <w:fldChar w:fldCharType="begin"/>
        </w:r>
        <w:r w:rsidR="00B15FF8" w:rsidRPr="00B15FF8">
          <w:rPr>
            <w:rFonts w:ascii="Times New Roman" w:hAnsi="Times New Roman" w:cs="Times New Roman"/>
          </w:rPr>
          <w:instrText>PAGE   \* MERGEFORMAT</w:instrText>
        </w:r>
        <w:r w:rsidRPr="00B15FF8">
          <w:rPr>
            <w:rFonts w:ascii="Times New Roman" w:hAnsi="Times New Roman" w:cs="Times New Roman"/>
          </w:rPr>
          <w:fldChar w:fldCharType="separate"/>
        </w:r>
        <w:r w:rsidR="003E7BFE" w:rsidRPr="003E7BFE">
          <w:rPr>
            <w:rFonts w:ascii="Times New Roman" w:hAnsi="Times New Roman" w:cs="Times New Roman"/>
            <w:noProof/>
            <w:lang w:val="uk-UA"/>
          </w:rPr>
          <w:t>3</w:t>
        </w:r>
        <w:r w:rsidRPr="00B15FF8">
          <w:rPr>
            <w:rFonts w:ascii="Times New Roman" w:hAnsi="Times New Roman" w:cs="Times New Roman"/>
          </w:rPr>
          <w:fldChar w:fldCharType="end"/>
        </w:r>
      </w:p>
    </w:sdtContent>
  </w:sdt>
  <w:p w14:paraId="12AFDFA6" w14:textId="77777777" w:rsidR="00B15FF8" w:rsidRDefault="00B15F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3E1"/>
    <w:multiLevelType w:val="hybridMultilevel"/>
    <w:tmpl w:val="5CE40EE2"/>
    <w:lvl w:ilvl="0" w:tplc="200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661"/>
    <w:rsid w:val="00054A1D"/>
    <w:rsid w:val="000649BF"/>
    <w:rsid w:val="000B1488"/>
    <w:rsid w:val="000B74BC"/>
    <w:rsid w:val="001E275E"/>
    <w:rsid w:val="002020FF"/>
    <w:rsid w:val="0020583A"/>
    <w:rsid w:val="0025397E"/>
    <w:rsid w:val="002724CA"/>
    <w:rsid w:val="002B2432"/>
    <w:rsid w:val="002C2B3D"/>
    <w:rsid w:val="002F3320"/>
    <w:rsid w:val="002F69E4"/>
    <w:rsid w:val="00301749"/>
    <w:rsid w:val="00330464"/>
    <w:rsid w:val="00345661"/>
    <w:rsid w:val="00361819"/>
    <w:rsid w:val="00371E25"/>
    <w:rsid w:val="003737DA"/>
    <w:rsid w:val="00377477"/>
    <w:rsid w:val="003E7BFE"/>
    <w:rsid w:val="00415FE6"/>
    <w:rsid w:val="0044385F"/>
    <w:rsid w:val="00463B4E"/>
    <w:rsid w:val="00471236"/>
    <w:rsid w:val="004940AE"/>
    <w:rsid w:val="0049662D"/>
    <w:rsid w:val="00497D76"/>
    <w:rsid w:val="004F6C99"/>
    <w:rsid w:val="00516749"/>
    <w:rsid w:val="00542DFB"/>
    <w:rsid w:val="005B53A6"/>
    <w:rsid w:val="006060CD"/>
    <w:rsid w:val="00662CB6"/>
    <w:rsid w:val="006640F7"/>
    <w:rsid w:val="006869AD"/>
    <w:rsid w:val="006B2715"/>
    <w:rsid w:val="006C087B"/>
    <w:rsid w:val="006D3980"/>
    <w:rsid w:val="006E47F6"/>
    <w:rsid w:val="006E5BE4"/>
    <w:rsid w:val="00714408"/>
    <w:rsid w:val="00722B9F"/>
    <w:rsid w:val="007251FE"/>
    <w:rsid w:val="00726489"/>
    <w:rsid w:val="00747966"/>
    <w:rsid w:val="007631C5"/>
    <w:rsid w:val="00765FE3"/>
    <w:rsid w:val="00780F62"/>
    <w:rsid w:val="00792F07"/>
    <w:rsid w:val="00795CD4"/>
    <w:rsid w:val="007C0DC0"/>
    <w:rsid w:val="007D1E73"/>
    <w:rsid w:val="007D62BD"/>
    <w:rsid w:val="007E08A9"/>
    <w:rsid w:val="007F3816"/>
    <w:rsid w:val="008731C2"/>
    <w:rsid w:val="0089666F"/>
    <w:rsid w:val="008A3BA5"/>
    <w:rsid w:val="008A72BF"/>
    <w:rsid w:val="008F4811"/>
    <w:rsid w:val="00916DF6"/>
    <w:rsid w:val="00940948"/>
    <w:rsid w:val="009919F9"/>
    <w:rsid w:val="009A3E55"/>
    <w:rsid w:val="009B60E3"/>
    <w:rsid w:val="009E17FC"/>
    <w:rsid w:val="00A00D8B"/>
    <w:rsid w:val="00A029E3"/>
    <w:rsid w:val="00A141FF"/>
    <w:rsid w:val="00A25512"/>
    <w:rsid w:val="00A26ECA"/>
    <w:rsid w:val="00A61C5A"/>
    <w:rsid w:val="00A90E45"/>
    <w:rsid w:val="00AA2B43"/>
    <w:rsid w:val="00AD47D3"/>
    <w:rsid w:val="00AF0590"/>
    <w:rsid w:val="00AF7E09"/>
    <w:rsid w:val="00B15FF8"/>
    <w:rsid w:val="00B1777D"/>
    <w:rsid w:val="00B328A1"/>
    <w:rsid w:val="00B33F97"/>
    <w:rsid w:val="00B61B8B"/>
    <w:rsid w:val="00B65DDB"/>
    <w:rsid w:val="00B67739"/>
    <w:rsid w:val="00C403D9"/>
    <w:rsid w:val="00C46891"/>
    <w:rsid w:val="00C71E18"/>
    <w:rsid w:val="00C90DC5"/>
    <w:rsid w:val="00C97F80"/>
    <w:rsid w:val="00CA67C5"/>
    <w:rsid w:val="00CD4745"/>
    <w:rsid w:val="00CE5EA8"/>
    <w:rsid w:val="00CE6AE7"/>
    <w:rsid w:val="00CF0E2A"/>
    <w:rsid w:val="00CF46D1"/>
    <w:rsid w:val="00D037BE"/>
    <w:rsid w:val="00DF244A"/>
    <w:rsid w:val="00DF2755"/>
    <w:rsid w:val="00E170BA"/>
    <w:rsid w:val="00E269E0"/>
    <w:rsid w:val="00E311BD"/>
    <w:rsid w:val="00E613EA"/>
    <w:rsid w:val="00E95AE8"/>
    <w:rsid w:val="00ED518E"/>
    <w:rsid w:val="00EF59C2"/>
    <w:rsid w:val="00F0382E"/>
    <w:rsid w:val="00F2079E"/>
    <w:rsid w:val="00F52334"/>
    <w:rsid w:val="00F54BCB"/>
    <w:rsid w:val="00F57B9E"/>
    <w:rsid w:val="00FA011D"/>
    <w:rsid w:val="00FB084A"/>
    <w:rsid w:val="00FB540C"/>
    <w:rsid w:val="00FB589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A124"/>
  <w15:docId w15:val="{B1C773C6-F0A3-4CBB-B8F0-4F28059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table" w:customStyle="1" w:styleId="1">
    <w:name w:val="Сітка таблиці (світла)1"/>
    <w:basedOn w:val="a1"/>
    <w:uiPriority w:val="40"/>
    <w:rsid w:val="00371E2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01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15FF8"/>
  </w:style>
  <w:style w:type="paragraph" w:styleId="a8">
    <w:name w:val="footer"/>
    <w:basedOn w:val="a"/>
    <w:link w:val="a9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15FF8"/>
  </w:style>
  <w:style w:type="character" w:styleId="aa">
    <w:name w:val="annotation reference"/>
    <w:basedOn w:val="a0"/>
    <w:uiPriority w:val="99"/>
    <w:semiHidden/>
    <w:unhideWhenUsed/>
    <w:rsid w:val="006060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60CD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06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60CD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606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5809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ДЗЮБА Ярина Миколаївна</cp:lastModifiedBy>
  <cp:revision>27</cp:revision>
  <dcterms:created xsi:type="dcterms:W3CDTF">2023-07-04T12:20:00Z</dcterms:created>
  <dcterms:modified xsi:type="dcterms:W3CDTF">2023-09-11T07:13:00Z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80bfc6c88e0d21a9abc54796c6f40de13b88701bba95a57be65d7e69800f6ebe</vt:lpwstr>
  </property>
</Properties>
</file>