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The Reform</w:t>
      </w:r>
      <w:r w:rsidDel="00000000" w:rsidR="00000000" w:rsidRPr="00000000">
        <w:rPr>
          <w:rFonts w:ascii="Calibri" w:cs="Calibri" w:eastAsia="Calibri" w:hAnsi="Calibri"/>
          <w:b w:val="1"/>
          <w:highlight w:val="white"/>
          <w:rtl w:val="0"/>
        </w:rPr>
        <w:t xml:space="preserve"> Support Team at </w:t>
      </w:r>
      <w:r w:rsidDel="00000000" w:rsidR="00000000" w:rsidRPr="00000000">
        <w:rPr>
          <w:b w:val="1"/>
          <w:highlight w:val="white"/>
          <w:rtl w:val="0"/>
        </w:rPr>
        <w:t xml:space="preserve">the Ministry of Environmental Protection and Natural Resources of Ukraine</w:t>
      </w:r>
      <w:r w:rsidDel="00000000" w:rsidR="00000000" w:rsidRPr="00000000">
        <w:rPr>
          <w:rFonts w:ascii="Calibri" w:cs="Calibri" w:eastAsia="Calibri" w:hAnsi="Calibri"/>
          <w:b w:val="1"/>
          <w:highlight w:val="white"/>
          <w:rtl w:val="0"/>
        </w:rPr>
        <w:t xml:space="preserve"> is looking for </w:t>
      </w:r>
      <w:r w:rsidDel="00000000" w:rsidR="00000000" w:rsidRPr="00000000">
        <w:rPr>
          <w:b w:val="1"/>
          <w:highlight w:val="white"/>
          <w:rtl w:val="0"/>
        </w:rPr>
        <w:t xml:space="preserve">the IT Expert</w:t>
      </w:r>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The Reform Support Team (RST) at </w:t>
      </w:r>
      <w:r w:rsidDel="00000000" w:rsidR="00000000" w:rsidRPr="00000000">
        <w:rPr>
          <w:highlight w:val="white"/>
          <w:rtl w:val="0"/>
        </w:rPr>
        <w:t xml:space="preserve">the Ministry of Environmental Protection and Natural Resources</w:t>
      </w:r>
      <w:r w:rsidDel="00000000" w:rsidR="00000000" w:rsidRPr="00000000">
        <w:rPr>
          <w:rtl w:val="0"/>
        </w:rPr>
        <w:t xml:space="preserve"> of Ukraine (MEPNR) is a group of Ukrainian professionals (non-civil servants) funded on a temporary basis through the Ukraine Reforms Architecture (URA)</w:t>
      </w:r>
      <w:r w:rsidDel="00000000" w:rsidR="00000000" w:rsidRPr="00000000">
        <w:rPr>
          <w:vertAlign w:val="superscript"/>
        </w:rPr>
        <w:footnoteReference w:customMarkFollows="0" w:id="0"/>
      </w:r>
      <w:r w:rsidDel="00000000" w:rsidR="00000000" w:rsidRPr="00000000">
        <w:rPr>
          <w:rtl w:val="0"/>
        </w:rPr>
        <w:t xml:space="preserve"> programme, that provides targeted technical support and assists the Ministry in the design and implementation of priority reforms. </w:t>
      </w:r>
    </w:p>
    <w:p w:rsidR="00000000" w:rsidDel="00000000" w:rsidP="00000000" w:rsidRDefault="00000000" w:rsidRPr="00000000" w14:paraId="00000004">
      <w:pPr>
        <w:jc w:val="both"/>
        <w:rPr/>
      </w:pPr>
      <w:r w:rsidDel="00000000" w:rsidR="00000000" w:rsidRPr="00000000">
        <w:rPr>
          <w:rtl w:val="0"/>
        </w:rPr>
        <w:t xml:space="preserve">The RST at </w:t>
      </w:r>
      <w:r w:rsidDel="00000000" w:rsidR="00000000" w:rsidRPr="00000000">
        <w:rPr>
          <w:highlight w:val="white"/>
          <w:rtl w:val="0"/>
        </w:rPr>
        <w:t xml:space="preserve">the</w:t>
      </w:r>
      <w:r w:rsidDel="00000000" w:rsidR="00000000" w:rsidRPr="00000000">
        <w:rPr>
          <w:rtl w:val="0"/>
        </w:rPr>
        <w:t xml:space="preserve"> MEPNR was launched in 2017 to assist the Ministry with the implementation of priority reforms, in line with the Government Priority Action Plan, which are:</w:t>
      </w:r>
    </w:p>
    <w:p w:rsidR="00000000" w:rsidDel="00000000" w:rsidP="00000000" w:rsidRDefault="00000000" w:rsidRPr="00000000" w14:paraId="00000005">
      <w:pPr>
        <w:spacing w:after="0" w:line="240" w:lineRule="auto"/>
        <w:ind w:left="397" w:firstLine="0"/>
        <w:rPr/>
      </w:pPr>
      <w:r w:rsidDel="00000000" w:rsidR="00000000" w:rsidRPr="00000000">
        <w:rPr>
          <w:rtl w:val="0"/>
        </w:rPr>
        <w:t xml:space="preserve">• Reform of the Environmental Control and Assessment; </w:t>
      </w:r>
    </w:p>
    <w:p w:rsidR="00000000" w:rsidDel="00000000" w:rsidP="00000000" w:rsidRDefault="00000000" w:rsidRPr="00000000" w14:paraId="00000006">
      <w:pPr>
        <w:spacing w:after="0" w:line="240" w:lineRule="auto"/>
        <w:ind w:left="397" w:firstLine="0"/>
        <w:rPr/>
      </w:pPr>
      <w:r w:rsidDel="00000000" w:rsidR="00000000" w:rsidRPr="00000000">
        <w:rPr>
          <w:rtl w:val="0"/>
        </w:rPr>
        <w:t xml:space="preserve">• Industrial Pollution Reduction and Air Quality Monitoring Reform; </w:t>
      </w:r>
    </w:p>
    <w:p w:rsidR="00000000" w:rsidDel="00000000" w:rsidP="00000000" w:rsidRDefault="00000000" w:rsidRPr="00000000" w14:paraId="00000007">
      <w:pPr>
        <w:spacing w:after="0" w:line="240" w:lineRule="auto"/>
        <w:ind w:left="397" w:firstLine="0"/>
        <w:rPr/>
      </w:pPr>
      <w:r w:rsidDel="00000000" w:rsidR="00000000" w:rsidRPr="00000000">
        <w:rPr>
          <w:rtl w:val="0"/>
        </w:rPr>
        <w:t xml:space="preserve">• Waste Management Reform;</w:t>
      </w:r>
    </w:p>
    <w:p w:rsidR="00000000" w:rsidDel="00000000" w:rsidP="00000000" w:rsidRDefault="00000000" w:rsidRPr="00000000" w14:paraId="00000008">
      <w:pPr>
        <w:spacing w:after="0" w:line="240" w:lineRule="auto"/>
        <w:ind w:left="397" w:firstLine="0"/>
        <w:rPr>
          <w:highlight w:val="red"/>
        </w:rPr>
      </w:pPr>
      <w:r w:rsidDel="00000000" w:rsidR="00000000" w:rsidRPr="00000000">
        <w:rPr>
          <w:rtl w:val="0"/>
        </w:rPr>
        <w:t xml:space="preserve">• Water Resources Protection;</w:t>
      </w:r>
      <w:r w:rsidDel="00000000" w:rsidR="00000000" w:rsidRPr="00000000">
        <w:rPr>
          <w:rtl w:val="0"/>
        </w:rPr>
      </w:r>
    </w:p>
    <w:p w:rsidR="00000000" w:rsidDel="00000000" w:rsidP="00000000" w:rsidRDefault="00000000" w:rsidRPr="00000000" w14:paraId="00000009">
      <w:pPr>
        <w:spacing w:after="0" w:line="240" w:lineRule="auto"/>
        <w:ind w:left="397" w:firstLine="0"/>
        <w:rPr/>
      </w:pPr>
      <w:r w:rsidDel="00000000" w:rsidR="00000000" w:rsidRPr="00000000">
        <w:rPr>
          <w:rtl w:val="0"/>
        </w:rPr>
        <w:t xml:space="preserve">• Climate Policy implementation;</w:t>
      </w:r>
    </w:p>
    <w:p w:rsidR="00000000" w:rsidDel="00000000" w:rsidP="00000000" w:rsidRDefault="00000000" w:rsidRPr="00000000" w14:paraId="0000000A">
      <w:pPr>
        <w:spacing w:after="0" w:line="240" w:lineRule="auto"/>
        <w:ind w:left="397" w:firstLine="0"/>
        <w:rPr/>
      </w:pPr>
      <w:r w:rsidDel="00000000" w:rsidR="00000000" w:rsidRPr="00000000">
        <w:rPr>
          <w:rtl w:val="0"/>
        </w:rPr>
        <w:t xml:space="preserve">• Subsoil Reform;</w:t>
      </w:r>
    </w:p>
    <w:p w:rsidR="00000000" w:rsidDel="00000000" w:rsidP="00000000" w:rsidRDefault="00000000" w:rsidRPr="00000000" w14:paraId="0000000B">
      <w:pPr>
        <w:spacing w:after="0" w:line="240" w:lineRule="auto"/>
        <w:ind w:left="397" w:firstLine="0"/>
        <w:rPr/>
      </w:pPr>
      <w:r w:rsidDel="00000000" w:rsidR="00000000" w:rsidRPr="00000000">
        <w:rPr>
          <w:rtl w:val="0"/>
        </w:rPr>
        <w:t xml:space="preserve">• Public Administration Reform;</w:t>
      </w:r>
    </w:p>
    <w:p w:rsidR="00000000" w:rsidDel="00000000" w:rsidP="00000000" w:rsidRDefault="00000000" w:rsidRPr="00000000" w14:paraId="0000000C">
      <w:pPr>
        <w:spacing w:after="0" w:line="240" w:lineRule="auto"/>
        <w:ind w:left="397" w:firstLine="0"/>
        <w:rPr/>
      </w:pPr>
      <w:r w:rsidDel="00000000" w:rsidR="00000000" w:rsidRPr="00000000">
        <w:rPr>
          <w:rtl w:val="0"/>
        </w:rPr>
        <w:t xml:space="preserve">• Reform of Forestry and Biodiversity Conservation. </w:t>
      </w:r>
    </w:p>
    <w:p w:rsidR="00000000" w:rsidDel="00000000" w:rsidP="00000000" w:rsidRDefault="00000000" w:rsidRPr="00000000" w14:paraId="0000000D">
      <w:pPr>
        <w:spacing w:after="0" w:line="240" w:lineRule="auto"/>
        <w:ind w:left="397" w:firstLine="0"/>
        <w:rPr/>
      </w:pPr>
      <w:r w:rsidDel="00000000" w:rsidR="00000000" w:rsidRPr="00000000">
        <w:rPr>
          <w:rtl w:val="0"/>
        </w:rPr>
      </w:r>
    </w:p>
    <w:p w:rsidR="00000000" w:rsidDel="00000000" w:rsidP="00000000" w:rsidRDefault="00000000" w:rsidRPr="00000000" w14:paraId="0000000E">
      <w:pPr>
        <w:spacing w:after="0" w:line="240" w:lineRule="auto"/>
        <w:jc w:val="both"/>
        <w:rPr/>
      </w:pPr>
      <w:r w:rsidDel="00000000" w:rsidR="00000000" w:rsidRPr="00000000">
        <w:rPr>
          <w:rtl w:val="0"/>
        </w:rPr>
        <w:t xml:space="preserve">The abovementioned priorities are linked to international obligations of Ukraine. An IT Expert is vitally needed for advancing the Ministry's IT infrastructure and digitalisation initiatives. A highly qualified specialist is needed to support digitalisation of the environmental sector and effective implementation of environmental reforms.</w:t>
      </w:r>
      <w:r w:rsidDel="00000000" w:rsidR="00000000" w:rsidRPr="00000000">
        <w:rPr>
          <w:rtl w:val="0"/>
        </w:rPr>
      </w:r>
    </w:p>
    <w:p w:rsidR="00000000" w:rsidDel="00000000" w:rsidP="00000000" w:rsidRDefault="00000000" w:rsidRPr="00000000" w14:paraId="0000000F">
      <w:pP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10">
      <w:pPr>
        <w:spacing w:after="0" w:lineRule="auto"/>
        <w:jc w:val="both"/>
        <w:rPr/>
      </w:pPr>
      <w:r w:rsidDel="00000000" w:rsidR="00000000" w:rsidRPr="00000000">
        <w:rPr>
          <w:rFonts w:ascii="Calibri" w:cs="Calibri" w:eastAsia="Calibri" w:hAnsi="Calibri"/>
          <w:rtl w:val="0"/>
        </w:rPr>
        <w:t xml:space="preserve">We are now opening the competition for the position </w:t>
      </w:r>
      <w:r w:rsidDel="00000000" w:rsidR="00000000" w:rsidRPr="00000000">
        <w:rPr>
          <w:rtl w:val="0"/>
        </w:rPr>
        <w:t xml:space="preserve">of IT</w:t>
      </w:r>
      <w:r w:rsidDel="00000000" w:rsidR="00000000" w:rsidRPr="00000000">
        <w:rPr>
          <w:highlight w:val="white"/>
          <w:rtl w:val="0"/>
        </w:rPr>
        <w:t xml:space="preserve"> Expert</w:t>
      </w:r>
      <w:r w:rsidDel="00000000" w:rsidR="00000000" w:rsidRPr="00000000">
        <w:rPr>
          <w:rtl w:val="0"/>
        </w:rPr>
        <w:t xml:space="preserve">. </w:t>
      </w:r>
    </w:p>
    <w:p w:rsidR="00000000" w:rsidDel="00000000" w:rsidP="00000000" w:rsidRDefault="00000000" w:rsidRPr="00000000" w14:paraId="00000011">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2">
      <w:pPr>
        <w:spacing w:after="0" w:line="240" w:lineRule="auto"/>
        <w:ind w:left="0" w:firstLine="0"/>
        <w:jc w:val="both"/>
        <w:rPr/>
      </w:pPr>
      <w:bookmarkStart w:colFirst="0" w:colLast="0" w:name="_heading=h.1fob9te" w:id="0"/>
      <w:bookmarkEnd w:id="0"/>
      <w:r w:rsidDel="00000000" w:rsidR="00000000" w:rsidRPr="00000000">
        <w:rPr>
          <w:rtl w:val="0"/>
        </w:rPr>
        <w:t xml:space="preserve">Main duties and responsibilities of the IT</w:t>
      </w:r>
      <w:r w:rsidDel="00000000" w:rsidR="00000000" w:rsidRPr="00000000">
        <w:rPr>
          <w:highlight w:val="white"/>
          <w:rtl w:val="0"/>
        </w:rPr>
        <w:t xml:space="preserve"> Expert</w:t>
      </w:r>
      <w:r w:rsidDel="00000000" w:rsidR="00000000" w:rsidRPr="00000000">
        <w:rPr>
          <w:rtl w:val="0"/>
        </w:rPr>
        <w:t xml:space="preserve"> will be: </w:t>
      </w:r>
    </w:p>
    <w:p w:rsidR="00000000" w:rsidDel="00000000" w:rsidP="00000000" w:rsidRDefault="00000000" w:rsidRPr="00000000" w14:paraId="00000013">
      <w:pPr>
        <w:spacing w:after="0" w:line="240" w:lineRule="auto"/>
        <w:ind w:left="0" w:firstLine="0"/>
        <w:jc w:val="both"/>
        <w:rPr/>
      </w:pPr>
      <w:bookmarkStart w:colFirst="0" w:colLast="0" w:name="_heading=h.rxvjjxwy4m0f" w:id="1"/>
      <w:bookmarkEnd w:id="1"/>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Supporting the Ministry in designing and implementing new IT tools for the digitisation and optimisation of processes in priority areas (preparation of technical requirements and/or concept notes for software creation), and maintenance of current IT systems and tools. This will include, but will not be limited to, analytical and expert support, error detection and solution formulation for the improvement and optimisation of systems such as: </w:t>
      </w:r>
    </w:p>
    <w:p w:rsidR="00000000" w:rsidDel="00000000" w:rsidP="00000000" w:rsidRDefault="00000000" w:rsidRPr="00000000" w14:paraId="00000015">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Unified Environmental Platform "EcoSystema" – a national automated environmental information and analytical system for providing access to environmental information and its network, which ensures the creation, collection, receipt, storage, use, dissemination, protection and security of information</w:t>
      </w:r>
      <w:r w:rsidDel="00000000" w:rsidR="00000000" w:rsidRPr="00000000">
        <w:rPr>
          <w:rFonts w:ascii="Arial" w:cs="Arial" w:eastAsia="Arial" w:hAnsi="Arial"/>
          <w:rtl w:val="0"/>
        </w:rPr>
        <w:t xml:space="preserve">, </w:t>
      </w:r>
      <w:r w:rsidDel="00000000" w:rsidR="00000000" w:rsidRPr="00000000">
        <w:rPr>
          <w:rtl w:val="0"/>
        </w:rPr>
        <w:t xml:space="preserve">as</w:t>
      </w:r>
      <w:r w:rsidDel="00000000" w:rsidR="00000000" w:rsidRPr="00000000">
        <w:rPr>
          <w:rFonts w:ascii="Arial" w:cs="Arial" w:eastAsia="Arial" w:hAnsi="Arial"/>
          <w:rtl w:val="0"/>
        </w:rPr>
        <w:t xml:space="preserve"> </w:t>
      </w:r>
      <w:r w:rsidDel="00000000" w:rsidR="00000000" w:rsidRPr="00000000">
        <w:rPr>
          <w:rtl w:val="0"/>
        </w:rPr>
        <w:t xml:space="preserve">well as electronic interaction between individuals and legal entities, individual entrepreneurs, according to the Resolution of the CMU dated 11.10.2021 No. 1065 "On the Unified Ecological Platform "EcoSystema";</w:t>
      </w:r>
    </w:p>
    <w:p w:rsidR="00000000" w:rsidDel="00000000" w:rsidP="00000000" w:rsidRDefault="00000000" w:rsidRPr="00000000" w14:paraId="00000016">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EcoZagroza – a functional module of the Unified Environmental Platform "EcoSystema", consisting of the Ecozagroza website and mobile application, electronic accounts, database, geographic information portal, analytical platform and submission system for electronic appeals regarding detected environmental damage caused by emergency events, according to the Resolution of the CMU dated 11.10.2021 No. 1065 "On the Unified Ecological Platform "EcoSystema".</w:t>
      </w:r>
    </w:p>
    <w:p w:rsidR="00000000" w:rsidDel="00000000" w:rsidP="00000000" w:rsidRDefault="00000000" w:rsidRPr="00000000" w14:paraId="00000017">
      <w:pPr>
        <w:spacing w:after="0" w:line="240" w:lineRule="auto"/>
        <w:jc w:val="both"/>
        <w:rPr/>
      </w:pP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Expert support to the digitalisation of additional administrative services provided by the Ministry for their provision through the Unified Environmental Platform "EcoSystema", EcoZagroza in line with the requirements of the Law on Administrative Procedure as relevant, including but not limited to:</w:t>
      </w:r>
    </w:p>
    <w:p w:rsidR="00000000" w:rsidDel="00000000" w:rsidP="00000000" w:rsidRDefault="00000000" w:rsidRPr="00000000" w14:paraId="00000019">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preparation of technical requirements for digitalisation of administrative services;</w:t>
      </w:r>
    </w:p>
    <w:p w:rsidR="00000000" w:rsidDel="00000000" w:rsidP="00000000" w:rsidRDefault="00000000" w:rsidRPr="00000000" w14:paraId="0000001A">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consultations with relevant stakeholders on process optimisation;</w:t>
      </w:r>
    </w:p>
    <w:p w:rsidR="00000000" w:rsidDel="00000000" w:rsidP="00000000" w:rsidRDefault="00000000" w:rsidRPr="00000000" w14:paraId="0000001B">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provision of expert advice to the Ministry on IT system development and maintenance;</w:t>
      </w:r>
    </w:p>
    <w:p w:rsidR="00000000" w:rsidDel="00000000" w:rsidP="00000000" w:rsidRDefault="00000000" w:rsidRPr="00000000" w14:paraId="0000001C">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stakeholder engagement within and outside the Ministry to identify digitalisation opportunities.</w:t>
      </w:r>
    </w:p>
    <w:p w:rsidR="00000000" w:rsidDel="00000000" w:rsidP="00000000" w:rsidRDefault="00000000" w:rsidRPr="00000000" w14:paraId="0000001D">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spacing w:after="0" w:line="240" w:lineRule="auto"/>
        <w:jc w:val="both"/>
        <w:rPr/>
      </w:pPr>
      <w:bookmarkStart w:colFirst="0" w:colLast="0" w:name="_heading=h.gjdgxs" w:id="2"/>
      <w:bookmarkEnd w:id="2"/>
      <w:r w:rsidDel="00000000" w:rsidR="00000000" w:rsidRPr="00000000">
        <w:rPr>
          <w:rtl w:val="0"/>
        </w:rPr>
        <w:t xml:space="preserve">The initial consultancy assignment is expected to start in November 2023 and has an estimated duration of 10 months. This assignment has an opportunity for extension, subject to the availability of donor funding, consultant’s performance, and the specific needs of the RST. The probation period is two months.</w:t>
      </w:r>
    </w:p>
    <w:p w:rsidR="00000000" w:rsidDel="00000000" w:rsidP="00000000" w:rsidRDefault="00000000" w:rsidRPr="00000000" w14:paraId="0000001F">
      <w:pPr>
        <w:spacing w:after="0" w:line="240" w:lineRule="auto"/>
        <w:jc w:val="both"/>
        <w:rPr/>
      </w:pPr>
      <w:bookmarkStart w:colFirst="0" w:colLast="0" w:name="_heading=h.cyhhidmfzj1j" w:id="3"/>
      <w:bookmarkEnd w:id="3"/>
      <w:r w:rsidDel="00000000" w:rsidR="00000000" w:rsidRPr="00000000">
        <w:rPr>
          <w:rtl w:val="0"/>
        </w:rPr>
      </w:r>
    </w:p>
    <w:p w:rsidR="00000000" w:rsidDel="00000000" w:rsidP="00000000" w:rsidRDefault="00000000" w:rsidRPr="00000000" w14:paraId="00000020">
      <w:pPr>
        <w:spacing w:after="96.00000000000001" w:line="240" w:lineRule="auto"/>
        <w:ind w:right="-90"/>
        <w:jc w:val="both"/>
        <w:rPr/>
      </w:pPr>
      <w:r w:rsidDel="00000000" w:rsidR="00000000" w:rsidRPr="00000000">
        <w:rPr>
          <w:rtl w:val="0"/>
        </w:rPr>
        <w:t xml:space="preserve">Potential candidates should send a full package of documents prepared in English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by November 12, 2023, 23:59 (Kyiv time) to the following address: </w:t>
      </w:r>
      <w:hyperlink r:id="rId8">
        <w:r w:rsidDel="00000000" w:rsidR="00000000" w:rsidRPr="00000000">
          <w:rPr>
            <w:color w:val="1155cc"/>
            <w:u w:val="single"/>
            <w:rtl w:val="0"/>
          </w:rPr>
          <w:t xml:space="preserve">rst.mepr@gmail.com</w:t>
        </w:r>
      </w:hyperlink>
      <w:r w:rsidDel="00000000" w:rsidR="00000000" w:rsidRPr="00000000">
        <w:rPr>
          <w:rtl w:val="0"/>
        </w:rPr>
        <w:t xml:space="preserve">. Candidates who submit an incomplete package of documents will not be considered. </w:t>
      </w:r>
    </w:p>
    <w:p w:rsidR="00000000" w:rsidDel="00000000" w:rsidP="00000000" w:rsidRDefault="00000000" w:rsidRPr="00000000" w14:paraId="00000021">
      <w:pPr>
        <w:spacing w:after="96.00000000000001" w:line="240" w:lineRule="auto"/>
        <w:ind w:right="-90"/>
        <w:rPr/>
      </w:pPr>
      <w:r w:rsidDel="00000000" w:rsidR="00000000" w:rsidRPr="00000000">
        <w:rPr>
          <w:rtl w:val="0"/>
        </w:rPr>
        <w:t xml:space="preserve">Only short-listed applicants will be invited to the written test and interview. </w:t>
      </w:r>
    </w:p>
    <w:p w:rsidR="00000000" w:rsidDel="00000000" w:rsidP="00000000" w:rsidRDefault="00000000" w:rsidRPr="00000000" w14:paraId="00000022">
      <w:pPr>
        <w:spacing w:after="240" w:before="240" w:lineRule="auto"/>
        <w:ind w:right="-90"/>
        <w:rPr/>
      </w:pPr>
      <w:r w:rsidDel="00000000" w:rsidR="00000000" w:rsidRPr="00000000">
        <w:rPr>
          <w:rtl w:val="0"/>
        </w:rPr>
        <w:t xml:space="preserve">The detailed Terms of Reference can be found below.</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after="0" w:line="240" w:lineRule="auto"/>
        <w:ind w:right="-90"/>
        <w:rPr/>
      </w:pPr>
      <w:r w:rsidDel="00000000" w:rsidR="00000000" w:rsidRPr="00000000">
        <w:rPr>
          <w:rtl w:val="0"/>
        </w:rPr>
      </w:r>
    </w:p>
    <w:p w:rsidR="00000000" w:rsidDel="00000000" w:rsidP="00000000" w:rsidRDefault="00000000" w:rsidRPr="00000000" w14:paraId="00000027">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9">
      <w:pPr>
        <w:spacing w:after="120" w:before="120" w:line="259"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white"/>
          <w:rtl w:val="0"/>
        </w:rPr>
        <w:t xml:space="preserve">Ukraine Reforms Architecture (URA) is a comprehensive technical assistance programme deployed by the European Bank for Reconstruction and Development (EBRD), in partnership with the European Union, to support critical reform processes in Ukraine. URA is financed from the Ukraine Stabilisation and Sustainable Growth Multi-Donor Account (MDA) managed by the EBRD. Contributors to the MDA are Austria, Denmark, Finland, France, Germany, Italy, Japan, the Netherlands, Norway, Poland, Sweden, Switzerland, the United Kingdom, the United States and the European Union.</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st.mep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rZ/p2bWl4ONaDrceL1Kfo2oGg==">CgMxLjAyCWguMWZvYjl0ZTIOaC5yeHZqanh3eTRtMGYyCGguZ2pkZ3hzMg5oLmN5aGhpZG1memoxajgAciExVXVzemJpQmRiVnFBdmFyS0VHWG9peVV2b0k1b2UwT1M=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