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B460" w14:textId="77777777" w:rsidR="00D47479" w:rsidRPr="00C22C49" w:rsidRDefault="00D47479" w:rsidP="00D8589D">
      <w:pPr>
        <w:tabs>
          <w:tab w:val="clear" w:pos="284"/>
          <w:tab w:val="clear" w:pos="1985"/>
          <w:tab w:val="left" w:pos="9214"/>
        </w:tabs>
        <w:spacing w:after="60" w:line="200" w:lineRule="exact"/>
        <w:jc w:val="center"/>
        <w:rPr>
          <w:rFonts w:asciiTheme="minorHAnsi" w:eastAsia="Times New Roman" w:hAnsiTheme="minorHAnsi" w:cs="Calibri"/>
          <w:b/>
          <w:color w:val="FFFFFF" w:themeColor="background1"/>
          <w:sz w:val="22"/>
          <w:szCs w:val="22"/>
        </w:rPr>
      </w:pPr>
      <w:bookmarkStart w:id="0" w:name="_GoBack"/>
      <w:bookmarkEnd w:id="0"/>
    </w:p>
    <w:p w14:paraId="0896B461" w14:textId="77777777" w:rsidR="00D47479" w:rsidRPr="00C22C49" w:rsidRDefault="00D47479" w:rsidP="00D47479">
      <w:pPr>
        <w:tabs>
          <w:tab w:val="clear" w:pos="284"/>
          <w:tab w:val="clear" w:pos="1985"/>
        </w:tabs>
        <w:spacing w:after="60" w:line="200" w:lineRule="exact"/>
        <w:jc w:val="center"/>
        <w:rPr>
          <w:rFonts w:asciiTheme="minorHAnsi" w:eastAsia="Times New Roman" w:hAnsiTheme="minorHAnsi" w:cs="Calibri"/>
          <w:b/>
          <w:color w:val="FFFFFF" w:themeColor="background1"/>
          <w:sz w:val="22"/>
          <w:szCs w:val="22"/>
        </w:rPr>
      </w:pPr>
    </w:p>
    <w:p w14:paraId="0896B462" w14:textId="77777777" w:rsidR="00D47479" w:rsidRPr="00C22C49" w:rsidRDefault="00D47479" w:rsidP="00D47479">
      <w:pPr>
        <w:tabs>
          <w:tab w:val="clear" w:pos="284"/>
          <w:tab w:val="clear" w:pos="1985"/>
        </w:tabs>
        <w:spacing w:before="0" w:after="0" w:line="200" w:lineRule="exact"/>
        <w:jc w:val="center"/>
        <w:rPr>
          <w:rFonts w:asciiTheme="minorHAnsi" w:eastAsia="Times New Roman" w:hAnsiTheme="minorHAnsi" w:cs="Calibri"/>
          <w:b/>
          <w:color w:val="FFFFFF" w:themeColor="background1"/>
          <w:sz w:val="16"/>
          <w:szCs w:val="16"/>
        </w:rPr>
      </w:pPr>
    </w:p>
    <w:p w14:paraId="0896B463" w14:textId="77777777" w:rsidR="00D47479" w:rsidRPr="00C22C49" w:rsidRDefault="00D47479" w:rsidP="00D47479">
      <w:pPr>
        <w:tabs>
          <w:tab w:val="clear" w:pos="284"/>
          <w:tab w:val="clear" w:pos="1985"/>
        </w:tabs>
        <w:spacing w:before="0" w:after="0" w:line="200" w:lineRule="exact"/>
        <w:jc w:val="center"/>
        <w:rPr>
          <w:rFonts w:asciiTheme="minorHAnsi" w:eastAsia="Times New Roman" w:hAnsiTheme="minorHAnsi" w:cs="Calibri"/>
          <w:b/>
          <w:color w:val="FFFFFF" w:themeColor="background1"/>
          <w:sz w:val="16"/>
          <w:szCs w:val="16"/>
        </w:rPr>
      </w:pPr>
    </w:p>
    <w:p w14:paraId="0896B479" w14:textId="77777777" w:rsidR="00E5687A" w:rsidRPr="00C22C49" w:rsidRDefault="00E5687A" w:rsidP="009A1F76">
      <w:pPr>
        <w:rPr>
          <w:rFonts w:asciiTheme="minorHAnsi" w:hAnsiTheme="minorHAnsi" w:cstheme="minorHAnsi"/>
        </w:rPr>
      </w:pPr>
    </w:p>
    <w:p w14:paraId="0896B47A" w14:textId="77777777" w:rsidR="00E5687A" w:rsidRPr="00C22C49" w:rsidRDefault="00E5687A" w:rsidP="009A1F76">
      <w:pPr>
        <w:rPr>
          <w:rFonts w:asciiTheme="minorHAnsi" w:hAnsiTheme="minorHAnsi" w:cstheme="minorHAnsi"/>
        </w:rPr>
      </w:pPr>
    </w:p>
    <w:p w14:paraId="0896B47B" w14:textId="77777777" w:rsidR="00E5687A" w:rsidRPr="00C22C49" w:rsidRDefault="00E5687A" w:rsidP="009A1F76">
      <w:pPr>
        <w:rPr>
          <w:rFonts w:asciiTheme="minorHAnsi" w:hAnsiTheme="minorHAnsi" w:cstheme="minorHAnsi"/>
        </w:rPr>
      </w:pPr>
    </w:p>
    <w:p w14:paraId="0896B47C" w14:textId="182979C7" w:rsidR="00CF5A7E" w:rsidRPr="00C22C49" w:rsidRDefault="004C4723" w:rsidP="00CF5A7E">
      <w:pPr>
        <w:jc w:val="center"/>
        <w:rPr>
          <w:rFonts w:cs="Times New Roman"/>
          <w:b/>
          <w:bCs/>
          <w:sz w:val="40"/>
          <w:szCs w:val="40"/>
        </w:rPr>
      </w:pPr>
      <w:r w:rsidRPr="00C22C49">
        <w:rPr>
          <w:rFonts w:cs="Times New Roman"/>
          <w:b/>
          <w:bCs/>
          <w:sz w:val="40"/>
          <w:szCs w:val="40"/>
        </w:rPr>
        <w:t>ПРОЄКТ</w:t>
      </w:r>
      <w:r w:rsidR="00CF5A7E" w:rsidRPr="00C22C49">
        <w:rPr>
          <w:rFonts w:cs="Times New Roman"/>
          <w:b/>
          <w:bCs/>
          <w:sz w:val="40"/>
          <w:szCs w:val="40"/>
        </w:rPr>
        <w:t xml:space="preserve"> НАЦІОНАЛЬНОГО ПЛАНУ УПРАВЛІННЯ ВІДХОДАМИ УКРАЇНИ</w:t>
      </w:r>
      <w:r w:rsidR="0058773D" w:rsidRPr="00C22C49">
        <w:rPr>
          <w:rFonts w:cs="Times New Roman"/>
          <w:b/>
          <w:bCs/>
          <w:sz w:val="40"/>
          <w:szCs w:val="40"/>
        </w:rPr>
        <w:t xml:space="preserve"> </w:t>
      </w:r>
      <w:r w:rsidR="00392232" w:rsidRPr="00C22C49">
        <w:rPr>
          <w:rFonts w:cs="Times New Roman"/>
          <w:b/>
          <w:bCs/>
          <w:sz w:val="40"/>
          <w:szCs w:val="40"/>
        </w:rPr>
        <w:t>ДО 203</w:t>
      </w:r>
      <w:r w:rsidR="00447C56">
        <w:rPr>
          <w:rFonts w:cs="Times New Roman"/>
          <w:b/>
          <w:bCs/>
          <w:sz w:val="40"/>
          <w:szCs w:val="40"/>
          <w:lang w:val="en-US"/>
        </w:rPr>
        <w:t>3</w:t>
      </w:r>
      <w:r w:rsidR="00392232" w:rsidRPr="00C22C49">
        <w:rPr>
          <w:rFonts w:cs="Times New Roman"/>
          <w:b/>
          <w:bCs/>
          <w:sz w:val="40"/>
          <w:szCs w:val="40"/>
        </w:rPr>
        <w:t xml:space="preserve"> РОКУ</w:t>
      </w:r>
    </w:p>
    <w:p w14:paraId="0896B47D" w14:textId="77777777" w:rsidR="00850DE4" w:rsidRPr="00C22C49" w:rsidRDefault="00850DE4" w:rsidP="009A1F76">
      <w:pPr>
        <w:rPr>
          <w:rFonts w:asciiTheme="minorHAnsi" w:hAnsiTheme="minorHAnsi" w:cstheme="minorHAnsi"/>
        </w:rPr>
      </w:pPr>
    </w:p>
    <w:p w14:paraId="0896B47E" w14:textId="77777777" w:rsidR="00850DE4" w:rsidRPr="00C22C49" w:rsidRDefault="00850DE4" w:rsidP="009A1F76">
      <w:pPr>
        <w:rPr>
          <w:rFonts w:asciiTheme="minorHAnsi" w:hAnsiTheme="minorHAnsi" w:cstheme="minorHAnsi"/>
        </w:rPr>
      </w:pPr>
    </w:p>
    <w:p w14:paraId="0896B47F" w14:textId="77777777" w:rsidR="00850DE4" w:rsidRPr="00C22C49" w:rsidRDefault="00850DE4" w:rsidP="009A1F76">
      <w:pPr>
        <w:rPr>
          <w:rFonts w:asciiTheme="minorHAnsi" w:hAnsiTheme="minorHAnsi" w:cstheme="minorHAnsi"/>
        </w:rPr>
      </w:pPr>
    </w:p>
    <w:p w14:paraId="0896B480" w14:textId="77777777" w:rsidR="00850DE4" w:rsidRPr="00C22C49" w:rsidRDefault="00850DE4" w:rsidP="009A1F76">
      <w:pPr>
        <w:rPr>
          <w:rFonts w:asciiTheme="minorHAnsi" w:hAnsiTheme="minorHAnsi" w:cstheme="minorHAnsi"/>
        </w:rPr>
      </w:pPr>
    </w:p>
    <w:p w14:paraId="0896B481" w14:textId="77777777" w:rsidR="0044641A" w:rsidRPr="00C22C49" w:rsidRDefault="007944E3" w:rsidP="009A1F76">
      <w:pPr>
        <w:rPr>
          <w:rFonts w:asciiTheme="minorHAnsi" w:hAnsiTheme="minorHAnsi" w:cstheme="minorHAnsi"/>
        </w:rPr>
      </w:pPr>
      <w:r w:rsidRPr="00C22C49">
        <w:rPr>
          <w:rFonts w:asciiTheme="minorHAnsi" w:hAnsiTheme="minorHAnsi" w:cstheme="minorHAnsi"/>
          <w:noProof/>
          <w:lang w:eastAsia="uk-UA"/>
        </w:rPr>
        <w:drawing>
          <wp:anchor distT="0" distB="0" distL="114300" distR="114300" simplePos="0" relativeHeight="251656704" behindDoc="1" locked="0" layoutInCell="1" allowOverlap="1" wp14:anchorId="0896C309" wp14:editId="504391C8">
            <wp:simplePos x="0" y="0"/>
            <wp:positionH relativeFrom="column">
              <wp:posOffset>3123565</wp:posOffset>
            </wp:positionH>
            <wp:positionV relativeFrom="page">
              <wp:posOffset>8734425</wp:posOffset>
            </wp:positionV>
            <wp:extent cx="2428875" cy="398145"/>
            <wp:effectExtent l="19050" t="0" r="9525"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398145"/>
                    </a:xfrm>
                    <a:prstGeom prst="rect">
                      <a:avLst/>
                    </a:prstGeom>
                    <a:noFill/>
                    <a:ln>
                      <a:noFill/>
                    </a:ln>
                  </pic:spPr>
                </pic:pic>
              </a:graphicData>
            </a:graphic>
          </wp:anchor>
        </w:drawing>
      </w:r>
      <w:r w:rsidR="0044641A" w:rsidRPr="00C22C49">
        <w:rPr>
          <w:rFonts w:asciiTheme="minorHAnsi" w:hAnsiTheme="minorHAnsi" w:cstheme="minorHAnsi"/>
        </w:rPr>
        <w:br w:type="page"/>
      </w:r>
    </w:p>
    <w:p w14:paraId="0896B483" w14:textId="77777777" w:rsidR="009A1F76" w:rsidRPr="00C22C49" w:rsidRDefault="009A1F76" w:rsidP="009A1F76">
      <w:pPr>
        <w:rPr>
          <w:rFonts w:asciiTheme="minorHAnsi" w:hAnsiTheme="minorHAnsi" w:cstheme="minorHAnsi"/>
        </w:rPr>
      </w:pPr>
    </w:p>
    <w:sdt>
      <w:sdtPr>
        <w:rPr>
          <w:rFonts w:eastAsiaTheme="minorHAnsi" w:cstheme="minorBidi"/>
          <w:caps w:val="0"/>
          <w:color w:val="auto"/>
          <w:sz w:val="24"/>
          <w:szCs w:val="20"/>
          <w:lang w:val="uk-UA"/>
        </w:rPr>
        <w:id w:val="-740099556"/>
        <w:docPartObj>
          <w:docPartGallery w:val="Table of Contents"/>
          <w:docPartUnique/>
        </w:docPartObj>
      </w:sdtPr>
      <w:sdtEndPr>
        <w:rPr>
          <w:b/>
          <w:bCs/>
        </w:rPr>
      </w:sdtEndPr>
      <w:sdtContent>
        <w:p w14:paraId="0896B484" w14:textId="77777777" w:rsidR="00D47275" w:rsidRPr="00C22C49" w:rsidRDefault="00D47275">
          <w:pPr>
            <w:pStyle w:val="af7"/>
            <w:rPr>
              <w:lang w:val="uk-UA"/>
            </w:rPr>
          </w:pPr>
          <w:r w:rsidRPr="00C22C49">
            <w:rPr>
              <w:lang w:val="uk-UA"/>
            </w:rPr>
            <w:t>Зміст</w:t>
          </w:r>
        </w:p>
        <w:p w14:paraId="53F75A51" w14:textId="25C1034D" w:rsidR="008B213F" w:rsidRDefault="005E0A06">
          <w:pPr>
            <w:pStyle w:val="22"/>
            <w:rPr>
              <w:rFonts w:asciiTheme="minorHAnsi" w:eastAsiaTheme="minorEastAsia" w:hAnsiTheme="minorHAnsi"/>
              <w:noProof/>
              <w:kern w:val="2"/>
              <w:sz w:val="22"/>
              <w:szCs w:val="22"/>
              <w:lang w:eastAsia="uk-UA"/>
              <w14:ligatures w14:val="standardContextual"/>
            </w:rPr>
          </w:pPr>
          <w:r w:rsidRPr="00C22C49">
            <w:fldChar w:fldCharType="begin"/>
          </w:r>
          <w:r w:rsidR="00D47275" w:rsidRPr="00C22C49">
            <w:instrText xml:space="preserve"> TOC \o "1-3" \h \z \u </w:instrText>
          </w:r>
          <w:r w:rsidRPr="00C22C49">
            <w:fldChar w:fldCharType="separate"/>
          </w:r>
          <w:hyperlink w:anchor="_Toc151583259" w:history="1">
            <w:r w:rsidR="008B213F" w:rsidRPr="00C302D0">
              <w:rPr>
                <w:rStyle w:val="a9"/>
                <w:rFonts w:cstheme="minorHAnsi"/>
                <w:noProof/>
              </w:rPr>
              <w:t>ВСТУП</w:t>
            </w:r>
            <w:r w:rsidR="008B213F">
              <w:rPr>
                <w:noProof/>
                <w:webHidden/>
              </w:rPr>
              <w:tab/>
            </w:r>
            <w:r w:rsidR="008B213F">
              <w:rPr>
                <w:noProof/>
                <w:webHidden/>
              </w:rPr>
              <w:fldChar w:fldCharType="begin"/>
            </w:r>
            <w:r w:rsidR="008B213F">
              <w:rPr>
                <w:noProof/>
                <w:webHidden/>
              </w:rPr>
              <w:instrText xml:space="preserve"> PAGEREF _Toc151583259 \h </w:instrText>
            </w:r>
            <w:r w:rsidR="008B213F">
              <w:rPr>
                <w:noProof/>
                <w:webHidden/>
              </w:rPr>
            </w:r>
            <w:r w:rsidR="008B213F">
              <w:rPr>
                <w:noProof/>
                <w:webHidden/>
              </w:rPr>
              <w:fldChar w:fldCharType="separate"/>
            </w:r>
            <w:r w:rsidR="008B213F">
              <w:rPr>
                <w:noProof/>
                <w:webHidden/>
              </w:rPr>
              <w:t>4</w:t>
            </w:r>
            <w:r w:rsidR="008B213F">
              <w:rPr>
                <w:noProof/>
                <w:webHidden/>
              </w:rPr>
              <w:fldChar w:fldCharType="end"/>
            </w:r>
          </w:hyperlink>
        </w:p>
        <w:p w14:paraId="5350C4D8" w14:textId="074C0EF4"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60" w:history="1">
            <w:r w:rsidR="008B213F" w:rsidRPr="00C302D0">
              <w:rPr>
                <w:rStyle w:val="a9"/>
                <w:noProof/>
              </w:rPr>
              <w:t>1.</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rFonts w:eastAsia="Calibri"/>
                <w:noProof/>
              </w:rPr>
              <w:t>СТАН СФЕРИ УПРАВЛІННЯ ВІДХОДАМИ</w:t>
            </w:r>
            <w:r w:rsidR="008B213F">
              <w:rPr>
                <w:noProof/>
                <w:webHidden/>
              </w:rPr>
              <w:tab/>
            </w:r>
            <w:r w:rsidR="008B213F">
              <w:rPr>
                <w:noProof/>
                <w:webHidden/>
              </w:rPr>
              <w:fldChar w:fldCharType="begin"/>
            </w:r>
            <w:r w:rsidR="008B213F">
              <w:rPr>
                <w:noProof/>
                <w:webHidden/>
              </w:rPr>
              <w:instrText xml:space="preserve"> PAGEREF _Toc151583260 \h </w:instrText>
            </w:r>
            <w:r w:rsidR="008B213F">
              <w:rPr>
                <w:noProof/>
                <w:webHidden/>
              </w:rPr>
            </w:r>
            <w:r w:rsidR="008B213F">
              <w:rPr>
                <w:noProof/>
                <w:webHidden/>
              </w:rPr>
              <w:fldChar w:fldCharType="separate"/>
            </w:r>
            <w:r w:rsidR="008B213F">
              <w:rPr>
                <w:noProof/>
                <w:webHidden/>
              </w:rPr>
              <w:t>11</w:t>
            </w:r>
            <w:r w:rsidR="008B213F">
              <w:rPr>
                <w:noProof/>
                <w:webHidden/>
              </w:rPr>
              <w:fldChar w:fldCharType="end"/>
            </w:r>
          </w:hyperlink>
        </w:p>
        <w:p w14:paraId="5C9C7021" w14:textId="6104412F"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1" w:history="1">
            <w:r w:rsidR="008B213F" w:rsidRPr="00C302D0">
              <w:rPr>
                <w:rStyle w:val="a9"/>
                <w:noProof/>
              </w:rPr>
              <w:t>1.1.</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Огляд загальної ситуації в державі</w:t>
            </w:r>
            <w:r w:rsidR="008B213F">
              <w:rPr>
                <w:noProof/>
                <w:webHidden/>
              </w:rPr>
              <w:tab/>
            </w:r>
            <w:r w:rsidR="008B213F">
              <w:rPr>
                <w:noProof/>
                <w:webHidden/>
              </w:rPr>
              <w:fldChar w:fldCharType="begin"/>
            </w:r>
            <w:r w:rsidR="008B213F">
              <w:rPr>
                <w:noProof/>
                <w:webHidden/>
              </w:rPr>
              <w:instrText xml:space="preserve"> PAGEREF _Toc151583261 \h </w:instrText>
            </w:r>
            <w:r w:rsidR="008B213F">
              <w:rPr>
                <w:noProof/>
                <w:webHidden/>
              </w:rPr>
            </w:r>
            <w:r w:rsidR="008B213F">
              <w:rPr>
                <w:noProof/>
                <w:webHidden/>
              </w:rPr>
              <w:fldChar w:fldCharType="separate"/>
            </w:r>
            <w:r w:rsidR="008B213F">
              <w:rPr>
                <w:noProof/>
                <w:webHidden/>
              </w:rPr>
              <w:t>11</w:t>
            </w:r>
            <w:r w:rsidR="008B213F">
              <w:rPr>
                <w:noProof/>
                <w:webHidden/>
              </w:rPr>
              <w:fldChar w:fldCharType="end"/>
            </w:r>
          </w:hyperlink>
        </w:p>
        <w:p w14:paraId="78867DC6" w14:textId="307D6A63"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2" w:history="1">
            <w:r w:rsidR="008B213F" w:rsidRPr="00C302D0">
              <w:rPr>
                <w:rStyle w:val="a9"/>
                <w:noProof/>
              </w:rPr>
              <w:t>1.2.</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Законодавство, політика та інституційна структура управління відходами</w:t>
            </w:r>
            <w:r w:rsidR="008B213F">
              <w:rPr>
                <w:noProof/>
                <w:webHidden/>
              </w:rPr>
              <w:tab/>
            </w:r>
            <w:r w:rsidR="008B213F">
              <w:rPr>
                <w:noProof/>
                <w:webHidden/>
              </w:rPr>
              <w:fldChar w:fldCharType="begin"/>
            </w:r>
            <w:r w:rsidR="008B213F">
              <w:rPr>
                <w:noProof/>
                <w:webHidden/>
              </w:rPr>
              <w:instrText xml:space="preserve"> PAGEREF _Toc151583262 \h </w:instrText>
            </w:r>
            <w:r w:rsidR="008B213F">
              <w:rPr>
                <w:noProof/>
                <w:webHidden/>
              </w:rPr>
            </w:r>
            <w:r w:rsidR="008B213F">
              <w:rPr>
                <w:noProof/>
                <w:webHidden/>
              </w:rPr>
              <w:fldChar w:fldCharType="separate"/>
            </w:r>
            <w:r w:rsidR="008B213F">
              <w:rPr>
                <w:noProof/>
                <w:webHidden/>
              </w:rPr>
              <w:t>13</w:t>
            </w:r>
            <w:r w:rsidR="008B213F">
              <w:rPr>
                <w:noProof/>
                <w:webHidden/>
              </w:rPr>
              <w:fldChar w:fldCharType="end"/>
            </w:r>
          </w:hyperlink>
        </w:p>
        <w:p w14:paraId="5A940253" w14:textId="7F8B0DE9"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3" w:history="1">
            <w:r w:rsidR="008B213F" w:rsidRPr="00C302D0">
              <w:rPr>
                <w:rStyle w:val="a9"/>
                <w:noProof/>
              </w:rPr>
              <w:t>1.3.</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Стислий аналіз загальної ситуації у сфері управління (поводження) з відходами в Україні</w:t>
            </w:r>
            <w:r w:rsidR="008B213F">
              <w:rPr>
                <w:noProof/>
                <w:webHidden/>
              </w:rPr>
              <w:tab/>
            </w:r>
            <w:r w:rsidR="008B213F">
              <w:rPr>
                <w:noProof/>
                <w:webHidden/>
              </w:rPr>
              <w:fldChar w:fldCharType="begin"/>
            </w:r>
            <w:r w:rsidR="008B213F">
              <w:rPr>
                <w:noProof/>
                <w:webHidden/>
              </w:rPr>
              <w:instrText xml:space="preserve"> PAGEREF _Toc151583263 \h </w:instrText>
            </w:r>
            <w:r w:rsidR="008B213F">
              <w:rPr>
                <w:noProof/>
                <w:webHidden/>
              </w:rPr>
            </w:r>
            <w:r w:rsidR="008B213F">
              <w:rPr>
                <w:noProof/>
                <w:webHidden/>
              </w:rPr>
              <w:fldChar w:fldCharType="separate"/>
            </w:r>
            <w:r w:rsidR="008B213F">
              <w:rPr>
                <w:noProof/>
                <w:webHidden/>
              </w:rPr>
              <w:t>17</w:t>
            </w:r>
            <w:r w:rsidR="008B213F">
              <w:rPr>
                <w:noProof/>
                <w:webHidden/>
              </w:rPr>
              <w:fldChar w:fldCharType="end"/>
            </w:r>
          </w:hyperlink>
        </w:p>
        <w:p w14:paraId="7B2A0B7B" w14:textId="5B1BBB8D"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4" w:history="1">
            <w:r w:rsidR="008B213F" w:rsidRPr="00C302D0">
              <w:rPr>
                <w:rStyle w:val="a9"/>
                <w:noProof/>
              </w:rPr>
              <w:t>1.4.</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Основні проблеми</w:t>
            </w:r>
            <w:r w:rsidR="008B213F">
              <w:rPr>
                <w:noProof/>
                <w:webHidden/>
              </w:rPr>
              <w:tab/>
            </w:r>
            <w:r w:rsidR="008B213F">
              <w:rPr>
                <w:noProof/>
                <w:webHidden/>
              </w:rPr>
              <w:fldChar w:fldCharType="begin"/>
            </w:r>
            <w:r w:rsidR="008B213F">
              <w:rPr>
                <w:noProof/>
                <w:webHidden/>
              </w:rPr>
              <w:instrText xml:space="preserve"> PAGEREF _Toc151583264 \h </w:instrText>
            </w:r>
            <w:r w:rsidR="008B213F">
              <w:rPr>
                <w:noProof/>
                <w:webHidden/>
              </w:rPr>
            </w:r>
            <w:r w:rsidR="008B213F">
              <w:rPr>
                <w:noProof/>
                <w:webHidden/>
              </w:rPr>
              <w:fldChar w:fldCharType="separate"/>
            </w:r>
            <w:r w:rsidR="008B213F">
              <w:rPr>
                <w:noProof/>
                <w:webHidden/>
              </w:rPr>
              <w:t>20</w:t>
            </w:r>
            <w:r w:rsidR="008B213F">
              <w:rPr>
                <w:noProof/>
                <w:webHidden/>
              </w:rPr>
              <w:fldChar w:fldCharType="end"/>
            </w:r>
          </w:hyperlink>
        </w:p>
        <w:p w14:paraId="17076C04" w14:textId="2096E499"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5" w:history="1">
            <w:r w:rsidR="008B213F" w:rsidRPr="00C302D0">
              <w:rPr>
                <w:rStyle w:val="a9"/>
                <w:noProof/>
              </w:rPr>
              <w:t>1.5.</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Аналіз утворення та управління (поводження) відходами за категоріями</w:t>
            </w:r>
            <w:r w:rsidR="008B213F">
              <w:rPr>
                <w:noProof/>
                <w:webHidden/>
              </w:rPr>
              <w:tab/>
            </w:r>
            <w:r w:rsidR="008B213F">
              <w:rPr>
                <w:noProof/>
                <w:webHidden/>
              </w:rPr>
              <w:fldChar w:fldCharType="begin"/>
            </w:r>
            <w:r w:rsidR="008B213F">
              <w:rPr>
                <w:noProof/>
                <w:webHidden/>
              </w:rPr>
              <w:instrText xml:space="preserve"> PAGEREF _Toc151583265 \h </w:instrText>
            </w:r>
            <w:r w:rsidR="008B213F">
              <w:rPr>
                <w:noProof/>
                <w:webHidden/>
              </w:rPr>
            </w:r>
            <w:r w:rsidR="008B213F">
              <w:rPr>
                <w:noProof/>
                <w:webHidden/>
              </w:rPr>
              <w:fldChar w:fldCharType="separate"/>
            </w:r>
            <w:r w:rsidR="008B213F">
              <w:rPr>
                <w:noProof/>
                <w:webHidden/>
              </w:rPr>
              <w:t>22</w:t>
            </w:r>
            <w:r w:rsidR="008B213F">
              <w:rPr>
                <w:noProof/>
                <w:webHidden/>
              </w:rPr>
              <w:fldChar w:fldCharType="end"/>
            </w:r>
          </w:hyperlink>
        </w:p>
        <w:p w14:paraId="12C79286" w14:textId="14193163"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66" w:history="1">
            <w:r w:rsidR="008B213F" w:rsidRPr="00C302D0">
              <w:rPr>
                <w:rStyle w:val="a9"/>
                <w:noProof/>
              </w:rPr>
              <w:t>2.</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СТРАТЕГІЧНЕ ПЛАНУВАННЯ УПРАВЛІННЯ ВІДХОДАМИ</w:t>
            </w:r>
            <w:r w:rsidR="008B213F">
              <w:rPr>
                <w:noProof/>
                <w:webHidden/>
              </w:rPr>
              <w:tab/>
            </w:r>
            <w:r w:rsidR="008B213F">
              <w:rPr>
                <w:noProof/>
                <w:webHidden/>
              </w:rPr>
              <w:fldChar w:fldCharType="begin"/>
            </w:r>
            <w:r w:rsidR="008B213F">
              <w:rPr>
                <w:noProof/>
                <w:webHidden/>
              </w:rPr>
              <w:instrText xml:space="preserve"> PAGEREF _Toc151583266 \h </w:instrText>
            </w:r>
            <w:r w:rsidR="008B213F">
              <w:rPr>
                <w:noProof/>
                <w:webHidden/>
              </w:rPr>
            </w:r>
            <w:r w:rsidR="008B213F">
              <w:rPr>
                <w:noProof/>
                <w:webHidden/>
              </w:rPr>
              <w:fldChar w:fldCharType="separate"/>
            </w:r>
            <w:r w:rsidR="008B213F">
              <w:rPr>
                <w:noProof/>
                <w:webHidden/>
              </w:rPr>
              <w:t>52</w:t>
            </w:r>
            <w:r w:rsidR="008B213F">
              <w:rPr>
                <w:noProof/>
                <w:webHidden/>
              </w:rPr>
              <w:fldChar w:fldCharType="end"/>
            </w:r>
          </w:hyperlink>
        </w:p>
        <w:p w14:paraId="0D4CD395" w14:textId="18D0CF3C"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7" w:history="1">
            <w:r w:rsidR="008B213F" w:rsidRPr="00C302D0">
              <w:rPr>
                <w:rStyle w:val="a9"/>
                <w:noProof/>
              </w:rPr>
              <w:t>2.1.</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Прогнозні показники утворення відходів та очікуваного розвитку системи управління відходами.</w:t>
            </w:r>
            <w:r w:rsidR="008B213F">
              <w:rPr>
                <w:noProof/>
                <w:webHidden/>
              </w:rPr>
              <w:tab/>
            </w:r>
            <w:r w:rsidR="008B213F">
              <w:rPr>
                <w:noProof/>
                <w:webHidden/>
              </w:rPr>
              <w:fldChar w:fldCharType="begin"/>
            </w:r>
            <w:r w:rsidR="008B213F">
              <w:rPr>
                <w:noProof/>
                <w:webHidden/>
              </w:rPr>
              <w:instrText xml:space="preserve"> PAGEREF _Toc151583267 \h </w:instrText>
            </w:r>
            <w:r w:rsidR="008B213F">
              <w:rPr>
                <w:noProof/>
                <w:webHidden/>
              </w:rPr>
            </w:r>
            <w:r w:rsidR="008B213F">
              <w:rPr>
                <w:noProof/>
                <w:webHidden/>
              </w:rPr>
              <w:fldChar w:fldCharType="separate"/>
            </w:r>
            <w:r w:rsidR="008B213F">
              <w:rPr>
                <w:noProof/>
                <w:webHidden/>
              </w:rPr>
              <w:t>52</w:t>
            </w:r>
            <w:r w:rsidR="008B213F">
              <w:rPr>
                <w:noProof/>
                <w:webHidden/>
              </w:rPr>
              <w:fldChar w:fldCharType="end"/>
            </w:r>
          </w:hyperlink>
        </w:p>
        <w:p w14:paraId="575DB7BF" w14:textId="38D003CE"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8" w:history="1">
            <w:r w:rsidR="008B213F" w:rsidRPr="00C302D0">
              <w:rPr>
                <w:rStyle w:val="a9"/>
                <w:noProof/>
              </w:rPr>
              <w:t>2.2.</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Основні цілі/завдання з розвитку системи управління відходами та цільові показники, встановлені в рамках завдань</w:t>
            </w:r>
            <w:r w:rsidR="008B213F">
              <w:rPr>
                <w:noProof/>
                <w:webHidden/>
              </w:rPr>
              <w:tab/>
            </w:r>
            <w:r w:rsidR="008B213F">
              <w:rPr>
                <w:noProof/>
                <w:webHidden/>
              </w:rPr>
              <w:fldChar w:fldCharType="begin"/>
            </w:r>
            <w:r w:rsidR="008B213F">
              <w:rPr>
                <w:noProof/>
                <w:webHidden/>
              </w:rPr>
              <w:instrText xml:space="preserve"> PAGEREF _Toc151583268 \h </w:instrText>
            </w:r>
            <w:r w:rsidR="008B213F">
              <w:rPr>
                <w:noProof/>
                <w:webHidden/>
              </w:rPr>
            </w:r>
            <w:r w:rsidR="008B213F">
              <w:rPr>
                <w:noProof/>
                <w:webHidden/>
              </w:rPr>
              <w:fldChar w:fldCharType="separate"/>
            </w:r>
            <w:r w:rsidR="008B213F">
              <w:rPr>
                <w:noProof/>
                <w:webHidden/>
              </w:rPr>
              <w:t>61</w:t>
            </w:r>
            <w:r w:rsidR="008B213F">
              <w:rPr>
                <w:noProof/>
                <w:webHidden/>
              </w:rPr>
              <w:fldChar w:fldCharType="end"/>
            </w:r>
          </w:hyperlink>
        </w:p>
        <w:p w14:paraId="415EF234" w14:textId="2A97FD7F"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69" w:history="1">
            <w:r w:rsidR="008B213F" w:rsidRPr="00C302D0">
              <w:rPr>
                <w:rStyle w:val="a9"/>
                <w:noProof/>
              </w:rPr>
              <w:t>2.3.</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Заходи для досягнення цілей/завдань і цільових показників</w:t>
            </w:r>
            <w:r w:rsidR="008B213F">
              <w:rPr>
                <w:noProof/>
                <w:webHidden/>
              </w:rPr>
              <w:tab/>
            </w:r>
            <w:r w:rsidR="008B213F">
              <w:rPr>
                <w:noProof/>
                <w:webHidden/>
              </w:rPr>
              <w:fldChar w:fldCharType="begin"/>
            </w:r>
            <w:r w:rsidR="008B213F">
              <w:rPr>
                <w:noProof/>
                <w:webHidden/>
              </w:rPr>
              <w:instrText xml:space="preserve"> PAGEREF _Toc151583269 \h </w:instrText>
            </w:r>
            <w:r w:rsidR="008B213F">
              <w:rPr>
                <w:noProof/>
                <w:webHidden/>
              </w:rPr>
            </w:r>
            <w:r w:rsidR="008B213F">
              <w:rPr>
                <w:noProof/>
                <w:webHidden/>
              </w:rPr>
              <w:fldChar w:fldCharType="separate"/>
            </w:r>
            <w:r w:rsidR="008B213F">
              <w:rPr>
                <w:noProof/>
                <w:webHidden/>
              </w:rPr>
              <w:t>66</w:t>
            </w:r>
            <w:r w:rsidR="008B213F">
              <w:rPr>
                <w:noProof/>
                <w:webHidden/>
              </w:rPr>
              <w:fldChar w:fldCharType="end"/>
            </w:r>
          </w:hyperlink>
        </w:p>
        <w:p w14:paraId="727E8A3B" w14:textId="66ED3C16"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0" w:history="1">
            <w:r w:rsidR="008B213F" w:rsidRPr="00C302D0">
              <w:rPr>
                <w:rStyle w:val="a9"/>
                <w:noProof/>
              </w:rPr>
              <w:t>2.4.</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Оцінка потреби у закритті існуючих та створенні нових об’єктів оброблення відходів</w:t>
            </w:r>
            <w:r w:rsidR="008B213F">
              <w:rPr>
                <w:noProof/>
                <w:webHidden/>
              </w:rPr>
              <w:tab/>
            </w:r>
            <w:r w:rsidR="008B213F">
              <w:rPr>
                <w:noProof/>
                <w:webHidden/>
              </w:rPr>
              <w:fldChar w:fldCharType="begin"/>
            </w:r>
            <w:r w:rsidR="008B213F">
              <w:rPr>
                <w:noProof/>
                <w:webHidden/>
              </w:rPr>
              <w:instrText xml:space="preserve"> PAGEREF _Toc151583270 \h </w:instrText>
            </w:r>
            <w:r w:rsidR="008B213F">
              <w:rPr>
                <w:noProof/>
                <w:webHidden/>
              </w:rPr>
            </w:r>
            <w:r w:rsidR="008B213F">
              <w:rPr>
                <w:noProof/>
                <w:webHidden/>
              </w:rPr>
              <w:fldChar w:fldCharType="separate"/>
            </w:r>
            <w:r w:rsidR="008B213F">
              <w:rPr>
                <w:noProof/>
                <w:webHidden/>
              </w:rPr>
              <w:t>68</w:t>
            </w:r>
            <w:r w:rsidR="008B213F">
              <w:rPr>
                <w:noProof/>
                <w:webHidden/>
              </w:rPr>
              <w:fldChar w:fldCharType="end"/>
            </w:r>
          </w:hyperlink>
        </w:p>
        <w:p w14:paraId="7B89F55D" w14:textId="5EF26BC1"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1" w:history="1">
            <w:r w:rsidR="008B213F" w:rsidRPr="00C302D0">
              <w:rPr>
                <w:rStyle w:val="a9"/>
                <w:noProof/>
              </w:rPr>
              <w:t>2.5.</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Розташування об’єктів оброблення відходів та їх планована потужність</w:t>
            </w:r>
            <w:r w:rsidR="008B213F">
              <w:rPr>
                <w:noProof/>
                <w:webHidden/>
              </w:rPr>
              <w:tab/>
            </w:r>
            <w:r w:rsidR="008B213F">
              <w:rPr>
                <w:noProof/>
                <w:webHidden/>
              </w:rPr>
              <w:fldChar w:fldCharType="begin"/>
            </w:r>
            <w:r w:rsidR="008B213F">
              <w:rPr>
                <w:noProof/>
                <w:webHidden/>
              </w:rPr>
              <w:instrText xml:space="preserve"> PAGEREF _Toc151583271 \h </w:instrText>
            </w:r>
            <w:r w:rsidR="008B213F">
              <w:rPr>
                <w:noProof/>
                <w:webHidden/>
              </w:rPr>
            </w:r>
            <w:r w:rsidR="008B213F">
              <w:rPr>
                <w:noProof/>
                <w:webHidden/>
              </w:rPr>
              <w:fldChar w:fldCharType="separate"/>
            </w:r>
            <w:r w:rsidR="008B213F">
              <w:rPr>
                <w:noProof/>
                <w:webHidden/>
              </w:rPr>
              <w:t>70</w:t>
            </w:r>
            <w:r w:rsidR="008B213F">
              <w:rPr>
                <w:noProof/>
                <w:webHidden/>
              </w:rPr>
              <w:fldChar w:fldCharType="end"/>
            </w:r>
          </w:hyperlink>
        </w:p>
        <w:p w14:paraId="7696DB68" w14:textId="01EBCBA1"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2" w:history="1">
            <w:r w:rsidR="008B213F" w:rsidRPr="00C302D0">
              <w:rPr>
                <w:rStyle w:val="a9"/>
                <w:noProof/>
              </w:rPr>
              <w:t>2.6.</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Заходи із запобігання засміченню та очищення засмічених територій</w:t>
            </w:r>
            <w:r w:rsidR="008B213F">
              <w:rPr>
                <w:noProof/>
                <w:webHidden/>
              </w:rPr>
              <w:tab/>
            </w:r>
            <w:r w:rsidR="008B213F">
              <w:rPr>
                <w:noProof/>
                <w:webHidden/>
              </w:rPr>
              <w:fldChar w:fldCharType="begin"/>
            </w:r>
            <w:r w:rsidR="008B213F">
              <w:rPr>
                <w:noProof/>
                <w:webHidden/>
              </w:rPr>
              <w:instrText xml:space="preserve"> PAGEREF _Toc151583272 \h </w:instrText>
            </w:r>
            <w:r w:rsidR="008B213F">
              <w:rPr>
                <w:noProof/>
                <w:webHidden/>
              </w:rPr>
            </w:r>
            <w:r w:rsidR="008B213F">
              <w:rPr>
                <w:noProof/>
                <w:webHidden/>
              </w:rPr>
              <w:fldChar w:fldCharType="separate"/>
            </w:r>
            <w:r w:rsidR="008B213F">
              <w:rPr>
                <w:noProof/>
                <w:webHidden/>
              </w:rPr>
              <w:t>74</w:t>
            </w:r>
            <w:r w:rsidR="008B213F">
              <w:rPr>
                <w:noProof/>
                <w:webHidden/>
              </w:rPr>
              <w:fldChar w:fldCharType="end"/>
            </w:r>
          </w:hyperlink>
        </w:p>
        <w:p w14:paraId="146C10E8" w14:textId="77A31989"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3" w:history="1">
            <w:r w:rsidR="008B213F" w:rsidRPr="00C302D0">
              <w:rPr>
                <w:rStyle w:val="a9"/>
                <w:noProof/>
              </w:rPr>
              <w:t>2.7.</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Історичні місця розміщення відходів та заходи з їх очищення, обсяги витрат і можливі джерела фінансування</w:t>
            </w:r>
            <w:r w:rsidR="008B213F">
              <w:rPr>
                <w:noProof/>
                <w:webHidden/>
              </w:rPr>
              <w:tab/>
            </w:r>
            <w:r w:rsidR="008B213F">
              <w:rPr>
                <w:noProof/>
                <w:webHidden/>
              </w:rPr>
              <w:fldChar w:fldCharType="begin"/>
            </w:r>
            <w:r w:rsidR="008B213F">
              <w:rPr>
                <w:noProof/>
                <w:webHidden/>
              </w:rPr>
              <w:instrText xml:space="preserve"> PAGEREF _Toc151583273 \h </w:instrText>
            </w:r>
            <w:r w:rsidR="008B213F">
              <w:rPr>
                <w:noProof/>
                <w:webHidden/>
              </w:rPr>
            </w:r>
            <w:r w:rsidR="008B213F">
              <w:rPr>
                <w:noProof/>
                <w:webHidden/>
              </w:rPr>
              <w:fldChar w:fldCharType="separate"/>
            </w:r>
            <w:r w:rsidR="008B213F">
              <w:rPr>
                <w:noProof/>
                <w:webHidden/>
              </w:rPr>
              <w:t>76</w:t>
            </w:r>
            <w:r w:rsidR="008B213F">
              <w:rPr>
                <w:noProof/>
                <w:webHidden/>
              </w:rPr>
              <w:fldChar w:fldCharType="end"/>
            </w:r>
          </w:hyperlink>
        </w:p>
        <w:p w14:paraId="10D14BF5" w14:textId="2CA5E300"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74" w:history="1">
            <w:r w:rsidR="008B213F" w:rsidRPr="00C302D0">
              <w:rPr>
                <w:rStyle w:val="a9"/>
                <w:noProof/>
                <w:lang w:eastAsia="bg-BG"/>
              </w:rPr>
              <w:t>3.</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bg-BG"/>
              </w:rPr>
              <w:t>НАЦІОНАЛЬНА ПРОГРАМА ЗМЕНШЕННЯ ЗАХОРОНЕННЯ БІОВІДХОДІВ</w:t>
            </w:r>
            <w:r w:rsidR="008B213F">
              <w:rPr>
                <w:noProof/>
                <w:webHidden/>
              </w:rPr>
              <w:tab/>
            </w:r>
            <w:r w:rsidR="008B213F">
              <w:rPr>
                <w:noProof/>
                <w:webHidden/>
              </w:rPr>
              <w:fldChar w:fldCharType="begin"/>
            </w:r>
            <w:r w:rsidR="008B213F">
              <w:rPr>
                <w:noProof/>
                <w:webHidden/>
              </w:rPr>
              <w:instrText xml:space="preserve"> PAGEREF _Toc151583274 \h </w:instrText>
            </w:r>
            <w:r w:rsidR="008B213F">
              <w:rPr>
                <w:noProof/>
                <w:webHidden/>
              </w:rPr>
            </w:r>
            <w:r w:rsidR="008B213F">
              <w:rPr>
                <w:noProof/>
                <w:webHidden/>
              </w:rPr>
              <w:fldChar w:fldCharType="separate"/>
            </w:r>
            <w:r w:rsidR="008B213F">
              <w:rPr>
                <w:noProof/>
                <w:webHidden/>
              </w:rPr>
              <w:t>80</w:t>
            </w:r>
            <w:r w:rsidR="008B213F">
              <w:rPr>
                <w:noProof/>
                <w:webHidden/>
              </w:rPr>
              <w:fldChar w:fldCharType="end"/>
            </w:r>
          </w:hyperlink>
        </w:p>
        <w:p w14:paraId="485BA7E8" w14:textId="4C86A052"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5" w:history="1">
            <w:r w:rsidR="008B213F" w:rsidRPr="00C302D0">
              <w:rPr>
                <w:rStyle w:val="a9"/>
                <w:noProof/>
              </w:rPr>
              <w:t>3.1.</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Специфічні особливості територій України щодо ранжування утворення відходів, що біологічно розкладаються.</w:t>
            </w:r>
            <w:r w:rsidR="008B213F">
              <w:rPr>
                <w:noProof/>
                <w:webHidden/>
              </w:rPr>
              <w:tab/>
            </w:r>
            <w:r w:rsidR="008B213F">
              <w:rPr>
                <w:noProof/>
                <w:webHidden/>
              </w:rPr>
              <w:fldChar w:fldCharType="begin"/>
            </w:r>
            <w:r w:rsidR="008B213F">
              <w:rPr>
                <w:noProof/>
                <w:webHidden/>
              </w:rPr>
              <w:instrText xml:space="preserve"> PAGEREF _Toc151583275 \h </w:instrText>
            </w:r>
            <w:r w:rsidR="008B213F">
              <w:rPr>
                <w:noProof/>
                <w:webHidden/>
              </w:rPr>
            </w:r>
            <w:r w:rsidR="008B213F">
              <w:rPr>
                <w:noProof/>
                <w:webHidden/>
              </w:rPr>
              <w:fldChar w:fldCharType="separate"/>
            </w:r>
            <w:r w:rsidR="008B213F">
              <w:rPr>
                <w:noProof/>
                <w:webHidden/>
              </w:rPr>
              <w:t>85</w:t>
            </w:r>
            <w:r w:rsidR="008B213F">
              <w:rPr>
                <w:noProof/>
                <w:webHidden/>
              </w:rPr>
              <w:fldChar w:fldCharType="end"/>
            </w:r>
          </w:hyperlink>
        </w:p>
        <w:p w14:paraId="7F454811" w14:textId="268E0B66"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6" w:history="1">
            <w:r w:rsidR="008B213F" w:rsidRPr="00C302D0">
              <w:rPr>
                <w:rStyle w:val="a9"/>
                <w:noProof/>
                <w:lang w:eastAsia="uk-UA"/>
              </w:rPr>
              <w:t>3.2.</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uk-UA"/>
              </w:rPr>
              <w:t>Поточний стан збирання та оброблення відходів, що біологічно розкладаються</w:t>
            </w:r>
            <w:r w:rsidR="008B213F">
              <w:rPr>
                <w:noProof/>
                <w:webHidden/>
              </w:rPr>
              <w:tab/>
            </w:r>
            <w:r w:rsidR="008B213F">
              <w:rPr>
                <w:noProof/>
                <w:webHidden/>
              </w:rPr>
              <w:fldChar w:fldCharType="begin"/>
            </w:r>
            <w:r w:rsidR="008B213F">
              <w:rPr>
                <w:noProof/>
                <w:webHidden/>
              </w:rPr>
              <w:instrText xml:space="preserve"> PAGEREF _Toc151583276 \h </w:instrText>
            </w:r>
            <w:r w:rsidR="008B213F">
              <w:rPr>
                <w:noProof/>
                <w:webHidden/>
              </w:rPr>
            </w:r>
            <w:r w:rsidR="008B213F">
              <w:rPr>
                <w:noProof/>
                <w:webHidden/>
              </w:rPr>
              <w:fldChar w:fldCharType="separate"/>
            </w:r>
            <w:r w:rsidR="008B213F">
              <w:rPr>
                <w:noProof/>
                <w:webHidden/>
              </w:rPr>
              <w:t>87</w:t>
            </w:r>
            <w:r w:rsidR="008B213F">
              <w:rPr>
                <w:noProof/>
                <w:webHidden/>
              </w:rPr>
              <w:fldChar w:fldCharType="end"/>
            </w:r>
          </w:hyperlink>
        </w:p>
        <w:p w14:paraId="1FEABDBF" w14:textId="681AFE2C"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7" w:history="1">
            <w:r w:rsidR="008B213F" w:rsidRPr="00C302D0">
              <w:rPr>
                <w:rStyle w:val="a9"/>
                <w:noProof/>
                <w:lang w:eastAsia="uk-UA"/>
              </w:rPr>
              <w:t>3.3.</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uk-UA"/>
              </w:rPr>
              <w:t>Виконання цільових показників зменшення захоронення побутових відходів, що біологічно розкладаються</w:t>
            </w:r>
            <w:r w:rsidR="008B213F">
              <w:rPr>
                <w:noProof/>
                <w:webHidden/>
              </w:rPr>
              <w:tab/>
            </w:r>
            <w:r w:rsidR="008B213F">
              <w:rPr>
                <w:noProof/>
                <w:webHidden/>
              </w:rPr>
              <w:fldChar w:fldCharType="begin"/>
            </w:r>
            <w:r w:rsidR="008B213F">
              <w:rPr>
                <w:noProof/>
                <w:webHidden/>
              </w:rPr>
              <w:instrText xml:space="preserve"> PAGEREF _Toc151583277 \h </w:instrText>
            </w:r>
            <w:r w:rsidR="008B213F">
              <w:rPr>
                <w:noProof/>
                <w:webHidden/>
              </w:rPr>
            </w:r>
            <w:r w:rsidR="008B213F">
              <w:rPr>
                <w:noProof/>
                <w:webHidden/>
              </w:rPr>
              <w:fldChar w:fldCharType="separate"/>
            </w:r>
            <w:r w:rsidR="008B213F">
              <w:rPr>
                <w:noProof/>
                <w:webHidden/>
              </w:rPr>
              <w:t>92</w:t>
            </w:r>
            <w:r w:rsidR="008B213F">
              <w:rPr>
                <w:noProof/>
                <w:webHidden/>
              </w:rPr>
              <w:fldChar w:fldCharType="end"/>
            </w:r>
          </w:hyperlink>
        </w:p>
        <w:p w14:paraId="0B7E0EBF" w14:textId="41FB8EE5"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8" w:history="1">
            <w:r w:rsidR="008B213F" w:rsidRPr="00C302D0">
              <w:rPr>
                <w:rStyle w:val="a9"/>
                <w:noProof/>
                <w:lang w:eastAsia="uk-UA"/>
              </w:rPr>
              <w:t>3.4.</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uk-UA"/>
              </w:rPr>
              <w:t xml:space="preserve">Управління </w:t>
            </w:r>
            <w:r w:rsidR="008B213F" w:rsidRPr="00C302D0">
              <w:rPr>
                <w:rStyle w:val="a9"/>
                <w:noProof/>
                <w:lang w:val="bg-BG" w:eastAsia="uk-UA"/>
              </w:rPr>
              <w:t xml:space="preserve">побутовими </w:t>
            </w:r>
            <w:r w:rsidR="008B213F" w:rsidRPr="00C302D0">
              <w:rPr>
                <w:rStyle w:val="a9"/>
                <w:noProof/>
                <w:lang w:eastAsia="uk-UA"/>
              </w:rPr>
              <w:t>відходами, що біологічно розкладаються</w:t>
            </w:r>
            <w:r w:rsidR="008B213F">
              <w:rPr>
                <w:noProof/>
                <w:webHidden/>
              </w:rPr>
              <w:tab/>
            </w:r>
            <w:r w:rsidR="008B213F">
              <w:rPr>
                <w:noProof/>
                <w:webHidden/>
              </w:rPr>
              <w:fldChar w:fldCharType="begin"/>
            </w:r>
            <w:r w:rsidR="008B213F">
              <w:rPr>
                <w:noProof/>
                <w:webHidden/>
              </w:rPr>
              <w:instrText xml:space="preserve"> PAGEREF _Toc151583278 \h </w:instrText>
            </w:r>
            <w:r w:rsidR="008B213F">
              <w:rPr>
                <w:noProof/>
                <w:webHidden/>
              </w:rPr>
            </w:r>
            <w:r w:rsidR="008B213F">
              <w:rPr>
                <w:noProof/>
                <w:webHidden/>
              </w:rPr>
              <w:fldChar w:fldCharType="separate"/>
            </w:r>
            <w:r w:rsidR="008B213F">
              <w:rPr>
                <w:noProof/>
                <w:webHidden/>
              </w:rPr>
              <w:t>93</w:t>
            </w:r>
            <w:r w:rsidR="008B213F">
              <w:rPr>
                <w:noProof/>
                <w:webHidden/>
              </w:rPr>
              <w:fldChar w:fldCharType="end"/>
            </w:r>
          </w:hyperlink>
        </w:p>
        <w:p w14:paraId="7E087E5D" w14:textId="37EA4F1E"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79" w:history="1">
            <w:r w:rsidR="008B213F" w:rsidRPr="00C302D0">
              <w:rPr>
                <w:rStyle w:val="a9"/>
                <w:noProof/>
                <w:lang w:val="bg-BG" w:eastAsia="uk-UA"/>
              </w:rPr>
              <w:t>3.5.</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val="bg-BG" w:eastAsia="uk-UA"/>
              </w:rPr>
              <w:t xml:space="preserve">Управління відходами </w:t>
            </w:r>
            <w:r w:rsidR="008B213F" w:rsidRPr="00C302D0">
              <w:rPr>
                <w:rStyle w:val="a9"/>
                <w:bCs/>
                <w:noProof/>
                <w:lang w:eastAsia="uk-UA"/>
              </w:rPr>
              <w:t>сільського</w:t>
            </w:r>
            <w:r w:rsidR="008B213F" w:rsidRPr="00C302D0">
              <w:rPr>
                <w:rStyle w:val="a9"/>
                <w:bCs/>
                <w:noProof/>
                <w:lang w:val="bg-BG" w:eastAsia="uk-UA"/>
              </w:rPr>
              <w:t xml:space="preserve"> го</w:t>
            </w:r>
            <w:r w:rsidR="008B213F" w:rsidRPr="00C302D0">
              <w:rPr>
                <w:rStyle w:val="a9"/>
                <w:bCs/>
                <w:noProof/>
                <w:lang w:eastAsia="uk-UA"/>
              </w:rPr>
              <w:t>сподарс</w:t>
            </w:r>
            <w:r w:rsidR="008B213F" w:rsidRPr="00C302D0">
              <w:rPr>
                <w:rStyle w:val="a9"/>
                <w:bCs/>
                <w:noProof/>
                <w:lang w:val="bg-BG" w:eastAsia="uk-UA"/>
              </w:rPr>
              <w:t xml:space="preserve">тва, </w:t>
            </w:r>
            <w:r w:rsidR="008B213F" w:rsidRPr="00C302D0">
              <w:rPr>
                <w:rStyle w:val="a9"/>
                <w:noProof/>
                <w:lang w:eastAsia="uk-UA"/>
              </w:rPr>
              <w:t>що біологічно розкладаються</w:t>
            </w:r>
            <w:r w:rsidR="008B213F">
              <w:rPr>
                <w:noProof/>
                <w:webHidden/>
              </w:rPr>
              <w:tab/>
            </w:r>
            <w:r w:rsidR="008B213F">
              <w:rPr>
                <w:noProof/>
                <w:webHidden/>
              </w:rPr>
              <w:fldChar w:fldCharType="begin"/>
            </w:r>
            <w:r w:rsidR="008B213F">
              <w:rPr>
                <w:noProof/>
                <w:webHidden/>
              </w:rPr>
              <w:instrText xml:space="preserve"> PAGEREF _Toc151583279 \h </w:instrText>
            </w:r>
            <w:r w:rsidR="008B213F">
              <w:rPr>
                <w:noProof/>
                <w:webHidden/>
              </w:rPr>
            </w:r>
            <w:r w:rsidR="008B213F">
              <w:rPr>
                <w:noProof/>
                <w:webHidden/>
              </w:rPr>
              <w:fldChar w:fldCharType="separate"/>
            </w:r>
            <w:r w:rsidR="008B213F">
              <w:rPr>
                <w:noProof/>
                <w:webHidden/>
              </w:rPr>
              <w:t>99</w:t>
            </w:r>
            <w:r w:rsidR="008B213F">
              <w:rPr>
                <w:noProof/>
                <w:webHidden/>
              </w:rPr>
              <w:fldChar w:fldCharType="end"/>
            </w:r>
          </w:hyperlink>
        </w:p>
        <w:p w14:paraId="26E4B2D8" w14:textId="7BAAD443"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0" w:history="1">
            <w:r w:rsidR="008B213F" w:rsidRPr="00C302D0">
              <w:rPr>
                <w:rStyle w:val="a9"/>
                <w:noProof/>
                <w:lang w:eastAsia="uk-UA"/>
              </w:rPr>
              <w:t>3.6.</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uk-UA"/>
              </w:rPr>
              <w:t>Реалізація Програми</w:t>
            </w:r>
            <w:r w:rsidR="008B213F">
              <w:rPr>
                <w:noProof/>
                <w:webHidden/>
              </w:rPr>
              <w:tab/>
            </w:r>
            <w:r w:rsidR="008B213F">
              <w:rPr>
                <w:noProof/>
                <w:webHidden/>
              </w:rPr>
              <w:fldChar w:fldCharType="begin"/>
            </w:r>
            <w:r w:rsidR="008B213F">
              <w:rPr>
                <w:noProof/>
                <w:webHidden/>
              </w:rPr>
              <w:instrText xml:space="preserve"> PAGEREF _Toc151583280 \h </w:instrText>
            </w:r>
            <w:r w:rsidR="008B213F">
              <w:rPr>
                <w:noProof/>
                <w:webHidden/>
              </w:rPr>
            </w:r>
            <w:r w:rsidR="008B213F">
              <w:rPr>
                <w:noProof/>
                <w:webHidden/>
              </w:rPr>
              <w:fldChar w:fldCharType="separate"/>
            </w:r>
            <w:r w:rsidR="008B213F">
              <w:rPr>
                <w:noProof/>
                <w:webHidden/>
              </w:rPr>
              <w:t>107</w:t>
            </w:r>
            <w:r w:rsidR="008B213F">
              <w:rPr>
                <w:noProof/>
                <w:webHidden/>
              </w:rPr>
              <w:fldChar w:fldCharType="end"/>
            </w:r>
          </w:hyperlink>
        </w:p>
        <w:p w14:paraId="2EADC217" w14:textId="3E8CE4F7"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1" w:history="1">
            <w:r w:rsidR="008B213F" w:rsidRPr="00C302D0">
              <w:rPr>
                <w:rStyle w:val="a9"/>
                <w:noProof/>
                <w:lang w:eastAsia="uk-UA"/>
              </w:rPr>
              <w:t>3.7.</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uk-UA"/>
              </w:rPr>
              <w:t>Витрати на реалізацію національної програми</w:t>
            </w:r>
            <w:r w:rsidR="008B213F">
              <w:rPr>
                <w:noProof/>
                <w:webHidden/>
              </w:rPr>
              <w:tab/>
            </w:r>
            <w:r w:rsidR="008B213F">
              <w:rPr>
                <w:noProof/>
                <w:webHidden/>
              </w:rPr>
              <w:fldChar w:fldCharType="begin"/>
            </w:r>
            <w:r w:rsidR="008B213F">
              <w:rPr>
                <w:noProof/>
                <w:webHidden/>
              </w:rPr>
              <w:instrText xml:space="preserve"> PAGEREF _Toc151583281 \h </w:instrText>
            </w:r>
            <w:r w:rsidR="008B213F">
              <w:rPr>
                <w:noProof/>
                <w:webHidden/>
              </w:rPr>
            </w:r>
            <w:r w:rsidR="008B213F">
              <w:rPr>
                <w:noProof/>
                <w:webHidden/>
              </w:rPr>
              <w:fldChar w:fldCharType="separate"/>
            </w:r>
            <w:r w:rsidR="008B213F">
              <w:rPr>
                <w:noProof/>
                <w:webHidden/>
              </w:rPr>
              <w:t>109</w:t>
            </w:r>
            <w:r w:rsidR="008B213F">
              <w:rPr>
                <w:noProof/>
                <w:webHidden/>
              </w:rPr>
              <w:fldChar w:fldCharType="end"/>
            </w:r>
          </w:hyperlink>
        </w:p>
        <w:p w14:paraId="5AFBB9FB" w14:textId="4D9F2B3A"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2" w:history="1">
            <w:r w:rsidR="008B213F" w:rsidRPr="00C302D0">
              <w:rPr>
                <w:rStyle w:val="a9"/>
                <w:noProof/>
                <w:lang w:eastAsia="uk-UA"/>
              </w:rPr>
              <w:t>3.8.</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uk-UA"/>
              </w:rPr>
              <w:t>Заходи та показники досягнення Національної програми</w:t>
            </w:r>
            <w:r w:rsidR="008B213F">
              <w:rPr>
                <w:noProof/>
                <w:webHidden/>
              </w:rPr>
              <w:tab/>
            </w:r>
            <w:r w:rsidR="008B213F">
              <w:rPr>
                <w:noProof/>
                <w:webHidden/>
              </w:rPr>
              <w:fldChar w:fldCharType="begin"/>
            </w:r>
            <w:r w:rsidR="008B213F">
              <w:rPr>
                <w:noProof/>
                <w:webHidden/>
              </w:rPr>
              <w:instrText xml:space="preserve"> PAGEREF _Toc151583282 \h </w:instrText>
            </w:r>
            <w:r w:rsidR="008B213F">
              <w:rPr>
                <w:noProof/>
                <w:webHidden/>
              </w:rPr>
            </w:r>
            <w:r w:rsidR="008B213F">
              <w:rPr>
                <w:noProof/>
                <w:webHidden/>
              </w:rPr>
              <w:fldChar w:fldCharType="separate"/>
            </w:r>
            <w:r w:rsidR="008B213F">
              <w:rPr>
                <w:noProof/>
                <w:webHidden/>
              </w:rPr>
              <w:t>111</w:t>
            </w:r>
            <w:r w:rsidR="008B213F">
              <w:rPr>
                <w:noProof/>
                <w:webHidden/>
              </w:rPr>
              <w:fldChar w:fldCharType="end"/>
            </w:r>
          </w:hyperlink>
        </w:p>
        <w:p w14:paraId="061AB2EB" w14:textId="59776870"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83" w:history="1">
            <w:r w:rsidR="008B213F" w:rsidRPr="00C302D0">
              <w:rPr>
                <w:rStyle w:val="a9"/>
                <w:noProof/>
              </w:rPr>
              <w:t>4.</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НАЦІОНАЛЬНА ПРОГРАМА ЗАПОБІГАННЯ УТВОРЕННЮ ВІДХОДІВ 2023-2033РР.</w:t>
            </w:r>
            <w:r w:rsidR="008B213F">
              <w:rPr>
                <w:noProof/>
                <w:webHidden/>
              </w:rPr>
              <w:tab/>
            </w:r>
            <w:r w:rsidR="008B213F">
              <w:rPr>
                <w:noProof/>
                <w:webHidden/>
              </w:rPr>
              <w:fldChar w:fldCharType="begin"/>
            </w:r>
            <w:r w:rsidR="008B213F">
              <w:rPr>
                <w:noProof/>
                <w:webHidden/>
              </w:rPr>
              <w:instrText xml:space="preserve"> PAGEREF _Toc151583283 \h </w:instrText>
            </w:r>
            <w:r w:rsidR="008B213F">
              <w:rPr>
                <w:noProof/>
                <w:webHidden/>
              </w:rPr>
            </w:r>
            <w:r w:rsidR="008B213F">
              <w:rPr>
                <w:noProof/>
                <w:webHidden/>
              </w:rPr>
              <w:fldChar w:fldCharType="separate"/>
            </w:r>
            <w:r w:rsidR="008B213F">
              <w:rPr>
                <w:noProof/>
                <w:webHidden/>
              </w:rPr>
              <w:t>113</w:t>
            </w:r>
            <w:r w:rsidR="008B213F">
              <w:rPr>
                <w:noProof/>
                <w:webHidden/>
              </w:rPr>
              <w:fldChar w:fldCharType="end"/>
            </w:r>
          </w:hyperlink>
        </w:p>
        <w:p w14:paraId="698E1986" w14:textId="2850FB20"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5" w:history="1">
            <w:r w:rsidR="008B213F" w:rsidRPr="00C302D0">
              <w:rPr>
                <w:rStyle w:val="a9"/>
                <w:bCs/>
                <w:noProof/>
              </w:rPr>
              <w:t>4.1.</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Поточна ситуація запобігання утворенню відходів</w:t>
            </w:r>
            <w:r w:rsidR="008B213F">
              <w:rPr>
                <w:noProof/>
                <w:webHidden/>
              </w:rPr>
              <w:tab/>
            </w:r>
            <w:r w:rsidR="008B213F">
              <w:rPr>
                <w:noProof/>
                <w:webHidden/>
              </w:rPr>
              <w:fldChar w:fldCharType="begin"/>
            </w:r>
            <w:r w:rsidR="008B213F">
              <w:rPr>
                <w:noProof/>
                <w:webHidden/>
              </w:rPr>
              <w:instrText xml:space="preserve"> PAGEREF _Toc151583285 \h </w:instrText>
            </w:r>
            <w:r w:rsidR="008B213F">
              <w:rPr>
                <w:noProof/>
                <w:webHidden/>
              </w:rPr>
            </w:r>
            <w:r w:rsidR="008B213F">
              <w:rPr>
                <w:noProof/>
                <w:webHidden/>
              </w:rPr>
              <w:fldChar w:fldCharType="separate"/>
            </w:r>
            <w:r w:rsidR="008B213F">
              <w:rPr>
                <w:noProof/>
                <w:webHidden/>
              </w:rPr>
              <w:t>115</w:t>
            </w:r>
            <w:r w:rsidR="008B213F">
              <w:rPr>
                <w:noProof/>
                <w:webHidden/>
              </w:rPr>
              <w:fldChar w:fldCharType="end"/>
            </w:r>
          </w:hyperlink>
        </w:p>
        <w:p w14:paraId="0B761A60" w14:textId="1C3A92EB"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6" w:history="1">
            <w:r w:rsidR="008B213F" w:rsidRPr="00C302D0">
              <w:rPr>
                <w:rStyle w:val="a9"/>
                <w:noProof/>
              </w:rPr>
              <w:t>4.2.</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Прогалини запобігання утворенню відходів</w:t>
            </w:r>
            <w:r w:rsidR="008B213F">
              <w:rPr>
                <w:noProof/>
                <w:webHidden/>
              </w:rPr>
              <w:tab/>
            </w:r>
            <w:r w:rsidR="008B213F">
              <w:rPr>
                <w:noProof/>
                <w:webHidden/>
              </w:rPr>
              <w:fldChar w:fldCharType="begin"/>
            </w:r>
            <w:r w:rsidR="008B213F">
              <w:rPr>
                <w:noProof/>
                <w:webHidden/>
              </w:rPr>
              <w:instrText xml:space="preserve"> PAGEREF _Toc151583286 \h </w:instrText>
            </w:r>
            <w:r w:rsidR="008B213F">
              <w:rPr>
                <w:noProof/>
                <w:webHidden/>
              </w:rPr>
            </w:r>
            <w:r w:rsidR="008B213F">
              <w:rPr>
                <w:noProof/>
                <w:webHidden/>
              </w:rPr>
              <w:fldChar w:fldCharType="separate"/>
            </w:r>
            <w:r w:rsidR="008B213F">
              <w:rPr>
                <w:noProof/>
                <w:webHidden/>
              </w:rPr>
              <w:t>119</w:t>
            </w:r>
            <w:r w:rsidR="008B213F">
              <w:rPr>
                <w:noProof/>
                <w:webHidden/>
              </w:rPr>
              <w:fldChar w:fldCharType="end"/>
            </w:r>
          </w:hyperlink>
        </w:p>
        <w:p w14:paraId="4CDE8F8B" w14:textId="5DC16B42"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7" w:history="1">
            <w:r w:rsidR="008B213F" w:rsidRPr="00C302D0">
              <w:rPr>
                <w:rStyle w:val="a9"/>
                <w:noProof/>
              </w:rPr>
              <w:t>4.3.</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Реалізація Національної програми запобігання утворенню відходів</w:t>
            </w:r>
            <w:r w:rsidR="008B213F">
              <w:rPr>
                <w:noProof/>
                <w:webHidden/>
              </w:rPr>
              <w:tab/>
            </w:r>
            <w:r w:rsidR="008B213F">
              <w:rPr>
                <w:noProof/>
                <w:webHidden/>
              </w:rPr>
              <w:fldChar w:fldCharType="begin"/>
            </w:r>
            <w:r w:rsidR="008B213F">
              <w:rPr>
                <w:noProof/>
                <w:webHidden/>
              </w:rPr>
              <w:instrText xml:space="preserve"> PAGEREF _Toc151583287 \h </w:instrText>
            </w:r>
            <w:r w:rsidR="008B213F">
              <w:rPr>
                <w:noProof/>
                <w:webHidden/>
              </w:rPr>
            </w:r>
            <w:r w:rsidR="008B213F">
              <w:rPr>
                <w:noProof/>
                <w:webHidden/>
              </w:rPr>
              <w:fldChar w:fldCharType="separate"/>
            </w:r>
            <w:r w:rsidR="008B213F">
              <w:rPr>
                <w:noProof/>
                <w:webHidden/>
              </w:rPr>
              <w:t>119</w:t>
            </w:r>
            <w:r w:rsidR="008B213F">
              <w:rPr>
                <w:noProof/>
                <w:webHidden/>
              </w:rPr>
              <w:fldChar w:fldCharType="end"/>
            </w:r>
          </w:hyperlink>
        </w:p>
        <w:p w14:paraId="1135A9F4" w14:textId="5EFE95D3"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88" w:history="1">
            <w:r w:rsidR="008B213F" w:rsidRPr="00C302D0">
              <w:rPr>
                <w:rStyle w:val="a9"/>
                <w:noProof/>
              </w:rPr>
              <w:t>4.4.</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Ініціативи з запобігання утворенню відходів в Україні</w:t>
            </w:r>
            <w:r w:rsidR="008B213F">
              <w:rPr>
                <w:noProof/>
                <w:webHidden/>
              </w:rPr>
              <w:tab/>
            </w:r>
            <w:r w:rsidR="008B213F">
              <w:rPr>
                <w:noProof/>
                <w:webHidden/>
              </w:rPr>
              <w:fldChar w:fldCharType="begin"/>
            </w:r>
            <w:r w:rsidR="008B213F">
              <w:rPr>
                <w:noProof/>
                <w:webHidden/>
              </w:rPr>
              <w:instrText xml:space="preserve"> PAGEREF _Toc151583288 \h </w:instrText>
            </w:r>
            <w:r w:rsidR="008B213F">
              <w:rPr>
                <w:noProof/>
                <w:webHidden/>
              </w:rPr>
            </w:r>
            <w:r w:rsidR="008B213F">
              <w:rPr>
                <w:noProof/>
                <w:webHidden/>
              </w:rPr>
              <w:fldChar w:fldCharType="separate"/>
            </w:r>
            <w:r w:rsidR="008B213F">
              <w:rPr>
                <w:noProof/>
                <w:webHidden/>
              </w:rPr>
              <w:t>119</w:t>
            </w:r>
            <w:r w:rsidR="008B213F">
              <w:rPr>
                <w:noProof/>
                <w:webHidden/>
              </w:rPr>
              <w:fldChar w:fldCharType="end"/>
            </w:r>
          </w:hyperlink>
        </w:p>
        <w:p w14:paraId="52C5C30A" w14:textId="452174FD"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89" w:history="1">
            <w:r w:rsidR="008B213F" w:rsidRPr="00C302D0">
              <w:rPr>
                <w:rStyle w:val="a9"/>
                <w:noProof/>
              </w:rPr>
              <w:t>5.</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ІНДИКАТОРИ ОЦІНКИ ВИКОНАННЯ ПЛАНУ</w:t>
            </w:r>
            <w:r w:rsidR="008B213F">
              <w:rPr>
                <w:noProof/>
                <w:webHidden/>
              </w:rPr>
              <w:tab/>
            </w:r>
            <w:r w:rsidR="008B213F">
              <w:rPr>
                <w:noProof/>
                <w:webHidden/>
              </w:rPr>
              <w:fldChar w:fldCharType="begin"/>
            </w:r>
            <w:r w:rsidR="008B213F">
              <w:rPr>
                <w:noProof/>
                <w:webHidden/>
              </w:rPr>
              <w:instrText xml:space="preserve"> PAGEREF _Toc151583289 \h </w:instrText>
            </w:r>
            <w:r w:rsidR="008B213F">
              <w:rPr>
                <w:noProof/>
                <w:webHidden/>
              </w:rPr>
            </w:r>
            <w:r w:rsidR="008B213F">
              <w:rPr>
                <w:noProof/>
                <w:webHidden/>
              </w:rPr>
              <w:fldChar w:fldCharType="separate"/>
            </w:r>
            <w:r w:rsidR="008B213F">
              <w:rPr>
                <w:noProof/>
                <w:webHidden/>
              </w:rPr>
              <w:t>121</w:t>
            </w:r>
            <w:r w:rsidR="008B213F">
              <w:rPr>
                <w:noProof/>
                <w:webHidden/>
              </w:rPr>
              <w:fldChar w:fldCharType="end"/>
            </w:r>
          </w:hyperlink>
        </w:p>
        <w:p w14:paraId="07D848D4" w14:textId="66D2A46D"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90" w:history="1">
            <w:r w:rsidR="008B213F" w:rsidRPr="00C302D0">
              <w:rPr>
                <w:rStyle w:val="a9"/>
                <w:noProof/>
              </w:rPr>
              <w:t>6.</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ІНСТРУМЕНТИ РЕАЛІЗАЦІЇ ПЛАНУ, У ТОМУ ЧИСЛІ ЕКОНОМІЧНІ, ОЦІНКА ЇХ ПРИДАТНОСТІ ТА ПРОГНОЗНІ ПОКАЗНИКИ ОЧІКУВАНИХ РЕЗУЛЬТАТІВ.</w:t>
            </w:r>
            <w:r w:rsidR="008B213F">
              <w:rPr>
                <w:noProof/>
                <w:webHidden/>
              </w:rPr>
              <w:tab/>
            </w:r>
            <w:r w:rsidR="008B213F">
              <w:rPr>
                <w:noProof/>
                <w:webHidden/>
              </w:rPr>
              <w:fldChar w:fldCharType="begin"/>
            </w:r>
            <w:r w:rsidR="008B213F">
              <w:rPr>
                <w:noProof/>
                <w:webHidden/>
              </w:rPr>
              <w:instrText xml:space="preserve"> PAGEREF _Toc151583290 \h </w:instrText>
            </w:r>
            <w:r w:rsidR="008B213F">
              <w:rPr>
                <w:noProof/>
                <w:webHidden/>
              </w:rPr>
            </w:r>
            <w:r w:rsidR="008B213F">
              <w:rPr>
                <w:noProof/>
                <w:webHidden/>
              </w:rPr>
              <w:fldChar w:fldCharType="separate"/>
            </w:r>
            <w:r w:rsidR="008B213F">
              <w:rPr>
                <w:noProof/>
                <w:webHidden/>
              </w:rPr>
              <w:t>133</w:t>
            </w:r>
            <w:r w:rsidR="008B213F">
              <w:rPr>
                <w:noProof/>
                <w:webHidden/>
              </w:rPr>
              <w:fldChar w:fldCharType="end"/>
            </w:r>
          </w:hyperlink>
        </w:p>
        <w:p w14:paraId="0F6E999A" w14:textId="13DAD3D6" w:rsidR="008B213F" w:rsidRDefault="003D07E1">
          <w:pPr>
            <w:pStyle w:val="22"/>
            <w:tabs>
              <w:tab w:val="left" w:pos="660"/>
            </w:tabs>
            <w:rPr>
              <w:rFonts w:asciiTheme="minorHAnsi" w:eastAsiaTheme="minorEastAsia" w:hAnsiTheme="minorHAnsi"/>
              <w:noProof/>
              <w:kern w:val="2"/>
              <w:sz w:val="22"/>
              <w:szCs w:val="22"/>
              <w:lang w:eastAsia="uk-UA"/>
              <w14:ligatures w14:val="standardContextual"/>
            </w:rPr>
          </w:pPr>
          <w:hyperlink w:anchor="_Toc151583291" w:history="1">
            <w:r w:rsidR="008B213F" w:rsidRPr="00C302D0">
              <w:rPr>
                <w:rStyle w:val="a9"/>
                <w:noProof/>
              </w:rPr>
              <w:t>7.</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МОНІТОРИНГ ТА ОЦІНКА ЕФЕКТИВНОСТІ ВИКОНАННЯ ПЛАНУ.</w:t>
            </w:r>
            <w:r w:rsidR="008B213F">
              <w:rPr>
                <w:noProof/>
                <w:webHidden/>
              </w:rPr>
              <w:tab/>
            </w:r>
            <w:r w:rsidR="008B213F">
              <w:rPr>
                <w:noProof/>
                <w:webHidden/>
              </w:rPr>
              <w:fldChar w:fldCharType="begin"/>
            </w:r>
            <w:r w:rsidR="008B213F">
              <w:rPr>
                <w:noProof/>
                <w:webHidden/>
              </w:rPr>
              <w:instrText xml:space="preserve"> PAGEREF _Toc151583291 \h </w:instrText>
            </w:r>
            <w:r w:rsidR="008B213F">
              <w:rPr>
                <w:noProof/>
                <w:webHidden/>
              </w:rPr>
            </w:r>
            <w:r w:rsidR="008B213F">
              <w:rPr>
                <w:noProof/>
                <w:webHidden/>
              </w:rPr>
              <w:fldChar w:fldCharType="separate"/>
            </w:r>
            <w:r w:rsidR="008B213F">
              <w:rPr>
                <w:noProof/>
                <w:webHidden/>
              </w:rPr>
              <w:t>139</w:t>
            </w:r>
            <w:r w:rsidR="008B213F">
              <w:rPr>
                <w:noProof/>
                <w:webHidden/>
              </w:rPr>
              <w:fldChar w:fldCharType="end"/>
            </w:r>
          </w:hyperlink>
        </w:p>
        <w:p w14:paraId="21075F58" w14:textId="5073ABE3"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92" w:history="1">
            <w:r w:rsidR="008B213F" w:rsidRPr="00C302D0">
              <w:rPr>
                <w:rStyle w:val="a9"/>
                <w:noProof/>
              </w:rPr>
              <w:t>7.1.</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rPr>
              <w:t>Моніторинг Національної програми запобігання утворенню відходів</w:t>
            </w:r>
            <w:r w:rsidR="008B213F">
              <w:rPr>
                <w:noProof/>
                <w:webHidden/>
              </w:rPr>
              <w:tab/>
            </w:r>
            <w:r w:rsidR="008B213F">
              <w:rPr>
                <w:noProof/>
                <w:webHidden/>
              </w:rPr>
              <w:fldChar w:fldCharType="begin"/>
            </w:r>
            <w:r w:rsidR="008B213F">
              <w:rPr>
                <w:noProof/>
                <w:webHidden/>
              </w:rPr>
              <w:instrText xml:space="preserve"> PAGEREF _Toc151583292 \h </w:instrText>
            </w:r>
            <w:r w:rsidR="008B213F">
              <w:rPr>
                <w:noProof/>
                <w:webHidden/>
              </w:rPr>
            </w:r>
            <w:r w:rsidR="008B213F">
              <w:rPr>
                <w:noProof/>
                <w:webHidden/>
              </w:rPr>
              <w:fldChar w:fldCharType="separate"/>
            </w:r>
            <w:r w:rsidR="008B213F">
              <w:rPr>
                <w:noProof/>
                <w:webHidden/>
              </w:rPr>
              <w:t>139</w:t>
            </w:r>
            <w:r w:rsidR="008B213F">
              <w:rPr>
                <w:noProof/>
                <w:webHidden/>
              </w:rPr>
              <w:fldChar w:fldCharType="end"/>
            </w:r>
          </w:hyperlink>
        </w:p>
        <w:p w14:paraId="32E187DD" w14:textId="1C869B3B"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93" w:history="1">
            <w:r w:rsidR="008B213F" w:rsidRPr="00C302D0">
              <w:rPr>
                <w:rStyle w:val="a9"/>
                <w:noProof/>
                <w:lang w:eastAsia="bg-BG"/>
              </w:rPr>
              <w:t>7.2.</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bg-BG"/>
              </w:rPr>
              <w:t>Моніторинг Національної програми зменшення захоронення біовідходів</w:t>
            </w:r>
            <w:r w:rsidR="008B213F">
              <w:rPr>
                <w:noProof/>
                <w:webHidden/>
              </w:rPr>
              <w:tab/>
            </w:r>
            <w:r w:rsidR="008B213F">
              <w:rPr>
                <w:noProof/>
                <w:webHidden/>
              </w:rPr>
              <w:fldChar w:fldCharType="begin"/>
            </w:r>
            <w:r w:rsidR="008B213F">
              <w:rPr>
                <w:noProof/>
                <w:webHidden/>
              </w:rPr>
              <w:instrText xml:space="preserve"> PAGEREF _Toc151583293 \h </w:instrText>
            </w:r>
            <w:r w:rsidR="008B213F">
              <w:rPr>
                <w:noProof/>
                <w:webHidden/>
              </w:rPr>
            </w:r>
            <w:r w:rsidR="008B213F">
              <w:rPr>
                <w:noProof/>
                <w:webHidden/>
              </w:rPr>
              <w:fldChar w:fldCharType="separate"/>
            </w:r>
            <w:r w:rsidR="008B213F">
              <w:rPr>
                <w:noProof/>
                <w:webHidden/>
              </w:rPr>
              <w:t>140</w:t>
            </w:r>
            <w:r w:rsidR="008B213F">
              <w:rPr>
                <w:noProof/>
                <w:webHidden/>
              </w:rPr>
              <w:fldChar w:fldCharType="end"/>
            </w:r>
          </w:hyperlink>
        </w:p>
        <w:p w14:paraId="1125FB69" w14:textId="5E12F990" w:rsidR="008B213F" w:rsidRDefault="003D07E1">
          <w:pPr>
            <w:pStyle w:val="32"/>
            <w:rPr>
              <w:rFonts w:asciiTheme="minorHAnsi" w:eastAsiaTheme="minorEastAsia" w:hAnsiTheme="minorHAnsi"/>
              <w:noProof/>
              <w:kern w:val="2"/>
              <w:sz w:val="22"/>
              <w:szCs w:val="22"/>
              <w:lang w:eastAsia="uk-UA"/>
              <w14:ligatures w14:val="standardContextual"/>
            </w:rPr>
          </w:pPr>
          <w:hyperlink w:anchor="_Toc151583294" w:history="1">
            <w:r w:rsidR="008B213F" w:rsidRPr="00C302D0">
              <w:rPr>
                <w:rStyle w:val="a9"/>
                <w:noProof/>
                <w:lang w:eastAsia="bg-BG"/>
              </w:rPr>
              <w:t>7.3.</w:t>
            </w:r>
            <w:r w:rsidR="008B213F">
              <w:rPr>
                <w:rFonts w:asciiTheme="minorHAnsi" w:eastAsiaTheme="minorEastAsia" w:hAnsiTheme="minorHAnsi"/>
                <w:noProof/>
                <w:kern w:val="2"/>
                <w:sz w:val="22"/>
                <w:szCs w:val="22"/>
                <w:lang w:eastAsia="uk-UA"/>
                <w14:ligatures w14:val="standardContextual"/>
              </w:rPr>
              <w:tab/>
            </w:r>
            <w:r w:rsidR="008B213F" w:rsidRPr="00C302D0">
              <w:rPr>
                <w:rStyle w:val="a9"/>
                <w:noProof/>
                <w:lang w:eastAsia="bg-BG"/>
              </w:rPr>
              <w:t>Координаційний орган з моніторингу та оцінки виконання</w:t>
            </w:r>
            <w:r w:rsidR="008B213F">
              <w:rPr>
                <w:noProof/>
                <w:webHidden/>
              </w:rPr>
              <w:tab/>
            </w:r>
            <w:r w:rsidR="008B213F">
              <w:rPr>
                <w:noProof/>
                <w:webHidden/>
              </w:rPr>
              <w:fldChar w:fldCharType="begin"/>
            </w:r>
            <w:r w:rsidR="008B213F">
              <w:rPr>
                <w:noProof/>
                <w:webHidden/>
              </w:rPr>
              <w:instrText xml:space="preserve"> PAGEREF _Toc151583294 \h </w:instrText>
            </w:r>
            <w:r w:rsidR="008B213F">
              <w:rPr>
                <w:noProof/>
                <w:webHidden/>
              </w:rPr>
            </w:r>
            <w:r w:rsidR="008B213F">
              <w:rPr>
                <w:noProof/>
                <w:webHidden/>
              </w:rPr>
              <w:fldChar w:fldCharType="separate"/>
            </w:r>
            <w:r w:rsidR="008B213F">
              <w:rPr>
                <w:noProof/>
                <w:webHidden/>
              </w:rPr>
              <w:t>140</w:t>
            </w:r>
            <w:r w:rsidR="008B213F">
              <w:rPr>
                <w:noProof/>
                <w:webHidden/>
              </w:rPr>
              <w:fldChar w:fldCharType="end"/>
            </w:r>
          </w:hyperlink>
        </w:p>
        <w:p w14:paraId="0896B497" w14:textId="792AA19D" w:rsidR="00D47275" w:rsidRPr="00C22C49" w:rsidRDefault="005E0A06">
          <w:r w:rsidRPr="00C22C49">
            <w:rPr>
              <w:b/>
              <w:bCs/>
            </w:rPr>
            <w:fldChar w:fldCharType="end"/>
          </w:r>
        </w:p>
      </w:sdtContent>
    </w:sdt>
    <w:p w14:paraId="0896B504" w14:textId="11160731" w:rsidR="009A1F76" w:rsidRPr="00C22C49" w:rsidRDefault="00C66376">
      <w:pPr>
        <w:tabs>
          <w:tab w:val="clear" w:pos="284"/>
          <w:tab w:val="clear" w:pos="1985"/>
        </w:tabs>
        <w:spacing w:after="0" w:line="240" w:lineRule="auto"/>
        <w:jc w:val="left"/>
        <w:rPr>
          <w:rFonts w:asciiTheme="minorHAnsi" w:hAnsiTheme="minorHAnsi" w:cstheme="minorHAnsi"/>
        </w:rPr>
      </w:pPr>
      <w:r w:rsidRPr="00C22C49">
        <w:rPr>
          <w:rFonts w:asciiTheme="minorHAnsi" w:hAnsiTheme="minorHAnsi" w:cstheme="minorHAnsi"/>
        </w:rPr>
        <w:br w:type="page"/>
      </w:r>
      <w:bookmarkStart w:id="1" w:name="_heading=h.3dy6vkm" w:colFirst="0" w:colLast="0"/>
      <w:bookmarkEnd w:id="1"/>
    </w:p>
    <w:p w14:paraId="0896B505" w14:textId="77777777" w:rsidR="00DE6F64" w:rsidRPr="00C22C49" w:rsidRDefault="00DE6F64" w:rsidP="0098590E">
      <w:pPr>
        <w:pStyle w:val="20"/>
        <w:numPr>
          <w:ilvl w:val="0"/>
          <w:numId w:val="0"/>
        </w:numPr>
        <w:ind w:left="284"/>
        <w:rPr>
          <w:rFonts w:cstheme="minorHAnsi"/>
        </w:rPr>
      </w:pPr>
      <w:bookmarkStart w:id="2" w:name="_Toc151583259"/>
      <w:r w:rsidRPr="00C22C49">
        <w:rPr>
          <w:rFonts w:cstheme="minorHAnsi"/>
        </w:rPr>
        <w:t>ВСТУП</w:t>
      </w:r>
      <w:bookmarkEnd w:id="2"/>
    </w:p>
    <w:p w14:paraId="0896B506" w14:textId="77777777" w:rsidR="00774940" w:rsidRPr="00C22C49" w:rsidRDefault="005F432A" w:rsidP="008926A3">
      <w:pPr>
        <w:pStyle w:val="REDBoldonly"/>
        <w:rPr>
          <w:rStyle w:val="aff2"/>
          <w:rFonts w:eastAsiaTheme="minorEastAsia" w:cstheme="minorHAnsi"/>
          <w:b/>
          <w:bCs w:val="0"/>
          <w:lang w:val="uk-UA"/>
        </w:rPr>
      </w:pPr>
      <w:r w:rsidRPr="00C22C49">
        <w:rPr>
          <w:rStyle w:val="aff2"/>
          <w:rFonts w:eastAsiaTheme="minorEastAsia" w:cstheme="minorHAnsi"/>
          <w:b/>
          <w:bCs w:val="0"/>
          <w:lang w:val="uk-UA"/>
        </w:rPr>
        <w:t>Обґрунтування створення плану управління відходами</w:t>
      </w:r>
      <w:r w:rsidR="00F51781" w:rsidRPr="00C22C49">
        <w:rPr>
          <w:rStyle w:val="aff2"/>
          <w:rFonts w:eastAsiaTheme="minorEastAsia" w:cstheme="minorHAnsi"/>
          <w:b/>
          <w:bCs w:val="0"/>
          <w:lang w:val="uk-UA"/>
        </w:rPr>
        <w:t>/</w:t>
      </w:r>
      <w:r w:rsidR="00144EE6" w:rsidRPr="00C22C49">
        <w:t xml:space="preserve"> </w:t>
      </w:r>
      <w:r w:rsidR="00144EE6" w:rsidRPr="00C22C49">
        <w:rPr>
          <w:rStyle w:val="aff2"/>
          <w:rFonts w:eastAsiaTheme="minorEastAsia" w:cstheme="minorHAnsi"/>
          <w:b/>
          <w:bCs w:val="0"/>
          <w:lang w:val="uk-UA"/>
        </w:rPr>
        <w:t>Підстави розроблення документу</w:t>
      </w:r>
    </w:p>
    <w:p w14:paraId="0896B507" w14:textId="77777777" w:rsidR="00F97FDF" w:rsidRPr="00C22C49" w:rsidRDefault="00F97FDF" w:rsidP="0096400B">
      <w:r w:rsidRPr="00C22C49">
        <w:t>Розвиток вторинного ресурсокористування і становлення рециклінгу відходів є за сучасних умов імперативом розвитку будь-якої держави. В Україні склалася критична ситуація пов’язана з утворенням, накопиченням, зберіганням, переробленням, утилізацією та захороненням відходів, що характеризується подальшим розвитком екологічних загроз. Незважаючи на декларування пріоритетності проблеми відходів, розроблення відповідної нормативної бази, а також впровадження різних цільових програм як на державному, так і на місцевому рівнях, процес їх накопичення не зупинено.</w:t>
      </w:r>
    </w:p>
    <w:p w14:paraId="0E206FC6" w14:textId="14E7B694" w:rsidR="009F7E00" w:rsidRPr="00C22C49" w:rsidRDefault="0096400B" w:rsidP="0096400B">
      <w:r w:rsidRPr="00C22C49">
        <w:t>Національний план управління відходами (далі –  НПУВ) розроблено</w:t>
      </w:r>
      <w:r w:rsidR="00CB2EF4" w:rsidRPr="00C22C49">
        <w:t xml:space="preserve"> центральним органом виконавчої влади, що реалізує державну політику у сфері управління відходами</w:t>
      </w:r>
      <w:r w:rsidRPr="00C22C49">
        <w:t xml:space="preserve"> на виконання статті 50 Закону</w:t>
      </w:r>
      <w:r w:rsidR="00BE5A6A" w:rsidRPr="00C22C49">
        <w:t xml:space="preserve"> України</w:t>
      </w:r>
      <w:r w:rsidRPr="00C22C49">
        <w:t xml:space="preserve"> «Про управління відходами» </w:t>
      </w:r>
      <w:r w:rsidR="00C76727" w:rsidRPr="00C22C49">
        <w:t>№ 2320-IX від 20.06.2022</w:t>
      </w:r>
      <w:r w:rsidR="008322CB" w:rsidRPr="00C22C49">
        <w:t xml:space="preserve"> </w:t>
      </w:r>
      <w:r w:rsidRPr="00C22C49">
        <w:t xml:space="preserve">з метою визначення екологічних, суспільно-політичних, інституційних, організаційно-технічних, регуляторних, технологічних заходів, спрямованих на реалізацію державної політики у сфері управління відходами, визначення відповідальних виконавців і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їх впровадження у сфері управління відходами. </w:t>
      </w:r>
      <w:r w:rsidR="00F76847">
        <w:t>Ч</w:t>
      </w:r>
      <w:r w:rsidR="007439A0">
        <w:t xml:space="preserve">астинами НПУВ </w:t>
      </w:r>
      <w:r w:rsidR="00F76847">
        <w:t>є</w:t>
      </w:r>
      <w:r w:rsidR="007439A0">
        <w:t xml:space="preserve"> </w:t>
      </w:r>
      <w:r w:rsidR="00F76847" w:rsidRPr="00F76847">
        <w:t>Національна програма зменшення захоронення біовідходів</w:t>
      </w:r>
      <w:r w:rsidR="00F76847">
        <w:t xml:space="preserve"> (НПЗЗБ)</w:t>
      </w:r>
      <w:r w:rsidR="00034482">
        <w:t xml:space="preserve">, розроблена на </w:t>
      </w:r>
      <w:r w:rsidR="00034482" w:rsidRPr="00034482">
        <w:t>виконання статті 40, частини 7 ЗУ «Про управління відходами»</w:t>
      </w:r>
      <w:r w:rsidR="00F76847">
        <w:t xml:space="preserve"> та </w:t>
      </w:r>
      <w:r w:rsidR="00F76847" w:rsidRPr="00F76847">
        <w:t>Національн</w:t>
      </w:r>
      <w:r w:rsidR="00F76847">
        <w:t>а</w:t>
      </w:r>
      <w:r w:rsidR="00F76847" w:rsidRPr="00F76847">
        <w:t xml:space="preserve"> програм</w:t>
      </w:r>
      <w:r w:rsidR="00F76847">
        <w:t>а</w:t>
      </w:r>
      <w:r w:rsidR="00F76847" w:rsidRPr="00F76847">
        <w:t xml:space="preserve"> запобігання утворенню відходів</w:t>
      </w:r>
      <w:r w:rsidR="00F76847">
        <w:t xml:space="preserve"> (</w:t>
      </w:r>
      <w:r w:rsidR="006748FE">
        <w:t>НПЗУВ)</w:t>
      </w:r>
      <w:r w:rsidR="00034482">
        <w:t xml:space="preserve">, </w:t>
      </w:r>
      <w:r w:rsidR="00034482" w:rsidRPr="00034482">
        <w:t>розроблена на виконання статті</w:t>
      </w:r>
      <w:r w:rsidR="009F7E00" w:rsidRPr="009F7E00">
        <w:t xml:space="preserve"> 54</w:t>
      </w:r>
      <w:r w:rsidR="00D86AFA">
        <w:t>.</w:t>
      </w:r>
    </w:p>
    <w:p w14:paraId="0896B509" w14:textId="77777777" w:rsidR="00160671" w:rsidRPr="00C22C49" w:rsidRDefault="00701E2D" w:rsidP="008926A3">
      <w:pPr>
        <w:pStyle w:val="REDBoldonly"/>
      </w:pPr>
      <w:r w:rsidRPr="00C22C49">
        <w:t>Євроінтеграційний контекст</w:t>
      </w:r>
    </w:p>
    <w:p w14:paraId="2D1AEDEC" w14:textId="6D573C76" w:rsidR="00F11D76" w:rsidRDefault="000C02EB" w:rsidP="003955D1">
      <w:pPr>
        <w:rPr>
          <w:rFonts w:cs="Times New Roman"/>
          <w:szCs w:val="24"/>
        </w:rPr>
      </w:pPr>
      <w:r w:rsidRPr="00C22C49">
        <w:rPr>
          <w:rFonts w:cs="Times New Roman"/>
          <w:szCs w:val="24"/>
        </w:rPr>
        <w:t xml:space="preserve">Зв'язок між ефективним управлінням відходами та сталим розвитком економіки є одним із головних пріоритетів багатьох країн у світі, в тому числі і України. У цьому контексті </w:t>
      </w:r>
      <w:r w:rsidR="009E2683">
        <w:rPr>
          <w:rFonts w:cs="Times New Roman"/>
          <w:szCs w:val="24"/>
        </w:rPr>
        <w:t>в</w:t>
      </w:r>
      <w:r w:rsidR="00017027" w:rsidRPr="00017027">
        <w:rPr>
          <w:rFonts w:cs="Times New Roman"/>
          <w:szCs w:val="24"/>
        </w:rPr>
        <w:t>ідповідно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 із заявою Законом 1678- УІІ від 16.09.2014).  Розділу У: Економічне та галузеве спіробітництво Глава 6: Навколишнє середовище, Додатку ХХХ, Україна має імплементувати</w:t>
      </w:r>
      <w:r w:rsidR="00F11D76">
        <w:rPr>
          <w:rFonts w:cs="Times New Roman"/>
          <w:szCs w:val="24"/>
        </w:rPr>
        <w:t>:</w:t>
      </w:r>
    </w:p>
    <w:p w14:paraId="002BC90A" w14:textId="1E470CDD" w:rsidR="00F11D76" w:rsidRDefault="00017027" w:rsidP="00AE1244">
      <w:pPr>
        <w:pStyle w:val="BulletRED"/>
      </w:pPr>
      <w:r w:rsidRPr="00017027">
        <w:t xml:space="preserve">положення </w:t>
      </w:r>
      <w:r w:rsidR="00F11D76" w:rsidRPr="00F11D76">
        <w:t>Директиви № 2008/98/ЄС</w:t>
      </w:r>
      <w:r w:rsidR="00F11D76">
        <w:t xml:space="preserve"> про відходи</w:t>
      </w:r>
      <w:r w:rsidR="00AE3F96">
        <w:t>, що</w:t>
      </w:r>
      <w:r w:rsidR="00F11D76" w:rsidRPr="00F11D76">
        <w:t xml:space="preserve"> </w:t>
      </w:r>
      <w:r w:rsidR="00F11D76" w:rsidRPr="00C22C49">
        <w:t>передбачає, зокрема, підготовлення планів управління відходами згідно із п’ятиступеневою ієрархією відходів та програм щодо попередження утворення відходів</w:t>
      </w:r>
    </w:p>
    <w:p w14:paraId="648ACF77" w14:textId="044B5320" w:rsidR="00017027" w:rsidRPr="00C22C49" w:rsidRDefault="00F11D76" w:rsidP="00AE1244">
      <w:pPr>
        <w:pStyle w:val="BulletRED"/>
      </w:pPr>
      <w:r w:rsidRPr="00F11D76">
        <w:t xml:space="preserve">положення </w:t>
      </w:r>
      <w:r w:rsidR="00017027" w:rsidRPr="00017027">
        <w:t xml:space="preserve">Директиви № 1999/31/ЄС про захоронення відходів зі змінами і доповненнями, внесеними Регламентом (ЄС) № 1882/2003, зокрема підготовити національну стратегію щодо зменшення кількості </w:t>
      </w:r>
      <w:r w:rsidR="002B25C5">
        <w:rPr>
          <w:lang w:val="en-US"/>
        </w:rPr>
        <w:t xml:space="preserve"> </w:t>
      </w:r>
      <w:r w:rsidR="002B25C5">
        <w:t xml:space="preserve">побутових </w:t>
      </w:r>
      <w:r w:rsidR="00017027" w:rsidRPr="00017027">
        <w:t xml:space="preserve">відходів, що розкладаються під впливом мікроорганізмів (біорозкладані), які </w:t>
      </w:r>
      <w:r w:rsidR="002B25C5">
        <w:t>захоронюються</w:t>
      </w:r>
      <w:r w:rsidR="00017027" w:rsidRPr="00017027">
        <w:t xml:space="preserve"> на полігон</w:t>
      </w:r>
      <w:r w:rsidR="00080BC7">
        <w:t>ах</w:t>
      </w:r>
      <w:r w:rsidR="00017027" w:rsidRPr="00017027">
        <w:t>.</w:t>
      </w:r>
    </w:p>
    <w:p w14:paraId="0896B50B" w14:textId="77777777" w:rsidR="00591A11" w:rsidRPr="00C22C49" w:rsidRDefault="004637B5" w:rsidP="008926A3">
      <w:pPr>
        <w:pStyle w:val="REDBoldonly"/>
        <w:rPr>
          <w:rStyle w:val="aff2"/>
          <w:rFonts w:eastAsiaTheme="minorEastAsia" w:cstheme="minorHAnsi"/>
          <w:b/>
          <w:bCs w:val="0"/>
          <w:lang w:val="uk-UA"/>
        </w:rPr>
      </w:pPr>
      <w:r w:rsidRPr="00C22C49">
        <w:rPr>
          <w:rStyle w:val="aff2"/>
          <w:rFonts w:eastAsiaTheme="minorEastAsia" w:cstheme="minorHAnsi"/>
          <w:b/>
          <w:bCs w:val="0"/>
          <w:lang w:val="uk-UA"/>
        </w:rPr>
        <w:t>Структура документу</w:t>
      </w:r>
    </w:p>
    <w:p w14:paraId="0896B50C" w14:textId="77777777" w:rsidR="00BE5A6A" w:rsidRPr="00C22C49" w:rsidRDefault="004637B5" w:rsidP="0096400B">
      <w:r w:rsidRPr="00C22C49">
        <w:t>НПУВ</w:t>
      </w:r>
      <w:r w:rsidR="00F96C56" w:rsidRPr="00C22C49">
        <w:t>, відповідно до ст.50 Закону України «Про управління відходами»</w:t>
      </w:r>
      <w:r w:rsidR="00BE5A6A" w:rsidRPr="00C22C49">
        <w:t xml:space="preserve"> містит</w:t>
      </w:r>
      <w:r w:rsidR="00F96C56" w:rsidRPr="00C22C49">
        <w:t xml:space="preserve">ь </w:t>
      </w:r>
      <w:r w:rsidR="00BE5A6A" w:rsidRPr="00C22C49">
        <w:t>наступне:</w:t>
      </w:r>
    </w:p>
    <w:p w14:paraId="0896B50D" w14:textId="77777777" w:rsidR="003E3EC4" w:rsidRPr="00C22C49" w:rsidRDefault="003E3EC4" w:rsidP="006420A9">
      <w:pPr>
        <w:pStyle w:val="a1"/>
        <w:rPr>
          <w:b/>
        </w:rPr>
      </w:pPr>
      <w:r w:rsidRPr="00C22C49">
        <w:t xml:space="preserve"> </w:t>
      </w:r>
      <w:r w:rsidR="00266725" w:rsidRPr="00C22C49">
        <w:rPr>
          <w:b/>
        </w:rPr>
        <w:t>С</w:t>
      </w:r>
      <w:r w:rsidRPr="00C22C49">
        <w:rPr>
          <w:b/>
        </w:rPr>
        <w:t>тан сфери управління відходами, в якому зазначаються:</w:t>
      </w:r>
    </w:p>
    <w:p w14:paraId="0896B50E" w14:textId="77777777" w:rsidR="003E3EC4" w:rsidRPr="00C22C49" w:rsidRDefault="002910F4" w:rsidP="00402BD0">
      <w:pPr>
        <w:pStyle w:val="BulletRED"/>
      </w:pPr>
      <w:r w:rsidRPr="00C22C49">
        <w:t xml:space="preserve">Основні </w:t>
      </w:r>
      <w:r w:rsidR="003E3EC4" w:rsidRPr="00C22C49">
        <w:t>утворювачі відходів;</w:t>
      </w:r>
    </w:p>
    <w:p w14:paraId="0896B50F" w14:textId="77777777" w:rsidR="003E3EC4" w:rsidRPr="00C22C49" w:rsidRDefault="002910F4" w:rsidP="00402BD0">
      <w:pPr>
        <w:pStyle w:val="BulletRED"/>
      </w:pPr>
      <w:r w:rsidRPr="00C22C49">
        <w:t xml:space="preserve">Основні </w:t>
      </w:r>
      <w:r w:rsidR="003E3EC4" w:rsidRPr="00C22C49">
        <w:t>показники управління відходами (обсяги утворення, збирання, перевезення та оброблення відходів);</w:t>
      </w:r>
    </w:p>
    <w:p w14:paraId="0896B510" w14:textId="77777777" w:rsidR="003E3EC4" w:rsidRPr="00C22C49" w:rsidRDefault="002910F4" w:rsidP="00402BD0">
      <w:pPr>
        <w:pStyle w:val="BulletRED"/>
      </w:pPr>
      <w:r w:rsidRPr="00C22C49">
        <w:t xml:space="preserve">Характеристика </w:t>
      </w:r>
      <w:r w:rsidR="003E3EC4" w:rsidRPr="00C22C49">
        <w:t>систем збирання відходів, включаючи роздільне збирання, стан охоплення території країни системами збирання відходів;</w:t>
      </w:r>
    </w:p>
    <w:p w14:paraId="0896B511" w14:textId="77777777" w:rsidR="003E3EC4" w:rsidRPr="00C22C49" w:rsidRDefault="002910F4" w:rsidP="00402BD0">
      <w:pPr>
        <w:pStyle w:val="BulletRED"/>
      </w:pPr>
      <w:r w:rsidRPr="00C22C49">
        <w:t xml:space="preserve">Коротка </w:t>
      </w:r>
      <w:r w:rsidR="003E3EC4" w:rsidRPr="00C22C49">
        <w:t>характеристика об’єктів оброблення відходів, зокрема таких, що здійснюють оброблення небезпечних відходів;</w:t>
      </w:r>
    </w:p>
    <w:p w14:paraId="0896B512" w14:textId="77777777" w:rsidR="003E3EC4" w:rsidRPr="00C22C49" w:rsidRDefault="00266725" w:rsidP="006420A9">
      <w:pPr>
        <w:pStyle w:val="a1"/>
        <w:rPr>
          <w:b/>
        </w:rPr>
      </w:pPr>
      <w:r w:rsidRPr="00C22C49">
        <w:rPr>
          <w:b/>
        </w:rPr>
        <w:t>Стратегічне</w:t>
      </w:r>
      <w:r w:rsidR="003E3EC4" w:rsidRPr="00C22C49">
        <w:rPr>
          <w:b/>
        </w:rPr>
        <w:t xml:space="preserve"> планування управління відходами, в якому зазначаються:</w:t>
      </w:r>
    </w:p>
    <w:p w14:paraId="0896B513" w14:textId="77777777" w:rsidR="003E3EC4" w:rsidRPr="00C22C49" w:rsidRDefault="002910F4" w:rsidP="00402BD0">
      <w:pPr>
        <w:pStyle w:val="BulletRED"/>
      </w:pPr>
      <w:r w:rsidRPr="00C22C49">
        <w:t xml:space="preserve">Прогнозні </w:t>
      </w:r>
      <w:r w:rsidR="003E3EC4" w:rsidRPr="00C22C49">
        <w:t>показники утворення відходів та очікуваного розвитку системи управління відходами;</w:t>
      </w:r>
    </w:p>
    <w:p w14:paraId="0896B514" w14:textId="77777777" w:rsidR="003E3EC4" w:rsidRPr="00C22C49" w:rsidRDefault="002910F4" w:rsidP="00402BD0">
      <w:pPr>
        <w:pStyle w:val="BulletRED"/>
      </w:pPr>
      <w:r w:rsidRPr="00C22C49">
        <w:t xml:space="preserve">Основні </w:t>
      </w:r>
      <w:r w:rsidR="003E3EC4" w:rsidRPr="00C22C49">
        <w:t>цілі/завдання з розвитку системи управління відходами та цільові показники, встановлені в рамках завдань;</w:t>
      </w:r>
    </w:p>
    <w:p w14:paraId="0896B515" w14:textId="77777777" w:rsidR="003E3EC4" w:rsidRPr="00C22C49" w:rsidRDefault="002910F4" w:rsidP="00402BD0">
      <w:pPr>
        <w:pStyle w:val="BulletRED"/>
      </w:pPr>
      <w:r w:rsidRPr="00C22C49">
        <w:t xml:space="preserve">Заходи </w:t>
      </w:r>
      <w:r w:rsidR="003E3EC4" w:rsidRPr="00C22C49">
        <w:t>для досягнення цілей/завдань і цільових показників, у тому числі встановлення обов’язків різних установ та організацій, що будуть задіяні у здійсненні заходів;</w:t>
      </w:r>
    </w:p>
    <w:p w14:paraId="0896B516" w14:textId="77777777" w:rsidR="003E3EC4" w:rsidRPr="00C22C49" w:rsidRDefault="002910F4" w:rsidP="00402BD0">
      <w:pPr>
        <w:pStyle w:val="BulletRED"/>
      </w:pPr>
      <w:r w:rsidRPr="00C22C49">
        <w:t xml:space="preserve">Оцінка </w:t>
      </w:r>
      <w:r w:rsidR="003E3EC4" w:rsidRPr="00C22C49">
        <w:t>потреби у закритті існуючих та створенні нових об’єктів оброблення відходів;</w:t>
      </w:r>
    </w:p>
    <w:p w14:paraId="0896B517" w14:textId="77777777" w:rsidR="003E3EC4" w:rsidRPr="00C22C49" w:rsidRDefault="002910F4" w:rsidP="00402BD0">
      <w:pPr>
        <w:pStyle w:val="BulletRED"/>
      </w:pPr>
      <w:r w:rsidRPr="00C22C49">
        <w:t xml:space="preserve">Заходи </w:t>
      </w:r>
      <w:r w:rsidR="003E3EC4" w:rsidRPr="00C22C49">
        <w:t>із запобігання засміченню та очищення засмічених територій;</w:t>
      </w:r>
    </w:p>
    <w:p w14:paraId="0896B518" w14:textId="77777777" w:rsidR="003E3EC4" w:rsidRPr="00C22C49" w:rsidRDefault="002910F4" w:rsidP="00402BD0">
      <w:pPr>
        <w:pStyle w:val="BulletRED"/>
      </w:pPr>
      <w:r w:rsidRPr="00C22C49">
        <w:t xml:space="preserve">Розташування </w:t>
      </w:r>
      <w:r w:rsidR="003E3EC4" w:rsidRPr="00C22C49">
        <w:t>об’єктів оброблення відходів та їх планована потужність;</w:t>
      </w:r>
    </w:p>
    <w:p w14:paraId="0896B519" w14:textId="77777777" w:rsidR="003E3EC4" w:rsidRPr="00C22C49" w:rsidRDefault="002910F4" w:rsidP="00402BD0">
      <w:pPr>
        <w:pStyle w:val="BulletRED"/>
      </w:pPr>
      <w:r w:rsidRPr="00C22C49">
        <w:t xml:space="preserve">Історичні </w:t>
      </w:r>
      <w:r w:rsidR="003E3EC4" w:rsidRPr="00C22C49">
        <w:t>місця розміщення відходів та заходи з їх очищення, обсяги витрат і можливі джерела фінансування;</w:t>
      </w:r>
    </w:p>
    <w:p w14:paraId="6A658914" w14:textId="2B07EE3B" w:rsidR="009F7E00" w:rsidRDefault="009F7E00" w:rsidP="006420A9">
      <w:pPr>
        <w:pStyle w:val="a1"/>
        <w:rPr>
          <w:b/>
        </w:rPr>
      </w:pPr>
      <w:r>
        <w:rPr>
          <w:b/>
        </w:rPr>
        <w:t xml:space="preserve">Національна програма зменшення захоронення біохіднодів </w:t>
      </w:r>
    </w:p>
    <w:p w14:paraId="32B84C40" w14:textId="6A4B2300" w:rsidR="009F7E00" w:rsidRDefault="009F7E00" w:rsidP="006420A9">
      <w:pPr>
        <w:pStyle w:val="a1"/>
        <w:rPr>
          <w:b/>
        </w:rPr>
      </w:pPr>
      <w:r>
        <w:rPr>
          <w:b/>
        </w:rPr>
        <w:t xml:space="preserve">Національна програма </w:t>
      </w:r>
      <w:r w:rsidR="00955EB0">
        <w:rPr>
          <w:b/>
        </w:rPr>
        <w:t>запобігання утворенню відходів</w:t>
      </w:r>
    </w:p>
    <w:p w14:paraId="23616CA0" w14:textId="77777777" w:rsidR="004267E1" w:rsidRPr="00AE1244" w:rsidRDefault="004267E1" w:rsidP="004267E1">
      <w:pPr>
        <w:pStyle w:val="a1"/>
        <w:rPr>
          <w:b/>
          <w:bCs/>
        </w:rPr>
      </w:pPr>
      <w:r w:rsidRPr="00AE1244">
        <w:rPr>
          <w:b/>
          <w:bCs/>
        </w:rPr>
        <w:t>Індикатори оцінки виконання плану;</w:t>
      </w:r>
    </w:p>
    <w:p w14:paraId="0896B51B" w14:textId="4E6095F4" w:rsidR="003E3EC4" w:rsidRPr="00C22C49" w:rsidRDefault="00266725" w:rsidP="006420A9">
      <w:pPr>
        <w:pStyle w:val="a1"/>
        <w:rPr>
          <w:b/>
        </w:rPr>
      </w:pPr>
      <w:r w:rsidRPr="00C22C49">
        <w:rPr>
          <w:b/>
        </w:rPr>
        <w:t>І</w:t>
      </w:r>
      <w:r w:rsidR="003E3EC4" w:rsidRPr="00C22C49">
        <w:rPr>
          <w:b/>
        </w:rPr>
        <w:t>нструменти реалізації плану, у тому числі економічні, оцінка їх придатності та прогнозні показники очікуваних результатів;</w:t>
      </w:r>
    </w:p>
    <w:p w14:paraId="0896B51C" w14:textId="77777777" w:rsidR="00BE5A6A" w:rsidRPr="00C22C49" w:rsidRDefault="00266725" w:rsidP="006420A9">
      <w:pPr>
        <w:pStyle w:val="a1"/>
        <w:rPr>
          <w:b/>
        </w:rPr>
      </w:pPr>
      <w:r w:rsidRPr="00C22C49">
        <w:rPr>
          <w:b/>
        </w:rPr>
        <w:t>М</w:t>
      </w:r>
      <w:r w:rsidR="003E3EC4" w:rsidRPr="00C22C49">
        <w:rPr>
          <w:b/>
        </w:rPr>
        <w:t>оніторинг та оцінка ефективності виконання плану.</w:t>
      </w:r>
    </w:p>
    <w:p w14:paraId="0896B51D" w14:textId="77777777" w:rsidR="00F10970" w:rsidRPr="00C22C49" w:rsidRDefault="00F10970" w:rsidP="008926A3">
      <w:pPr>
        <w:pStyle w:val="REDBoldonly"/>
        <w:rPr>
          <w:rStyle w:val="aff2"/>
          <w:rFonts w:eastAsiaTheme="minorEastAsia" w:cstheme="minorHAnsi"/>
          <w:b/>
          <w:bCs w:val="0"/>
          <w:lang w:val="uk-UA"/>
        </w:rPr>
      </w:pPr>
      <w:r w:rsidRPr="00C22C49">
        <w:rPr>
          <w:rStyle w:val="aff2"/>
          <w:rFonts w:eastAsiaTheme="minorEastAsia" w:cstheme="minorHAnsi"/>
          <w:b/>
          <w:bCs w:val="0"/>
          <w:lang w:val="uk-UA"/>
        </w:rPr>
        <w:t xml:space="preserve">Територіальне охоплення і період планування </w:t>
      </w:r>
    </w:p>
    <w:p w14:paraId="0896B51E" w14:textId="1F19DA98" w:rsidR="00F96C56" w:rsidRPr="00C22C49" w:rsidRDefault="00F10970" w:rsidP="00F10970">
      <w:r w:rsidRPr="00C22C49">
        <w:t>Географічні межі планування НПУВ охоплюють всю територію України.</w:t>
      </w:r>
      <w:r w:rsidR="003E0DE6" w:rsidRPr="00C22C49">
        <w:t xml:space="preserve"> НПУВ</w:t>
      </w:r>
      <w:r w:rsidRPr="00C22C49">
        <w:t xml:space="preserve"> розробляється на період 10 років </w:t>
      </w:r>
      <w:r w:rsidR="00880796" w:rsidRPr="00C22C49">
        <w:t>(2024-203</w:t>
      </w:r>
      <w:r w:rsidR="00CB2652" w:rsidRPr="00C22C49">
        <w:t>3</w:t>
      </w:r>
      <w:r w:rsidR="00880796" w:rsidRPr="00C22C49">
        <w:t xml:space="preserve">рр.) </w:t>
      </w:r>
      <w:r w:rsidRPr="00C22C49">
        <w:t>та підлягає перегляду кожні чотири роки з дати набрання чинності.</w:t>
      </w:r>
    </w:p>
    <w:p w14:paraId="0896B51F" w14:textId="77777777" w:rsidR="00671403" w:rsidRPr="00C22C49" w:rsidRDefault="00671403" w:rsidP="008926A3">
      <w:pPr>
        <w:pStyle w:val="REDBoldonly"/>
      </w:pPr>
      <w:r w:rsidRPr="00C22C49">
        <w:t>Охопленні потоки відходів</w:t>
      </w:r>
    </w:p>
    <w:p w14:paraId="0A7E0FC9" w14:textId="5B86B2A4" w:rsidR="008F2D4E" w:rsidRPr="004B0018" w:rsidRDefault="007E3F3B" w:rsidP="008F2D4E">
      <w:pPr>
        <w:rPr>
          <w:rFonts w:cs="Times New Roman"/>
          <w:szCs w:val="24"/>
        </w:rPr>
      </w:pPr>
      <w:r w:rsidRPr="004B0018">
        <w:t>Оцінка</w:t>
      </w:r>
      <w:r w:rsidR="0006675F" w:rsidRPr="004B0018">
        <w:t xml:space="preserve"> та планування управління відходами </w:t>
      </w:r>
      <w:r w:rsidRPr="004B0018">
        <w:t xml:space="preserve">відбувалися за потоками відходів, що </w:t>
      </w:r>
      <w:r w:rsidR="008F2D4E" w:rsidRPr="004B0018">
        <w:rPr>
          <w:rFonts w:cs="Times New Roman"/>
          <w:szCs w:val="24"/>
        </w:rPr>
        <w:t>відноситься до шляху, яким відходи рухаються від місця їх утворення до кінцевого місця оброблення. Потік відходів може включати різні "види" відходів на різних етапах.</w:t>
      </w:r>
      <w:r w:rsidR="005425A9" w:rsidRPr="004B0018">
        <w:rPr>
          <w:rFonts w:cs="Times New Roman"/>
          <w:szCs w:val="24"/>
        </w:rPr>
        <w:t xml:space="preserve"> </w:t>
      </w:r>
      <w:r w:rsidR="008F2D4E" w:rsidRPr="004B0018">
        <w:rPr>
          <w:rFonts w:cs="Times New Roman"/>
          <w:szCs w:val="24"/>
        </w:rPr>
        <w:t>Потік відходів – це відходи, що перебувають у стані руху, до яких застосовуються види логістичної діяльності пов’язані з фізичним переміщенням у просторі: завантаження, розвантаження, транспортування, сортування та інші технологічні процеси (так звана реверсивна логістика  в сучасній моделі циркулярної економіки).</w:t>
      </w:r>
    </w:p>
    <w:p w14:paraId="0896B520" w14:textId="0B19BE90" w:rsidR="00671403" w:rsidRPr="00C22C49" w:rsidRDefault="00671403" w:rsidP="00671403">
      <w:r w:rsidRPr="00C22C49">
        <w:t>В рамках НПУВ відходи були поділені на</w:t>
      </w:r>
      <w:r w:rsidR="005E1F70" w:rsidRPr="00C22C49">
        <w:t xml:space="preserve"> такі потоки</w:t>
      </w:r>
      <w:r w:rsidRPr="00C22C49">
        <w:t>:</w:t>
      </w:r>
    </w:p>
    <w:p w14:paraId="0896B521" w14:textId="77777777" w:rsidR="00671403" w:rsidRPr="00C22C49" w:rsidRDefault="00671403" w:rsidP="003D215F">
      <w:pPr>
        <w:pStyle w:val="a1"/>
        <w:numPr>
          <w:ilvl w:val="0"/>
          <w:numId w:val="10"/>
        </w:numPr>
      </w:pPr>
      <w:r w:rsidRPr="00C22C49">
        <w:t>Побутові відходи</w:t>
      </w:r>
    </w:p>
    <w:p w14:paraId="0896B522" w14:textId="77777777" w:rsidR="00671403" w:rsidRPr="00C22C49" w:rsidRDefault="00671403" w:rsidP="003D215F">
      <w:pPr>
        <w:pStyle w:val="a1"/>
        <w:numPr>
          <w:ilvl w:val="0"/>
          <w:numId w:val="10"/>
        </w:numPr>
      </w:pPr>
      <w:r w:rsidRPr="00C22C49">
        <w:t>Небезпечні відходи</w:t>
      </w:r>
    </w:p>
    <w:p w14:paraId="0896B523" w14:textId="77777777" w:rsidR="00671403" w:rsidRPr="00C22C49" w:rsidRDefault="00671403" w:rsidP="003D215F">
      <w:pPr>
        <w:pStyle w:val="a1"/>
        <w:numPr>
          <w:ilvl w:val="0"/>
          <w:numId w:val="10"/>
        </w:numPr>
      </w:pPr>
      <w:r w:rsidRPr="00C22C49">
        <w:t>Промислові відходи</w:t>
      </w:r>
    </w:p>
    <w:p w14:paraId="0896B524" w14:textId="77777777" w:rsidR="00671403" w:rsidRPr="00C22C49" w:rsidRDefault="00671403" w:rsidP="003D215F">
      <w:pPr>
        <w:pStyle w:val="a1"/>
        <w:numPr>
          <w:ilvl w:val="0"/>
          <w:numId w:val="10"/>
        </w:numPr>
      </w:pPr>
      <w:r w:rsidRPr="00C22C49">
        <w:t>Відходи будівництва та знесення</w:t>
      </w:r>
    </w:p>
    <w:p w14:paraId="0896B525" w14:textId="77777777" w:rsidR="00671403" w:rsidRPr="00C22C49" w:rsidRDefault="00671403" w:rsidP="003D215F">
      <w:pPr>
        <w:pStyle w:val="a1"/>
        <w:numPr>
          <w:ilvl w:val="0"/>
          <w:numId w:val="10"/>
        </w:numPr>
      </w:pPr>
      <w:r w:rsidRPr="00C22C49">
        <w:t>Відходи сільського господарства</w:t>
      </w:r>
    </w:p>
    <w:p w14:paraId="0896B526" w14:textId="77777777" w:rsidR="00671403" w:rsidRPr="00C22C49" w:rsidRDefault="00671403" w:rsidP="003D215F">
      <w:pPr>
        <w:pStyle w:val="a1"/>
        <w:numPr>
          <w:ilvl w:val="0"/>
          <w:numId w:val="10"/>
        </w:numPr>
      </w:pPr>
      <w:r w:rsidRPr="00C22C49">
        <w:t>Медичні відходи</w:t>
      </w:r>
    </w:p>
    <w:p w14:paraId="0896B527" w14:textId="77777777" w:rsidR="00671403" w:rsidRPr="00C22C49" w:rsidRDefault="00671403" w:rsidP="003D215F">
      <w:pPr>
        <w:pStyle w:val="a1"/>
        <w:numPr>
          <w:ilvl w:val="0"/>
          <w:numId w:val="10"/>
        </w:numPr>
      </w:pPr>
      <w:r w:rsidRPr="00C22C49">
        <w:t xml:space="preserve">Відходи на які поширюється розширена відповідальність виробника (відходи упаковки, електричного та електронного обладнання, батарей і акумуляторів, транспортних засобів, знятих з експлуатації, мастил (олив), шин, текстилю тощо). </w:t>
      </w:r>
    </w:p>
    <w:p w14:paraId="0896B528" w14:textId="77777777" w:rsidR="00671403" w:rsidRPr="00C22C49" w:rsidRDefault="00671403" w:rsidP="003D215F">
      <w:pPr>
        <w:pStyle w:val="a1"/>
        <w:numPr>
          <w:ilvl w:val="0"/>
          <w:numId w:val="10"/>
        </w:numPr>
      </w:pPr>
      <w:r w:rsidRPr="00C22C49">
        <w:t>Інші відходи (відходи окремих секторів економіки, поводження з якими є проблематичним).</w:t>
      </w:r>
    </w:p>
    <w:p w14:paraId="0896B529" w14:textId="77777777" w:rsidR="00F96C56" w:rsidRPr="00C22C49" w:rsidRDefault="003F3068" w:rsidP="008926A3">
      <w:pPr>
        <w:pStyle w:val="REDBoldonly"/>
        <w:rPr>
          <w:rStyle w:val="aff2"/>
          <w:rFonts w:eastAsiaTheme="minorEastAsia" w:cstheme="minorHAnsi"/>
          <w:b/>
          <w:bCs w:val="0"/>
          <w:lang w:val="uk-UA"/>
        </w:rPr>
      </w:pPr>
      <w:r w:rsidRPr="00C22C49">
        <w:rPr>
          <w:rStyle w:val="aff2"/>
          <w:rFonts w:eastAsiaTheme="minorEastAsia" w:cstheme="minorHAnsi"/>
          <w:b/>
          <w:bCs w:val="0"/>
          <w:lang w:val="uk-UA"/>
        </w:rPr>
        <w:t>Додаткові складові Національного плану управління відходами</w:t>
      </w:r>
    </w:p>
    <w:p w14:paraId="0896B52A" w14:textId="77777777" w:rsidR="0043743F" w:rsidRPr="00C22C49" w:rsidRDefault="001006DB" w:rsidP="003F3068">
      <w:r w:rsidRPr="00C22C49">
        <w:t>В контексті управління відходами, національне планування набуває критичної важливості, оскільки вирішення ключових проблем у цій сфері вимагає залучення та координації різноманітних учасників та органів. Закон України «Про управління відходами» якісно підкреслює цю потребу через інтеграцію додаткових компонентів до Національного плану управління відходами (НПУВ).</w:t>
      </w:r>
      <w:r w:rsidR="00C571A9" w:rsidRPr="00C22C49">
        <w:t xml:space="preserve"> </w:t>
      </w:r>
    </w:p>
    <w:p w14:paraId="0896B52B" w14:textId="3201C414" w:rsidR="007E7102" w:rsidRPr="00C22C49" w:rsidRDefault="0043743F" w:rsidP="0096400B">
      <w:pPr>
        <w:rPr>
          <w:b/>
          <w:bCs/>
        </w:rPr>
      </w:pPr>
      <w:r w:rsidRPr="00C22C49">
        <w:t>Статтею 40, Закону України «Про управління відходами» визначено, що складовою НПУВ може бути</w:t>
      </w:r>
      <w:r w:rsidR="00D87725" w:rsidRPr="00C22C49">
        <w:rPr>
          <w:b/>
          <w:bCs/>
        </w:rPr>
        <w:t xml:space="preserve"> </w:t>
      </w:r>
      <w:r w:rsidRPr="00C22C49">
        <w:rPr>
          <w:rStyle w:val="affe"/>
          <w:b/>
        </w:rPr>
        <w:t>Національна програма зменшення захоронення біовідходів</w:t>
      </w:r>
      <w:r w:rsidR="00D87725" w:rsidRPr="00C22C49">
        <w:rPr>
          <w:b/>
          <w:bCs/>
        </w:rPr>
        <w:t>.</w:t>
      </w:r>
      <w:r w:rsidR="00517F39" w:rsidRPr="00C22C49">
        <w:rPr>
          <w:b/>
          <w:bCs/>
        </w:rPr>
        <w:t xml:space="preserve"> </w:t>
      </w:r>
      <w:r w:rsidR="00517F39" w:rsidRPr="00C22C49">
        <w:t>Ця програма відіграє значну роль у зміцненні зусиль з управління відходами, спрямовуючи увагу на зменшення біовідходів, які потрапляють на звалища.</w:t>
      </w:r>
      <w:r w:rsidR="00094ACE">
        <w:t xml:space="preserve"> </w:t>
      </w:r>
    </w:p>
    <w:p w14:paraId="0896B52C" w14:textId="784F6489" w:rsidR="00D87725" w:rsidRPr="00C22C49" w:rsidRDefault="00D87725" w:rsidP="00D87725">
      <w:r w:rsidRPr="00C22C49">
        <w:t>Статтею 54, Закону України «Про управління відходами» визначено, що складовою НПУВ може бути</w:t>
      </w:r>
      <w:r w:rsidRPr="00C22C49">
        <w:rPr>
          <w:b/>
          <w:bCs/>
        </w:rPr>
        <w:t xml:space="preserve"> </w:t>
      </w:r>
      <w:r w:rsidRPr="00C22C49">
        <w:rPr>
          <w:rStyle w:val="affe"/>
          <w:b/>
        </w:rPr>
        <w:t>Національна програма запобігання утворенню відходів</w:t>
      </w:r>
      <w:r w:rsidRPr="00C22C49">
        <w:rPr>
          <w:b/>
          <w:bCs/>
        </w:rPr>
        <w:t>.</w:t>
      </w:r>
      <w:r w:rsidR="00517F39" w:rsidRPr="00C22C49">
        <w:rPr>
          <w:b/>
          <w:bCs/>
        </w:rPr>
        <w:t xml:space="preserve"> </w:t>
      </w:r>
      <w:r w:rsidR="00517F39" w:rsidRPr="00C22C49">
        <w:t>Ця програма, зосереджена на запобіганні відходів на стадії їх утворення, відображає стратегічний підхід до управління відходами.</w:t>
      </w:r>
    </w:p>
    <w:p w14:paraId="0896B52D" w14:textId="77777777" w:rsidR="0043743F" w:rsidRPr="00C22C49" w:rsidRDefault="00517F39" w:rsidP="0096400B">
      <w:r w:rsidRPr="00C22C49">
        <w:t xml:space="preserve">Таким чином, </w:t>
      </w:r>
      <w:r w:rsidR="005E1A58" w:rsidRPr="00C22C49">
        <w:t xml:space="preserve">для </w:t>
      </w:r>
      <w:r w:rsidRPr="00C22C49">
        <w:t>узгодже</w:t>
      </w:r>
      <w:r w:rsidR="005E1A58" w:rsidRPr="00C22C49">
        <w:t>ності</w:t>
      </w:r>
      <w:r w:rsidRPr="00C22C49">
        <w:t xml:space="preserve"> планування</w:t>
      </w:r>
      <w:r w:rsidR="005E1A58" w:rsidRPr="00C22C49">
        <w:t xml:space="preserve">, </w:t>
      </w:r>
      <w:r w:rsidRPr="00C22C49">
        <w:t xml:space="preserve">НПУВ, включає ці додаткові складові, </w:t>
      </w:r>
      <w:r w:rsidR="004F7766" w:rsidRPr="00C22C49">
        <w:t xml:space="preserve">що </w:t>
      </w:r>
      <w:r w:rsidRPr="00C22C49">
        <w:t>є ефективним методом для запобігання непотрібного дублювання зусиль і максимізації користі від колективної діяльності усіх зацікавлених сторін</w:t>
      </w:r>
      <w:r w:rsidR="00E212E6" w:rsidRPr="00C22C49">
        <w:t>.</w:t>
      </w:r>
    </w:p>
    <w:p w14:paraId="0896B52E" w14:textId="77777777" w:rsidR="00C90FFA" w:rsidRPr="00C22C49" w:rsidRDefault="00FE1054" w:rsidP="008926A3">
      <w:pPr>
        <w:pStyle w:val="REDBoldonly"/>
      </w:pPr>
      <w:r w:rsidRPr="00C22C49">
        <w:t xml:space="preserve">Цілі </w:t>
      </w:r>
      <w:r w:rsidR="005F52AD" w:rsidRPr="00C22C49">
        <w:t xml:space="preserve">Національного плану управління відходами </w:t>
      </w:r>
    </w:p>
    <w:p w14:paraId="0896B52F" w14:textId="77777777" w:rsidR="00B41768" w:rsidRPr="00C22C49" w:rsidRDefault="00B41768" w:rsidP="00186DEC">
      <w:r w:rsidRPr="00C22C49">
        <w:rPr>
          <w:rStyle w:val="rynqvb"/>
        </w:rPr>
        <w:t>Національний план управління відходами (</w:t>
      </w:r>
      <w:r w:rsidRPr="00C22C49">
        <w:t>НПУВ</w:t>
      </w:r>
      <w:r w:rsidRPr="00C22C49">
        <w:rPr>
          <w:rStyle w:val="rynqvb"/>
        </w:rPr>
        <w:t xml:space="preserve">) відіграє ключову роль в ефективному та результативному </w:t>
      </w:r>
      <w:r w:rsidRPr="00C22C49">
        <w:t xml:space="preserve">управління </w:t>
      </w:r>
      <w:r w:rsidRPr="00C22C49">
        <w:rPr>
          <w:rStyle w:val="rynqvb"/>
        </w:rPr>
        <w:t>відходами в Україні.</w:t>
      </w:r>
      <w:r w:rsidRPr="00C22C49">
        <w:rPr>
          <w:rStyle w:val="hwtze"/>
        </w:rPr>
        <w:t xml:space="preserve"> </w:t>
      </w:r>
      <w:r w:rsidRPr="00C22C49">
        <w:rPr>
          <w:rStyle w:val="rynqvb"/>
        </w:rPr>
        <w:t>План спрямований на зменшення шкідливого впливу відходів на довкілля та здоров’я людей, а також на досягнення максимально ефективного використання ресурсів, відкриття нових ринків і створення нових робочих місць.</w:t>
      </w:r>
      <w:r w:rsidRPr="00C22C49">
        <w:rPr>
          <w:rStyle w:val="hwtze"/>
        </w:rPr>
        <w:t xml:space="preserve"> </w:t>
      </w:r>
      <w:r w:rsidRPr="00C22C49">
        <w:rPr>
          <w:rStyle w:val="rynqvb"/>
        </w:rPr>
        <w:t>Важливою частиною Плану є створення максимальних умов для запобігання утворенню відходів.</w:t>
      </w:r>
    </w:p>
    <w:p w14:paraId="0896B530" w14:textId="77777777" w:rsidR="00786973" w:rsidRPr="00C22C49" w:rsidRDefault="005F52AD" w:rsidP="00186DEC">
      <w:r w:rsidRPr="00C22C49">
        <w:t>О</w:t>
      </w:r>
      <w:r w:rsidR="00B82924" w:rsidRPr="00C22C49">
        <w:t xml:space="preserve">сновні </w:t>
      </w:r>
      <w:r w:rsidR="00D159D1" w:rsidRPr="00C22C49">
        <w:t>принципи</w:t>
      </w:r>
      <w:r w:rsidR="00D51862" w:rsidRPr="00C22C49">
        <w:t xml:space="preserve"> та цілі </w:t>
      </w:r>
      <w:r w:rsidR="00B41768" w:rsidRPr="00C22C49">
        <w:t xml:space="preserve">НПУВ відповідають </w:t>
      </w:r>
      <w:r w:rsidR="00B82924" w:rsidRPr="00C22C49">
        <w:t>державної політики у сфері запобігання утворенню та управління відходами</w:t>
      </w:r>
      <w:r w:rsidR="00B41768" w:rsidRPr="00C22C49">
        <w:t xml:space="preserve"> </w:t>
      </w:r>
      <w:r w:rsidR="00B82924" w:rsidRPr="00C22C49">
        <w:t>і включають</w:t>
      </w:r>
      <w:r w:rsidRPr="00C22C49">
        <w:t>:</w:t>
      </w:r>
      <w:r w:rsidR="00B82924" w:rsidRPr="00C22C49">
        <w:t xml:space="preserve"> </w:t>
      </w:r>
    </w:p>
    <w:p w14:paraId="0896B531" w14:textId="77777777" w:rsidR="005F52AD" w:rsidRPr="00C22C49" w:rsidRDefault="002910F4" w:rsidP="003D215F">
      <w:pPr>
        <w:pStyle w:val="a7"/>
        <w:numPr>
          <w:ilvl w:val="0"/>
          <w:numId w:val="8"/>
        </w:numPr>
      </w:pPr>
      <w:r w:rsidRPr="00C22C49">
        <w:t xml:space="preserve">Дотримання </w:t>
      </w:r>
      <w:r w:rsidR="00B82924" w:rsidRPr="00C22C49">
        <w:t>ієрархії управління відходами</w:t>
      </w:r>
      <w:r w:rsidR="00432E46" w:rsidRPr="00C22C49">
        <w:t xml:space="preserve"> - запобігання утворенню відходів</w:t>
      </w:r>
      <w:r w:rsidRPr="00C22C49">
        <w:t>;</w:t>
      </w:r>
      <w:r w:rsidR="00B82924" w:rsidRPr="00C22C49">
        <w:t xml:space="preserve"> </w:t>
      </w:r>
      <w:r w:rsidR="00432E46" w:rsidRPr="00C22C49">
        <w:t>повторне використання, рециклінг, відновлення і, найменш бажаний варіант, видалення, що включає захоронення на полігонах та спалювання без відновлення енергії;</w:t>
      </w:r>
    </w:p>
    <w:p w14:paraId="0896B532" w14:textId="77777777" w:rsidR="00D34AC5" w:rsidRPr="00C22C49" w:rsidRDefault="002910F4" w:rsidP="003D215F">
      <w:pPr>
        <w:pStyle w:val="a7"/>
        <w:numPr>
          <w:ilvl w:val="0"/>
          <w:numId w:val="8"/>
        </w:numPr>
      </w:pPr>
      <w:r w:rsidRPr="00C22C49">
        <w:t>Впровадження принцип</w:t>
      </w:r>
      <w:r w:rsidR="00D34AC5" w:rsidRPr="00C22C49">
        <w:t xml:space="preserve">ів </w:t>
      </w:r>
    </w:p>
    <w:p w14:paraId="0896B533" w14:textId="77777777" w:rsidR="00D34AC5" w:rsidRPr="00C22C49" w:rsidRDefault="00D51862" w:rsidP="003466DC">
      <w:pPr>
        <w:pStyle w:val="a7"/>
        <w:numPr>
          <w:ilvl w:val="1"/>
          <w:numId w:val="21"/>
        </w:numPr>
      </w:pPr>
      <w:r w:rsidRPr="00C22C49">
        <w:t>забруднювач платить</w:t>
      </w:r>
      <w:r w:rsidR="00D34AC5" w:rsidRPr="00C22C49">
        <w:t>;</w:t>
      </w:r>
    </w:p>
    <w:p w14:paraId="0896B534" w14:textId="77777777" w:rsidR="00805933" w:rsidRPr="00C22C49" w:rsidRDefault="00B82924" w:rsidP="003466DC">
      <w:pPr>
        <w:pStyle w:val="a7"/>
        <w:numPr>
          <w:ilvl w:val="1"/>
          <w:numId w:val="21"/>
        </w:numPr>
      </w:pPr>
      <w:r w:rsidRPr="00C22C49">
        <w:t>розширеної відповідальності виробника</w:t>
      </w:r>
      <w:r w:rsidR="00656737" w:rsidRPr="00C22C49">
        <w:t>;</w:t>
      </w:r>
    </w:p>
    <w:p w14:paraId="0896B535" w14:textId="77777777" w:rsidR="00D34AC5" w:rsidRPr="00C22C49" w:rsidRDefault="00432E46" w:rsidP="003466DC">
      <w:pPr>
        <w:pStyle w:val="a7"/>
        <w:numPr>
          <w:ilvl w:val="1"/>
          <w:numId w:val="21"/>
        </w:numPr>
      </w:pPr>
      <w:r w:rsidRPr="00C22C49">
        <w:t>територіальної наближеності</w:t>
      </w:r>
      <w:r w:rsidR="00D34AC5" w:rsidRPr="00C22C49">
        <w:t>;</w:t>
      </w:r>
    </w:p>
    <w:p w14:paraId="0896B536" w14:textId="77777777" w:rsidR="00D34AC5" w:rsidRPr="00C22C49" w:rsidRDefault="00432E46" w:rsidP="003466DC">
      <w:pPr>
        <w:pStyle w:val="a7"/>
        <w:numPr>
          <w:ilvl w:val="1"/>
          <w:numId w:val="21"/>
        </w:numPr>
      </w:pPr>
      <w:r w:rsidRPr="00C22C49">
        <w:t>фінансової стійкості</w:t>
      </w:r>
      <w:r w:rsidR="00D34AC5" w:rsidRPr="00C22C49">
        <w:t>;</w:t>
      </w:r>
    </w:p>
    <w:p w14:paraId="0896B537" w14:textId="77777777" w:rsidR="00D34AC5" w:rsidRPr="00C22C49" w:rsidRDefault="00432E46" w:rsidP="003466DC">
      <w:pPr>
        <w:pStyle w:val="a7"/>
        <w:numPr>
          <w:ilvl w:val="1"/>
          <w:numId w:val="21"/>
        </w:numPr>
      </w:pPr>
      <w:r w:rsidRPr="00C22C49">
        <w:t>платоспроможності</w:t>
      </w:r>
      <w:r w:rsidR="00D34AC5" w:rsidRPr="00C22C49">
        <w:t>;</w:t>
      </w:r>
    </w:p>
    <w:p w14:paraId="0896B538" w14:textId="77777777" w:rsidR="00D34AC5" w:rsidRPr="00C22C49" w:rsidRDefault="0009716E" w:rsidP="003466DC">
      <w:pPr>
        <w:pStyle w:val="a7"/>
        <w:numPr>
          <w:ilvl w:val="1"/>
          <w:numId w:val="21"/>
        </w:numPr>
      </w:pPr>
      <w:r w:rsidRPr="00C22C49">
        <w:t>самодостатності</w:t>
      </w:r>
      <w:r w:rsidR="00D34AC5" w:rsidRPr="00C22C49">
        <w:t>;</w:t>
      </w:r>
    </w:p>
    <w:p w14:paraId="0896B539" w14:textId="77777777" w:rsidR="00656737" w:rsidRPr="00C22C49" w:rsidRDefault="00251A75" w:rsidP="003466DC">
      <w:pPr>
        <w:pStyle w:val="a7"/>
        <w:numPr>
          <w:ilvl w:val="1"/>
          <w:numId w:val="21"/>
        </w:numPr>
      </w:pPr>
      <w:r w:rsidRPr="00C22C49">
        <w:t>сталого розвитку</w:t>
      </w:r>
      <w:r w:rsidR="00B41768" w:rsidRPr="00C22C49">
        <w:t>;</w:t>
      </w:r>
    </w:p>
    <w:p w14:paraId="0896B53A" w14:textId="77777777" w:rsidR="006864F7" w:rsidRPr="00C22C49" w:rsidRDefault="006864F7" w:rsidP="003D215F">
      <w:pPr>
        <w:pStyle w:val="a7"/>
        <w:numPr>
          <w:ilvl w:val="0"/>
          <w:numId w:val="8"/>
        </w:numPr>
      </w:pPr>
      <w:r w:rsidRPr="00C22C49">
        <w:t>Участь громадськості - можливість брати участь у розробці планів управління відходами та програм запобігання утворенню відходів</w:t>
      </w:r>
      <w:r w:rsidR="00FA6CAA" w:rsidRPr="00C22C49">
        <w:t>.</w:t>
      </w:r>
    </w:p>
    <w:p w14:paraId="0896B53B" w14:textId="77777777" w:rsidR="00F0531E" w:rsidRPr="00C22C49" w:rsidRDefault="00F0531E" w:rsidP="00F0531E">
      <w:pPr>
        <w:pStyle w:val="a7"/>
        <w:numPr>
          <w:ilvl w:val="0"/>
          <w:numId w:val="8"/>
        </w:numPr>
      </w:pPr>
      <w:r w:rsidRPr="00C22C49">
        <w:t>Формування конкурентного середовища у сфері управління відходами</w:t>
      </w:r>
    </w:p>
    <w:p w14:paraId="0896B53C" w14:textId="77777777" w:rsidR="00AE1614" w:rsidRPr="00C22C49" w:rsidRDefault="00FE1A80" w:rsidP="006864F7">
      <w:r w:rsidRPr="00C22C49">
        <w:t>Основна</w:t>
      </w:r>
      <w:r w:rsidR="00AE1614" w:rsidRPr="00C22C49">
        <w:t xml:space="preserve"> </w:t>
      </w:r>
      <w:r w:rsidR="00F524DD" w:rsidRPr="00C22C49">
        <w:t>мета</w:t>
      </w:r>
      <w:r w:rsidR="006864F7" w:rsidRPr="00C22C49">
        <w:t xml:space="preserve"> НПУВ</w:t>
      </w:r>
      <w:r w:rsidR="00AE1614" w:rsidRPr="00C22C49">
        <w:rPr>
          <w:rStyle w:val="21"/>
        </w:rPr>
        <w:t xml:space="preserve"> </w:t>
      </w:r>
      <w:r w:rsidR="00AE1614" w:rsidRPr="00C22C49">
        <w:rPr>
          <w:rStyle w:val="rynqvb"/>
        </w:rPr>
        <w:t>є забезпечення</w:t>
      </w:r>
      <w:r w:rsidR="006864F7" w:rsidRPr="00C22C49">
        <w:t xml:space="preserve"> </w:t>
      </w:r>
      <w:r w:rsidR="00356631" w:rsidRPr="00C22C49">
        <w:t>переходу до сучасного управління відходами для ефективного використання відходів як ресурсу та сталого розвитку шляхом запобігання їх утворенню</w:t>
      </w:r>
      <w:r w:rsidR="00693D77" w:rsidRPr="00C22C49">
        <w:t xml:space="preserve"> </w:t>
      </w:r>
      <w:r w:rsidR="006864F7" w:rsidRPr="00C22C49">
        <w:t xml:space="preserve">відповідають державної політики у сфері запобігання утворенню та управління відходами </w:t>
      </w:r>
    </w:p>
    <w:p w14:paraId="0896B53D" w14:textId="77777777" w:rsidR="006864F7" w:rsidRPr="00183B4D" w:rsidRDefault="005F6824" w:rsidP="006864F7">
      <w:pPr>
        <w:rPr>
          <w:szCs w:val="24"/>
        </w:rPr>
      </w:pPr>
      <w:r w:rsidRPr="00C22C49">
        <w:t xml:space="preserve">Здійснення заходів у сфері управління відходами без загрози здоров'ю людей та навколишньому природному середовищу, </w:t>
      </w:r>
      <w:r w:rsidRPr="00183B4D">
        <w:rPr>
          <w:szCs w:val="24"/>
        </w:rPr>
        <w:t>шляхом запобігання або зменшення утворення відходів, зменшення негативних наслідків від утворення відходів та їх управління, зменшення загальних наслідків використання ресурсів і підвищення ефективності такого використання, що є вкрай важливим для переходу до циркулярної економіки та забезпечення довгострокової конкурентоздатності</w:t>
      </w:r>
      <w:r w:rsidR="00641709" w:rsidRPr="00183B4D">
        <w:rPr>
          <w:szCs w:val="24"/>
        </w:rPr>
        <w:t>.</w:t>
      </w:r>
    </w:p>
    <w:p w14:paraId="0896B540" w14:textId="645F57A4" w:rsidR="00E30A50" w:rsidRPr="00C22C49" w:rsidRDefault="003647B7" w:rsidP="006864F7">
      <w:r w:rsidRPr="00C22C49">
        <w:t xml:space="preserve">З метою реалізації Національного плану управління відходами до 2024 - 2035 року, в рамках </w:t>
      </w:r>
      <w:r w:rsidRPr="00C22C49">
        <w:rPr>
          <w:rStyle w:val="rynqvb"/>
        </w:rPr>
        <w:t xml:space="preserve">ньому </w:t>
      </w:r>
      <w:r w:rsidRPr="00C22C49">
        <w:t xml:space="preserve">визначено наступні пріоритетні </w:t>
      </w:r>
      <w:r w:rsidR="00F524DD" w:rsidRPr="00C22C49">
        <w:t>цілі</w:t>
      </w:r>
      <w:r w:rsidRPr="00C22C49">
        <w:t>:</w:t>
      </w:r>
    </w:p>
    <w:p w14:paraId="0896B541" w14:textId="77777777" w:rsidR="00BD1618" w:rsidRPr="00C22C49" w:rsidRDefault="00F524DD" w:rsidP="00BD1618">
      <w:pPr>
        <w:ind w:left="360"/>
      </w:pPr>
      <w:r w:rsidRPr="00C22C49">
        <w:rPr>
          <w:b/>
        </w:rPr>
        <w:t>Ціль</w:t>
      </w:r>
      <w:r w:rsidRPr="00C22C49">
        <w:t xml:space="preserve"> </w:t>
      </w:r>
      <w:r w:rsidR="00BD1618" w:rsidRPr="00C22C49">
        <w:rPr>
          <w:b/>
        </w:rPr>
        <w:t>1.</w:t>
      </w:r>
      <w:r w:rsidR="00BD1618" w:rsidRPr="00C22C49">
        <w:t xml:space="preserve"> Удосконалення та наближення національного законодавства до вимог європейського </w:t>
      </w:r>
      <w:r w:rsidR="00CA6CD2" w:rsidRPr="00C22C49">
        <w:t>н</w:t>
      </w:r>
      <w:r w:rsidR="00BD1618" w:rsidRPr="00C22C49">
        <w:t>а виконання положень Угоди Україна-ЄС у сфері управління відходами</w:t>
      </w:r>
      <w:r w:rsidR="00FE1A80" w:rsidRPr="00C22C49">
        <w:t>.</w:t>
      </w:r>
    </w:p>
    <w:p w14:paraId="0896B542" w14:textId="77777777" w:rsidR="00836E4D" w:rsidRPr="00C22C49" w:rsidRDefault="00F524DD" w:rsidP="00BD1618">
      <w:pPr>
        <w:ind w:left="360"/>
      </w:pPr>
      <w:r w:rsidRPr="00C22C49">
        <w:rPr>
          <w:b/>
        </w:rPr>
        <w:t>Ціль</w:t>
      </w:r>
      <w:r w:rsidRPr="00C22C49">
        <w:t xml:space="preserve"> </w:t>
      </w:r>
      <w:r w:rsidR="00836E4D" w:rsidRPr="00C22C49">
        <w:rPr>
          <w:b/>
        </w:rPr>
        <w:t xml:space="preserve">2. </w:t>
      </w:r>
      <w:r w:rsidR="00836E4D" w:rsidRPr="00C22C49">
        <w:t>Впровадження економічних інструментів для удосконалення управління відходами</w:t>
      </w:r>
      <w:r w:rsidR="00FE1A80" w:rsidRPr="00C22C49">
        <w:t>.</w:t>
      </w:r>
    </w:p>
    <w:p w14:paraId="0896B543" w14:textId="77777777" w:rsidR="00757D11" w:rsidRPr="00C22C49" w:rsidRDefault="00F524DD" w:rsidP="00BD1618">
      <w:pPr>
        <w:ind w:left="360"/>
        <w:rPr>
          <w:rFonts w:eastAsia="Times New Roman" w:cs="Times New Roman"/>
          <w:szCs w:val="24"/>
          <w:lang w:eastAsia="uk-UA"/>
        </w:rPr>
      </w:pPr>
      <w:r w:rsidRPr="00C22C49">
        <w:rPr>
          <w:b/>
        </w:rPr>
        <w:t xml:space="preserve">Ціль </w:t>
      </w:r>
      <w:r w:rsidR="00757D11" w:rsidRPr="00C22C49">
        <w:rPr>
          <w:rFonts w:eastAsia="Times New Roman" w:cs="Times New Roman"/>
          <w:b/>
          <w:szCs w:val="24"/>
          <w:lang w:eastAsia="uk-UA"/>
        </w:rPr>
        <w:t xml:space="preserve">3. </w:t>
      </w:r>
      <w:r w:rsidR="00757D11" w:rsidRPr="00C22C49">
        <w:rPr>
          <w:rFonts w:eastAsia="Times New Roman" w:cs="Times New Roman"/>
          <w:szCs w:val="24"/>
          <w:lang w:eastAsia="uk-UA"/>
        </w:rPr>
        <w:t>Вдосконалення інституційної структури сфери управління відходами</w:t>
      </w:r>
      <w:r w:rsidR="00CA6CD2" w:rsidRPr="00C22C49">
        <w:rPr>
          <w:rFonts w:eastAsia="Times New Roman" w:cs="Times New Roman"/>
          <w:szCs w:val="24"/>
          <w:lang w:eastAsia="uk-UA"/>
        </w:rPr>
        <w:t xml:space="preserve"> та </w:t>
      </w:r>
      <w:r w:rsidR="00FE1A80" w:rsidRPr="00C22C49">
        <w:rPr>
          <w:rFonts w:eastAsia="Times New Roman" w:cs="Times New Roman"/>
          <w:szCs w:val="24"/>
          <w:lang w:eastAsia="uk-UA"/>
        </w:rPr>
        <w:t>ззміцнення</w:t>
      </w:r>
      <w:r w:rsidR="002C7B02" w:rsidRPr="00C22C49">
        <w:rPr>
          <w:rFonts w:eastAsia="Times New Roman" w:cs="Times New Roman"/>
          <w:szCs w:val="24"/>
          <w:lang w:eastAsia="uk-UA"/>
        </w:rPr>
        <w:t xml:space="preserve"> кадрового потенціалу у сфері управління відходами</w:t>
      </w:r>
      <w:r w:rsidR="00FE1A80" w:rsidRPr="00C22C49">
        <w:rPr>
          <w:rFonts w:eastAsia="Times New Roman" w:cs="Times New Roman"/>
          <w:szCs w:val="24"/>
          <w:lang w:eastAsia="uk-UA"/>
        </w:rPr>
        <w:t>.</w:t>
      </w:r>
    </w:p>
    <w:p w14:paraId="0896B544" w14:textId="77777777" w:rsidR="002C7B02" w:rsidRPr="00C22C49" w:rsidRDefault="00F524DD" w:rsidP="00BD1618">
      <w:pPr>
        <w:ind w:left="360"/>
        <w:rPr>
          <w:rFonts w:eastAsia="Times New Roman" w:cs="Times New Roman"/>
          <w:szCs w:val="24"/>
          <w:lang w:eastAsia="uk-UA"/>
        </w:rPr>
      </w:pPr>
      <w:r w:rsidRPr="00C22C49">
        <w:rPr>
          <w:b/>
        </w:rPr>
        <w:t xml:space="preserve">Ціль </w:t>
      </w:r>
      <w:r w:rsidR="00F0531E" w:rsidRPr="00C22C49">
        <w:rPr>
          <w:rFonts w:eastAsia="Times New Roman" w:cs="Times New Roman"/>
          <w:b/>
          <w:szCs w:val="24"/>
          <w:lang w:eastAsia="uk-UA"/>
        </w:rPr>
        <w:t>4</w:t>
      </w:r>
      <w:r w:rsidR="007C1AAB" w:rsidRPr="00C22C49">
        <w:rPr>
          <w:rFonts w:eastAsia="Times New Roman" w:cs="Times New Roman"/>
          <w:b/>
          <w:szCs w:val="24"/>
          <w:lang w:eastAsia="uk-UA"/>
        </w:rPr>
        <w:t xml:space="preserve">. </w:t>
      </w:r>
      <w:r w:rsidR="007C1AAB" w:rsidRPr="00C22C49">
        <w:rPr>
          <w:rFonts w:eastAsia="Times New Roman" w:cs="Times New Roman"/>
          <w:szCs w:val="24"/>
          <w:lang w:eastAsia="uk-UA"/>
        </w:rPr>
        <w:t>Реформування системи інформаційного забезпечення сфери управління відходами</w:t>
      </w:r>
      <w:r w:rsidR="00FE1A80" w:rsidRPr="00C22C49">
        <w:rPr>
          <w:rFonts w:eastAsia="Times New Roman" w:cs="Times New Roman"/>
          <w:szCs w:val="24"/>
          <w:lang w:eastAsia="uk-UA"/>
        </w:rPr>
        <w:t>.</w:t>
      </w:r>
    </w:p>
    <w:p w14:paraId="0896B545" w14:textId="77777777" w:rsidR="00F61B44" w:rsidRPr="00C22C49" w:rsidRDefault="00F524DD" w:rsidP="00BD1618">
      <w:pPr>
        <w:ind w:left="360"/>
        <w:rPr>
          <w:rFonts w:eastAsia="Times New Roman" w:cs="Times New Roman"/>
          <w:b/>
          <w:szCs w:val="24"/>
          <w:lang w:eastAsia="uk-UA"/>
        </w:rPr>
      </w:pPr>
      <w:r w:rsidRPr="00C22C49">
        <w:rPr>
          <w:b/>
        </w:rPr>
        <w:t>Ціль</w:t>
      </w:r>
      <w:r w:rsidRPr="00C22C49">
        <w:t xml:space="preserve"> </w:t>
      </w:r>
      <w:r w:rsidR="00F0531E" w:rsidRPr="00C22C49">
        <w:rPr>
          <w:rFonts w:eastAsia="Times New Roman" w:cs="Times New Roman"/>
          <w:b/>
          <w:szCs w:val="24"/>
          <w:lang w:eastAsia="uk-UA"/>
        </w:rPr>
        <w:t>5</w:t>
      </w:r>
      <w:r w:rsidR="00F61B44" w:rsidRPr="00C22C49">
        <w:rPr>
          <w:rFonts w:eastAsia="Times New Roman" w:cs="Times New Roman"/>
          <w:b/>
          <w:szCs w:val="24"/>
          <w:lang w:eastAsia="uk-UA"/>
        </w:rPr>
        <w:t>.</w:t>
      </w:r>
      <w:r w:rsidR="00F61B44" w:rsidRPr="00C22C49">
        <w:t xml:space="preserve"> Забезпечення розбудов</w:t>
      </w:r>
      <w:r w:rsidR="00FE1A80" w:rsidRPr="00C22C49">
        <w:t>и</w:t>
      </w:r>
      <w:r w:rsidR="00F61B44" w:rsidRPr="00C22C49">
        <w:t xml:space="preserve"> та модернізаці</w:t>
      </w:r>
      <w:r w:rsidR="00FE1A80" w:rsidRPr="00C22C49">
        <w:t>ї</w:t>
      </w:r>
      <w:r w:rsidR="00F61B44" w:rsidRPr="00C22C49">
        <w:t xml:space="preserve"> інфраструктури управління відходами</w:t>
      </w:r>
      <w:r w:rsidR="00FE1A80" w:rsidRPr="00C22C49">
        <w:t>.</w:t>
      </w:r>
    </w:p>
    <w:p w14:paraId="0896B546" w14:textId="77777777" w:rsidR="007C1AAB" w:rsidRPr="00C22C49" w:rsidRDefault="00F524DD" w:rsidP="00BD1618">
      <w:pPr>
        <w:ind w:left="360"/>
      </w:pPr>
      <w:r w:rsidRPr="00C22C49">
        <w:rPr>
          <w:b/>
        </w:rPr>
        <w:t xml:space="preserve">Ціль </w:t>
      </w:r>
      <w:r w:rsidR="00F0531E" w:rsidRPr="00C22C49">
        <w:rPr>
          <w:rFonts w:eastAsia="Times New Roman" w:cs="Times New Roman"/>
          <w:b/>
          <w:szCs w:val="24"/>
          <w:lang w:eastAsia="uk-UA"/>
        </w:rPr>
        <w:t>6</w:t>
      </w:r>
      <w:r w:rsidR="007C1AAB" w:rsidRPr="00C22C49">
        <w:rPr>
          <w:rFonts w:eastAsia="Times New Roman" w:cs="Times New Roman"/>
          <w:b/>
          <w:szCs w:val="24"/>
          <w:lang w:eastAsia="uk-UA"/>
        </w:rPr>
        <w:t xml:space="preserve">. </w:t>
      </w:r>
      <w:r w:rsidR="007C1AAB" w:rsidRPr="00C22C49">
        <w:rPr>
          <w:rFonts w:eastAsia="Times New Roman" w:cs="Times New Roman"/>
          <w:szCs w:val="24"/>
          <w:lang w:eastAsia="uk-UA"/>
        </w:rPr>
        <w:t>Підвищення обізнаності населення щодо управління відходами</w:t>
      </w:r>
      <w:r w:rsidR="00FE1A80" w:rsidRPr="00C22C49">
        <w:rPr>
          <w:rFonts w:eastAsia="Times New Roman" w:cs="Times New Roman"/>
          <w:szCs w:val="24"/>
          <w:lang w:eastAsia="uk-UA"/>
        </w:rPr>
        <w:t>.</w:t>
      </w:r>
    </w:p>
    <w:p w14:paraId="0896B547" w14:textId="77777777" w:rsidR="006864F7" w:rsidRPr="00C22C49" w:rsidRDefault="006864F7" w:rsidP="006864F7"/>
    <w:p w14:paraId="0896B548" w14:textId="77777777" w:rsidR="00172B69" w:rsidRPr="00C22C49" w:rsidRDefault="00172B69" w:rsidP="006864F7">
      <w:r w:rsidRPr="00C22C49">
        <w:t>Відповідно до визначених пріоритет</w:t>
      </w:r>
      <w:r w:rsidR="00F524DD" w:rsidRPr="00C22C49">
        <w:t xml:space="preserve">них </w:t>
      </w:r>
      <w:r w:rsidR="00FE1A80" w:rsidRPr="00C22C49">
        <w:t>ці</w:t>
      </w:r>
      <w:r w:rsidR="00153C26" w:rsidRPr="00C22C49">
        <w:t>лей</w:t>
      </w:r>
      <w:r w:rsidRPr="00C22C49">
        <w:t>, Національний план управління відходами передбачає виконання загальних завдань та заходів, які стосуються вдосконалення законодовчаго регулювання, інституційної структури, інформаційного забезпечення сфери управління відходами в цілому тощо.</w:t>
      </w:r>
    </w:p>
    <w:p w14:paraId="0896B549" w14:textId="77777777" w:rsidR="00CD293A" w:rsidRPr="00C22C49" w:rsidRDefault="00CD293A" w:rsidP="00CD293A">
      <w:r w:rsidRPr="00C22C49">
        <w:t>Реалізація за</w:t>
      </w:r>
      <w:r w:rsidR="005A3EA1" w:rsidRPr="00C22C49">
        <w:t>вдань</w:t>
      </w:r>
      <w:r w:rsidRPr="00C22C49">
        <w:t xml:space="preserve"> та заходів, викладених у НПУ</w:t>
      </w:r>
      <w:r w:rsidR="005A3EA1" w:rsidRPr="00C22C49">
        <w:t>В</w:t>
      </w:r>
      <w:r w:rsidRPr="00C22C49">
        <w:t xml:space="preserve">, відповідно до сформульованих цілей </w:t>
      </w:r>
      <w:r w:rsidR="0041416B" w:rsidRPr="00C22C49">
        <w:t xml:space="preserve">та принципів </w:t>
      </w:r>
      <w:r w:rsidR="006F4F35" w:rsidRPr="00C22C49">
        <w:t>управління</w:t>
      </w:r>
      <w:r w:rsidRPr="00C22C49">
        <w:t xml:space="preserve"> відходами має забезпечити впровадження цілісної та ефективної системи </w:t>
      </w:r>
      <w:r w:rsidR="006F4F35" w:rsidRPr="00C22C49">
        <w:t>управління</w:t>
      </w:r>
      <w:r w:rsidRPr="00C22C49">
        <w:t xml:space="preserve"> відходами.</w:t>
      </w:r>
    </w:p>
    <w:p w14:paraId="0896B54A" w14:textId="730589D4" w:rsidR="00177F62" w:rsidRPr="00C22C49" w:rsidRDefault="00177F62" w:rsidP="00CD293A">
      <w:pPr>
        <w:rPr>
          <w:rStyle w:val="rynqvb"/>
        </w:rPr>
      </w:pPr>
      <w:r w:rsidRPr="00C22C49">
        <w:rPr>
          <w:rStyle w:val="rynqvb"/>
        </w:rPr>
        <w:t xml:space="preserve">Визначення цілей та пріоритетів у </w:t>
      </w:r>
      <w:r w:rsidRPr="00C22C49">
        <w:t>НПУВ</w:t>
      </w:r>
      <w:r w:rsidRPr="00C22C49">
        <w:rPr>
          <w:rStyle w:val="rynqvb"/>
        </w:rPr>
        <w:t xml:space="preserve"> та відповідних заходів у Плані заходів було здійснено на основі аналізу існуючого стану </w:t>
      </w:r>
      <w:r w:rsidRPr="00C22C49">
        <w:t xml:space="preserve">управління </w:t>
      </w:r>
      <w:r w:rsidRPr="00C22C49">
        <w:rPr>
          <w:rStyle w:val="rynqvb"/>
        </w:rPr>
        <w:t>відходами та виявлення проблем у цій сфері.</w:t>
      </w:r>
      <w:r w:rsidRPr="00C22C49">
        <w:rPr>
          <w:rStyle w:val="hwtze"/>
        </w:rPr>
        <w:t xml:space="preserve"> </w:t>
      </w:r>
      <w:r w:rsidRPr="00C22C49">
        <w:rPr>
          <w:rStyle w:val="rynqvb"/>
        </w:rPr>
        <w:t>Для кожного із запланованих заходів визначено відповідальні установи та індикативні фінансові кошти для забезпечення реалізації програми.</w:t>
      </w:r>
    </w:p>
    <w:p w14:paraId="0896B54B" w14:textId="77777777" w:rsidR="00A932E9" w:rsidRPr="00C22C49" w:rsidRDefault="00A932E9" w:rsidP="00A932E9">
      <w:r w:rsidRPr="00C22C49">
        <w:t>Відповідно до визначених пріоритетів, Національний план передбачає виконання  загальних завдань та заходів, які стосуються вдосконалення законодовчаго регулювання, інституційної структури, інформаційного забезпечення сфери управління відходами в цілому тощо.</w:t>
      </w:r>
    </w:p>
    <w:p w14:paraId="0896B54C" w14:textId="77777777" w:rsidR="00A932E9" w:rsidRPr="00C22C49" w:rsidRDefault="00A932E9" w:rsidP="00A932E9">
      <w:r w:rsidRPr="00C22C49">
        <w:t>Національний план визначає завдання та заходи з управління окремими видами  відходів:</w:t>
      </w:r>
    </w:p>
    <w:p w14:paraId="0896B54D" w14:textId="77777777" w:rsidR="00CD293A" w:rsidRPr="00C22C49" w:rsidRDefault="002440F0" w:rsidP="008926A3">
      <w:pPr>
        <w:pStyle w:val="REDBoldonly"/>
      </w:pPr>
      <w:r w:rsidRPr="00C22C49">
        <w:t>Д</w:t>
      </w:r>
      <w:r w:rsidR="005E2F6D" w:rsidRPr="00C22C49">
        <w:t>осягнення ціле</w:t>
      </w:r>
      <w:r w:rsidR="0063250B" w:rsidRPr="00C22C49">
        <w:t>й запропоновано</w:t>
      </w:r>
      <w:r w:rsidR="008C2683" w:rsidRPr="00C22C49">
        <w:t xml:space="preserve"> шляхом</w:t>
      </w:r>
      <w:r w:rsidR="00C53313" w:rsidRPr="00C22C49">
        <w:t>:</w:t>
      </w:r>
    </w:p>
    <w:p w14:paraId="0896B54E" w14:textId="77777777" w:rsidR="00F92293" w:rsidRPr="00C22C49" w:rsidRDefault="00F92293" w:rsidP="003D215F">
      <w:pPr>
        <w:pStyle w:val="a1"/>
        <w:numPr>
          <w:ilvl w:val="0"/>
          <w:numId w:val="11"/>
        </w:numPr>
      </w:pPr>
      <w:bookmarkStart w:id="3" w:name="_Hlk139746847"/>
      <w:r w:rsidRPr="00C22C49">
        <w:rPr>
          <w:b/>
          <w:color w:val="auto"/>
        </w:rPr>
        <w:t>Вдосконалення законодавчих та нормативних рамок</w:t>
      </w:r>
      <w:r w:rsidR="002440F0" w:rsidRPr="00C22C49">
        <w:t>.</w:t>
      </w:r>
      <w:r w:rsidR="00C862CD" w:rsidRPr="00C22C49">
        <w:t xml:space="preserve"> </w:t>
      </w:r>
      <w:r w:rsidR="00C862CD" w:rsidRPr="00C22C49">
        <w:rPr>
          <w:color w:val="auto"/>
        </w:rPr>
        <w:t xml:space="preserve">На основі аналізу законодавства створенні пропозиції щодо </w:t>
      </w:r>
      <w:r w:rsidR="007052E2" w:rsidRPr="00C22C49">
        <w:rPr>
          <w:color w:val="auto"/>
        </w:rPr>
        <w:t>внесення змін до існуючих актів та розроблення нових, що відповідають європейському</w:t>
      </w:r>
      <w:r w:rsidR="00286CBC" w:rsidRPr="00C22C49">
        <w:rPr>
          <w:color w:val="auto"/>
        </w:rPr>
        <w:t xml:space="preserve"> законодавству.</w:t>
      </w:r>
    </w:p>
    <w:p w14:paraId="0896B54F" w14:textId="77777777" w:rsidR="00A932E9" w:rsidRPr="00C22C49" w:rsidRDefault="00A932E9" w:rsidP="003466DC">
      <w:pPr>
        <w:pStyle w:val="a1"/>
        <w:numPr>
          <w:ilvl w:val="2"/>
          <w:numId w:val="22"/>
        </w:numPr>
        <w:rPr>
          <w:color w:val="auto"/>
        </w:rPr>
      </w:pPr>
      <w:r w:rsidRPr="00C22C49">
        <w:rPr>
          <w:color w:val="auto"/>
        </w:rPr>
        <w:t xml:space="preserve">Розроблення системи нормативно-правових актів </w:t>
      </w:r>
    </w:p>
    <w:p w14:paraId="0896B550" w14:textId="77777777" w:rsidR="00A932E9" w:rsidRPr="00C22C49" w:rsidRDefault="00A932E9" w:rsidP="003466DC">
      <w:pPr>
        <w:pStyle w:val="a1"/>
        <w:numPr>
          <w:ilvl w:val="2"/>
          <w:numId w:val="22"/>
        </w:numPr>
        <w:rPr>
          <w:color w:val="auto"/>
        </w:rPr>
      </w:pPr>
      <w:r w:rsidRPr="00C22C49">
        <w:rPr>
          <w:color w:val="auto"/>
        </w:rPr>
        <w:t>Удосконалення дозвільно-ліцензійної системи;</w:t>
      </w:r>
    </w:p>
    <w:p w14:paraId="0896B551" w14:textId="77777777" w:rsidR="00A932E9" w:rsidRPr="00C22C49" w:rsidRDefault="00A932E9" w:rsidP="003466DC">
      <w:pPr>
        <w:pStyle w:val="a1"/>
        <w:numPr>
          <w:ilvl w:val="2"/>
          <w:numId w:val="22"/>
        </w:numPr>
        <w:rPr>
          <w:color w:val="auto"/>
        </w:rPr>
      </w:pPr>
      <w:r w:rsidRPr="00C22C49">
        <w:rPr>
          <w:color w:val="auto"/>
        </w:rPr>
        <w:t xml:space="preserve">Розроблення, удосконалення та впровадження технічних вимог та стандартів у сфері управління відходами (у тому числі на продукцію, </w:t>
      </w:r>
      <w:r w:rsidRPr="00C22C49">
        <w:rPr>
          <w:rStyle w:val="rynqvb"/>
          <w:rFonts w:eastAsiaTheme="majorEastAsia"/>
          <w:color w:val="auto"/>
        </w:rPr>
        <w:t>після використання як</w:t>
      </w:r>
      <w:r w:rsidRPr="00C22C49">
        <w:rPr>
          <w:rStyle w:val="rynqvb"/>
          <w:color w:val="auto"/>
        </w:rPr>
        <w:t>о</w:t>
      </w:r>
      <w:r w:rsidRPr="00C22C49">
        <w:rPr>
          <w:color w:val="auto"/>
        </w:rPr>
        <w:t xml:space="preserve">ї </w:t>
      </w:r>
      <w:r w:rsidRPr="00C22C49">
        <w:rPr>
          <w:rStyle w:val="rynqvb"/>
          <w:rFonts w:eastAsiaTheme="majorEastAsia"/>
          <w:color w:val="auto"/>
        </w:rPr>
        <w:t>утворюються відходи</w:t>
      </w:r>
      <w:r w:rsidRPr="00C22C49">
        <w:rPr>
          <w:rStyle w:val="rynqvb"/>
          <w:color w:val="auto"/>
        </w:rPr>
        <w:t>)</w:t>
      </w:r>
      <w:r w:rsidRPr="00C22C49">
        <w:rPr>
          <w:color w:val="auto"/>
        </w:rPr>
        <w:t xml:space="preserve"> </w:t>
      </w:r>
    </w:p>
    <w:p w14:paraId="0896B552" w14:textId="77777777" w:rsidR="00A932E9" w:rsidRPr="00C22C49" w:rsidRDefault="00A932E9" w:rsidP="003466DC">
      <w:pPr>
        <w:pStyle w:val="a1"/>
        <w:numPr>
          <w:ilvl w:val="2"/>
          <w:numId w:val="22"/>
        </w:numPr>
        <w:rPr>
          <w:color w:val="auto"/>
        </w:rPr>
      </w:pPr>
      <w:r w:rsidRPr="00C22C49">
        <w:rPr>
          <w:color w:val="auto"/>
        </w:rPr>
        <w:t>Створення необхідних умов для переходу на нову класифікацію відходів відповідно до європейської;</w:t>
      </w:r>
    </w:p>
    <w:p w14:paraId="0896B553" w14:textId="77777777" w:rsidR="00CA7050" w:rsidRPr="00C22C49" w:rsidRDefault="00CA7050" w:rsidP="003466DC">
      <w:pPr>
        <w:pStyle w:val="a1"/>
        <w:numPr>
          <w:ilvl w:val="2"/>
          <w:numId w:val="22"/>
        </w:numPr>
        <w:rPr>
          <w:color w:val="auto"/>
        </w:rPr>
      </w:pPr>
      <w:r w:rsidRPr="00C22C49">
        <w:rPr>
          <w:color w:val="auto"/>
        </w:rPr>
        <w:t xml:space="preserve">Створення </w:t>
      </w:r>
      <w:r w:rsidR="00B62298" w:rsidRPr="00C22C49">
        <w:rPr>
          <w:color w:val="auto"/>
        </w:rPr>
        <w:t>і</w:t>
      </w:r>
      <w:r w:rsidRPr="00C22C49">
        <w:rPr>
          <w:color w:val="auto"/>
        </w:rPr>
        <w:t>нтегрованої інформаційної системи щодо управління відходами, у тому числі ведення відповідних реєстрів;</w:t>
      </w:r>
    </w:p>
    <w:p w14:paraId="0896B554" w14:textId="77777777" w:rsidR="00CA7050" w:rsidRPr="00C22C49" w:rsidRDefault="00CA7050" w:rsidP="003466DC">
      <w:pPr>
        <w:pStyle w:val="a1"/>
        <w:numPr>
          <w:ilvl w:val="2"/>
          <w:numId w:val="22"/>
        </w:numPr>
        <w:rPr>
          <w:color w:val="auto"/>
        </w:rPr>
      </w:pPr>
      <w:r w:rsidRPr="00C22C49">
        <w:rPr>
          <w:color w:val="auto"/>
        </w:rPr>
        <w:t>Розроблення план</w:t>
      </w:r>
      <w:r w:rsidR="00B62298" w:rsidRPr="00C22C49">
        <w:rPr>
          <w:color w:val="auto"/>
        </w:rPr>
        <w:t>ів</w:t>
      </w:r>
      <w:r w:rsidRPr="00C22C49">
        <w:rPr>
          <w:color w:val="auto"/>
        </w:rPr>
        <w:t xml:space="preserve"> управління відходами, регіональному та місцевому рівнях, а також на рівні підприємств, організацій та установ;</w:t>
      </w:r>
    </w:p>
    <w:p w14:paraId="0896B555" w14:textId="77777777" w:rsidR="00CA7050" w:rsidRPr="00C22C49" w:rsidRDefault="00CA7050" w:rsidP="003466DC">
      <w:pPr>
        <w:pStyle w:val="a1"/>
        <w:numPr>
          <w:ilvl w:val="2"/>
          <w:numId w:val="22"/>
        </w:numPr>
        <w:rPr>
          <w:color w:val="auto"/>
        </w:rPr>
      </w:pPr>
      <w:r w:rsidRPr="00C22C49">
        <w:rPr>
          <w:color w:val="auto"/>
        </w:rPr>
        <w:t>Впровадження найкращих доступних методів, технологій управління відходами,</w:t>
      </w:r>
    </w:p>
    <w:p w14:paraId="0896B556" w14:textId="77777777" w:rsidR="00153C26" w:rsidRPr="00C22C49" w:rsidRDefault="00153C26" w:rsidP="003466DC">
      <w:pPr>
        <w:pStyle w:val="a1"/>
        <w:numPr>
          <w:ilvl w:val="0"/>
          <w:numId w:val="22"/>
        </w:numPr>
      </w:pPr>
      <w:r w:rsidRPr="00C22C49">
        <w:rPr>
          <w:b/>
          <w:color w:val="auto"/>
        </w:rPr>
        <w:t>Впровадження економічних та інших інструментів для досягнення цільових показників управління відходами.</w:t>
      </w:r>
      <w:r w:rsidRPr="00C22C49">
        <w:t xml:space="preserve"> </w:t>
      </w:r>
      <w:r w:rsidRPr="00C22C49">
        <w:rPr>
          <w:color w:val="auto"/>
        </w:rPr>
        <w:t>Встановлення механізму повного покриття витрат згідно з принципом «забруднювач платить» та принципом розширеної відповідальності виробника. Встановлення економічних стимулів для громад для досягнення цільових показників. Стимулювання запобігання та зведення до мінімуму утворення відходів, повторне використання, відновлення, у тому числи рециклінгу відходів;</w:t>
      </w:r>
    </w:p>
    <w:p w14:paraId="0896B557" w14:textId="77777777" w:rsidR="00CA7050" w:rsidRPr="00C22C49" w:rsidRDefault="001B5598" w:rsidP="00A57A16">
      <w:pPr>
        <w:pStyle w:val="a1"/>
        <w:rPr>
          <w:color w:val="auto"/>
        </w:rPr>
      </w:pPr>
      <w:r w:rsidRPr="00C22C49">
        <w:rPr>
          <w:b/>
          <w:color w:val="auto"/>
        </w:rPr>
        <w:t xml:space="preserve">Будівництва </w:t>
      </w:r>
      <w:r w:rsidR="004A5C3B" w:rsidRPr="00C22C49">
        <w:rPr>
          <w:b/>
          <w:color w:val="auto"/>
        </w:rPr>
        <w:t>інфраструктури</w:t>
      </w:r>
      <w:r w:rsidR="00F92293" w:rsidRPr="00C22C49">
        <w:rPr>
          <w:b/>
          <w:color w:val="auto"/>
        </w:rPr>
        <w:t xml:space="preserve"> </w:t>
      </w:r>
      <w:r w:rsidR="004A5C3B" w:rsidRPr="00C22C49">
        <w:rPr>
          <w:b/>
          <w:color w:val="auto"/>
        </w:rPr>
        <w:t xml:space="preserve">управління відходами </w:t>
      </w:r>
      <w:r w:rsidR="00F92293" w:rsidRPr="00C22C49">
        <w:rPr>
          <w:b/>
          <w:color w:val="auto"/>
        </w:rPr>
        <w:t>та впровадження інноваційних технологій</w:t>
      </w:r>
      <w:r w:rsidR="00900F6D" w:rsidRPr="00C22C49">
        <w:rPr>
          <w:color w:val="auto"/>
        </w:rPr>
        <w:t>.</w:t>
      </w:r>
      <w:r w:rsidR="00290363" w:rsidRPr="00C22C49">
        <w:rPr>
          <w:color w:val="auto"/>
        </w:rPr>
        <w:t xml:space="preserve"> </w:t>
      </w:r>
      <w:r w:rsidR="00286CBC" w:rsidRPr="00C22C49">
        <w:rPr>
          <w:color w:val="auto"/>
        </w:rPr>
        <w:t xml:space="preserve">Запропоновано </w:t>
      </w:r>
      <w:r w:rsidR="004C45F1" w:rsidRPr="00C22C49">
        <w:rPr>
          <w:color w:val="auto"/>
        </w:rPr>
        <w:t>для кожного потоку відходів з</w:t>
      </w:r>
      <w:r w:rsidR="00286CBC" w:rsidRPr="00C22C49">
        <w:rPr>
          <w:color w:val="auto"/>
        </w:rPr>
        <w:t xml:space="preserve">аходи із управління відходами </w:t>
      </w:r>
      <w:r w:rsidR="00353AD6" w:rsidRPr="00C22C49">
        <w:rPr>
          <w:color w:val="auto"/>
        </w:rPr>
        <w:t>згідно із п’ятиетапною ієрархією відходів.</w:t>
      </w:r>
      <w:r w:rsidR="00CA7050" w:rsidRPr="00C22C49">
        <w:rPr>
          <w:color w:val="auto"/>
        </w:rPr>
        <w:t xml:space="preserve"> Створення інфраструктури відновлення та видалення побутових відходів на основі регіонального (кластерного) підходу;</w:t>
      </w:r>
    </w:p>
    <w:p w14:paraId="0896B558" w14:textId="77777777" w:rsidR="00791F81" w:rsidRPr="00C22C49" w:rsidRDefault="002440F0" w:rsidP="00604886">
      <w:pPr>
        <w:pStyle w:val="a1"/>
      </w:pPr>
      <w:r w:rsidRPr="00C22C49">
        <w:rPr>
          <w:b/>
          <w:color w:val="auto"/>
        </w:rPr>
        <w:t>Підвищення обізнаності про управління відходами серед населення</w:t>
      </w:r>
      <w:r w:rsidRPr="00C22C49">
        <w:t>.</w:t>
      </w:r>
    </w:p>
    <w:p w14:paraId="0896B559" w14:textId="77777777" w:rsidR="008A7E5F" w:rsidRPr="00C22C49" w:rsidRDefault="008A7E5F" w:rsidP="00604886">
      <w:pPr>
        <w:pStyle w:val="a1"/>
        <w:rPr>
          <w:color w:val="auto"/>
        </w:rPr>
      </w:pPr>
      <w:r w:rsidRPr="00C22C49">
        <w:rPr>
          <w:b/>
          <w:color w:val="auto"/>
        </w:rPr>
        <w:t>Здійснення постійного моніторингу та оцінювання ефективності Плану</w:t>
      </w:r>
      <w:r w:rsidR="002440F0" w:rsidRPr="00C22C49">
        <w:rPr>
          <w:b/>
          <w:color w:val="auto"/>
        </w:rPr>
        <w:t>.</w:t>
      </w:r>
      <w:r w:rsidR="00900F6D" w:rsidRPr="00C22C49">
        <w:t xml:space="preserve"> </w:t>
      </w:r>
      <w:r w:rsidR="00900F6D" w:rsidRPr="00C22C49">
        <w:rPr>
          <w:color w:val="auto"/>
        </w:rPr>
        <w:t>Розроблено індикатори виконання плану</w:t>
      </w:r>
      <w:r w:rsidR="00D90062" w:rsidRPr="00C22C49">
        <w:rPr>
          <w:color w:val="auto"/>
        </w:rPr>
        <w:t>.</w:t>
      </w:r>
    </w:p>
    <w:p w14:paraId="0896B55A" w14:textId="77777777" w:rsidR="0067014B" w:rsidRPr="00C22C49" w:rsidRDefault="0067014B" w:rsidP="0067014B">
      <w:pPr>
        <w:pStyle w:val="a1"/>
        <w:numPr>
          <w:ilvl w:val="0"/>
          <w:numId w:val="0"/>
        </w:numPr>
        <w:ind w:left="644" w:hanging="360"/>
        <w:rPr>
          <w:color w:val="auto"/>
        </w:rPr>
      </w:pPr>
    </w:p>
    <w:p w14:paraId="0896B55B" w14:textId="77777777" w:rsidR="00F61B44" w:rsidRPr="00C22C49" w:rsidRDefault="00F61B44" w:rsidP="00F61B44">
      <w:pPr>
        <w:pStyle w:val="REDBoldonly"/>
      </w:pPr>
      <w:r w:rsidRPr="00C22C49">
        <w:t>Цільові показники Національного плану управління відходами</w:t>
      </w:r>
    </w:p>
    <w:p w14:paraId="0896B55C" w14:textId="77777777" w:rsidR="00F61B44" w:rsidRPr="00C22C49" w:rsidRDefault="00F61B44" w:rsidP="00F61B44">
      <w:r w:rsidRPr="00C22C49">
        <w:t>Визначення цільових показників та пріоритетів у НПУВ та відповідних заходів у Плані дій було здійснено на основі аналізу існуючого стану управління відходами та виявлених проблем у цій сфері. Для кожного із запланованих заходів визначено відповідальні установи та індикативні фінансові кошти для забезпечення реалізації плану у період 2024-2034 р.</w:t>
      </w:r>
    </w:p>
    <w:p w14:paraId="0896B55D" w14:textId="77777777" w:rsidR="00F61B44" w:rsidRPr="00C22C49" w:rsidRDefault="00F61B44" w:rsidP="00F61B44">
      <w:r w:rsidRPr="00C22C49">
        <w:t>Нижче наведено кількісні цільові показники, терміни досягнення яких, наскільки це можливо, відповідають діючому законодавству, стратегічним цілям та обмеженням Плану:</w:t>
      </w:r>
    </w:p>
    <w:p w14:paraId="0896B55E" w14:textId="77777777" w:rsidR="00F61B44" w:rsidRPr="00C22C49" w:rsidRDefault="00F61B44" w:rsidP="00F61B44">
      <w:pPr>
        <w:pStyle w:val="BulletRED"/>
        <w:ind w:left="924" w:hanging="357"/>
      </w:pPr>
      <w:r w:rsidRPr="00C22C49">
        <w:t>Збільшити рівень підготовки до повторного використання та рециклінгу побутових відходів не менше 10 % їх маси до 2025 року, 20 % – до 2030 року, 25 % – до 2035 року, 35 % – до 2040 року.</w:t>
      </w:r>
    </w:p>
    <w:p w14:paraId="0896B55F" w14:textId="2A4FEB08" w:rsidR="00F61B44" w:rsidRPr="00B6506F" w:rsidRDefault="00F61B44" w:rsidP="00F61B44">
      <w:pPr>
        <w:pStyle w:val="BulletRED"/>
        <w:ind w:left="924" w:hanging="357"/>
      </w:pPr>
      <w:r w:rsidRPr="00C22C49">
        <w:t xml:space="preserve">Збільшити </w:t>
      </w:r>
      <w:r w:rsidRPr="00B6506F">
        <w:t>охоплення послугами з управління побутовими відходами до 98% міського та 95% сільського населення до 203</w:t>
      </w:r>
      <w:r w:rsidR="00C96E2F" w:rsidRPr="00B6506F">
        <w:rPr>
          <w:lang w:val="en-US"/>
        </w:rPr>
        <w:t>3</w:t>
      </w:r>
      <w:r w:rsidRPr="00B6506F">
        <w:t xml:space="preserve"> року;</w:t>
      </w:r>
    </w:p>
    <w:p w14:paraId="0896B560" w14:textId="6301E194" w:rsidR="00F61B44" w:rsidRPr="00B6506F" w:rsidRDefault="00F61B44" w:rsidP="00F61B44">
      <w:pPr>
        <w:pStyle w:val="BulletRED"/>
        <w:ind w:left="924" w:hanging="357"/>
      </w:pPr>
      <w:r w:rsidRPr="00B6506F">
        <w:t>Впровадити системи роздільного збирання відходів, що підлягають рециклінгу, для охоплення 100% населення великих міст; 95% міського населення та 70% сільського населення до 203</w:t>
      </w:r>
      <w:r w:rsidR="00C96E2F" w:rsidRPr="00B6506F">
        <w:rPr>
          <w:lang w:val="en-US"/>
        </w:rPr>
        <w:t>3</w:t>
      </w:r>
      <w:r w:rsidRPr="00B6506F">
        <w:t xml:space="preserve"> року;</w:t>
      </w:r>
    </w:p>
    <w:p w14:paraId="0896B561" w14:textId="7511F7EA" w:rsidR="00F61B44" w:rsidRPr="00B6506F" w:rsidRDefault="00F61B44" w:rsidP="00F61B44">
      <w:pPr>
        <w:pStyle w:val="BulletRED"/>
        <w:ind w:left="924" w:hanging="357"/>
      </w:pPr>
      <w:r w:rsidRPr="00B6506F">
        <w:t xml:space="preserve">Організувати схему </w:t>
      </w:r>
      <w:r w:rsidR="00AE0FC7">
        <w:t>р</w:t>
      </w:r>
      <w:r w:rsidR="00AE0FC7" w:rsidRPr="00AE0FC7">
        <w:t>озширен</w:t>
      </w:r>
      <w:r w:rsidR="00AE0FC7">
        <w:t>ої</w:t>
      </w:r>
      <w:r w:rsidR="00AE0FC7" w:rsidRPr="00AE0FC7">
        <w:t xml:space="preserve"> відповідальн</w:t>
      </w:r>
      <w:r w:rsidR="00AE0FC7">
        <w:t>о</w:t>
      </w:r>
      <w:r w:rsidR="00AE0FC7" w:rsidRPr="00AE0FC7">
        <w:t xml:space="preserve">сть виробника </w:t>
      </w:r>
      <w:r w:rsidR="00AE0FC7">
        <w:t>(</w:t>
      </w:r>
      <w:r w:rsidRPr="00B6506F">
        <w:t>РВВ</w:t>
      </w:r>
      <w:r w:rsidR="00AE0FC7">
        <w:t>)</w:t>
      </w:r>
      <w:r w:rsidRPr="00B6506F">
        <w:t xml:space="preserve"> для відходів упаковки, загальний рівень </w:t>
      </w:r>
      <w:r w:rsidR="00627DF3" w:rsidRPr="00B6506F">
        <w:t>рециклінгу</w:t>
      </w:r>
      <w:r w:rsidRPr="00B6506F">
        <w:t xml:space="preserve"> яких має становити 4</w:t>
      </w:r>
      <w:r w:rsidR="00283F56" w:rsidRPr="00B6506F">
        <w:t>5</w:t>
      </w:r>
      <w:r w:rsidRPr="00B6506F">
        <w:t>%</w:t>
      </w:r>
      <w:r w:rsidR="0035503E" w:rsidRPr="00B6506F">
        <w:t xml:space="preserve"> на 5-й рік в</w:t>
      </w:r>
      <w:r w:rsidR="000674DA" w:rsidRPr="00B6506F">
        <w:t>ведення в дію відповідного закону (орієнтовно 2030р.)</w:t>
      </w:r>
      <w:r w:rsidRPr="00B6506F">
        <w:t>;</w:t>
      </w:r>
      <w:r w:rsidR="00E3620F" w:rsidRPr="00B6506F">
        <w:t xml:space="preserve"> </w:t>
      </w:r>
      <w:r w:rsidR="001E5228" w:rsidRPr="00B6506F">
        <w:t>60</w:t>
      </w:r>
      <w:r w:rsidRPr="00B6506F">
        <w:t>% -</w:t>
      </w:r>
      <w:r w:rsidR="00E3620F" w:rsidRPr="00B6506F">
        <w:t xml:space="preserve"> на </w:t>
      </w:r>
      <w:r w:rsidR="001E5228" w:rsidRPr="00B6506F">
        <w:t>9</w:t>
      </w:r>
      <w:r w:rsidR="00E3620F" w:rsidRPr="00B6506F">
        <w:t>-й рік (орієнтовно</w:t>
      </w:r>
      <w:r w:rsidRPr="00B6506F">
        <w:t xml:space="preserve"> </w:t>
      </w:r>
      <w:r w:rsidR="00E3620F" w:rsidRPr="00B6506F">
        <w:t xml:space="preserve">до 2033, </w:t>
      </w:r>
      <w:r w:rsidRPr="00B6506F">
        <w:t>залежить від фінальної редакції ЗУ «Про відходи упаковки»</w:t>
      </w:r>
      <w:r w:rsidR="00E3620F" w:rsidRPr="00B6506F">
        <w:t>)</w:t>
      </w:r>
      <w:r w:rsidRPr="00B6506F">
        <w:t>.</w:t>
      </w:r>
    </w:p>
    <w:p w14:paraId="0896B562" w14:textId="7C53AACC" w:rsidR="00F61B44" w:rsidRPr="00B6506F" w:rsidRDefault="00F61B44" w:rsidP="00F61B44">
      <w:pPr>
        <w:pStyle w:val="BulletRED"/>
        <w:ind w:left="924" w:hanging="357"/>
      </w:pPr>
      <w:r w:rsidRPr="00B6506F">
        <w:t xml:space="preserve">Організувати компостування зелених відходів з громадських парків та садів </w:t>
      </w:r>
      <w:r w:rsidR="000F53C5" w:rsidRPr="00B6506F">
        <w:t xml:space="preserve">до 2030 року </w:t>
      </w:r>
      <w:r w:rsidRPr="00B6506F">
        <w:t>для всіх населених пунктів з населенням понад 100 000 мешканців</w:t>
      </w:r>
      <w:r w:rsidR="000F53C5" w:rsidRPr="00B6506F">
        <w:t xml:space="preserve"> та для інших населених пунктів – за бажанням</w:t>
      </w:r>
      <w:r w:rsidRPr="00B6506F">
        <w:t>;</w:t>
      </w:r>
    </w:p>
    <w:p w14:paraId="0896B563" w14:textId="7B821D11" w:rsidR="00F61B44" w:rsidRPr="00C22C49" w:rsidRDefault="00F61B44" w:rsidP="00F61B44">
      <w:pPr>
        <w:pStyle w:val="BulletRED"/>
        <w:ind w:left="924" w:hanging="357"/>
      </w:pPr>
      <w:r w:rsidRPr="00C22C49">
        <w:t xml:space="preserve">Зменшення </w:t>
      </w:r>
      <w:r w:rsidRPr="004B0018">
        <w:t>частки відходів, що біологічно розкладаються, що підлягають видаленню на полігони до 50% у 203</w:t>
      </w:r>
      <w:r w:rsidR="004B0018" w:rsidRPr="004B0018">
        <w:t>3</w:t>
      </w:r>
      <w:r w:rsidRPr="004B0018">
        <w:t xml:space="preserve"> року</w:t>
      </w:r>
      <w:r w:rsidR="004B0018" w:rsidRPr="004B0018">
        <w:t>.</w:t>
      </w:r>
      <w:r w:rsidRPr="004B0018">
        <w:t xml:space="preserve"> </w:t>
      </w:r>
    </w:p>
    <w:p w14:paraId="0896B564" w14:textId="7284BF0D" w:rsidR="00F61B44" w:rsidRPr="00C22C49" w:rsidRDefault="00F61B44" w:rsidP="00F61B44">
      <w:pPr>
        <w:pStyle w:val="BulletRED"/>
        <w:ind w:left="924" w:hanging="357"/>
      </w:pPr>
      <w:r w:rsidRPr="00C22C49">
        <w:t xml:space="preserve">Створити загальнонаціональну мережу регіональних полігонів для видалення </w:t>
      </w:r>
      <w:r w:rsidRPr="00B6506F">
        <w:t>побутових відходів до 203</w:t>
      </w:r>
      <w:r w:rsidR="00B6506F" w:rsidRPr="00B6506F">
        <w:t>3</w:t>
      </w:r>
      <w:r w:rsidRPr="00B6506F">
        <w:t xml:space="preserve"> року. Попередній аналіз показує, що для покриття території України необхідно 1</w:t>
      </w:r>
      <w:r w:rsidR="00D7043B" w:rsidRPr="00B6506F">
        <w:t>46</w:t>
      </w:r>
      <w:r w:rsidRPr="00B6506F">
        <w:t xml:space="preserve"> полігон</w:t>
      </w:r>
      <w:r w:rsidR="00D7043B" w:rsidRPr="00B6506F">
        <w:t>ів</w:t>
      </w:r>
      <w:r w:rsidRPr="00B6506F">
        <w:t>;</w:t>
      </w:r>
    </w:p>
    <w:p w14:paraId="0896B565" w14:textId="24AA7C5E" w:rsidR="00F61B44" w:rsidRPr="00C22C49" w:rsidRDefault="00F61B44" w:rsidP="00F61B44">
      <w:pPr>
        <w:pStyle w:val="BulletRED"/>
      </w:pPr>
      <w:r w:rsidRPr="00C22C49">
        <w:t xml:space="preserve">Збільшення підготовки до повторного використання, рециклінгу та іншого відновлення матеріалів, відходів будівництва та знесення, що не є небезпечними щонайменше до </w:t>
      </w:r>
      <w:r w:rsidRPr="00C22C49">
        <w:rPr>
          <w:b/>
          <w:bCs/>
        </w:rPr>
        <w:t>70% за масою до 203</w:t>
      </w:r>
      <w:r w:rsidR="009C0E16" w:rsidRPr="00C22C49">
        <w:rPr>
          <w:b/>
          <w:bCs/>
        </w:rPr>
        <w:t>3</w:t>
      </w:r>
      <w:r w:rsidRPr="00C22C49">
        <w:rPr>
          <w:b/>
          <w:bCs/>
        </w:rPr>
        <w:t xml:space="preserve"> р.</w:t>
      </w:r>
    </w:p>
    <w:p w14:paraId="0896B566" w14:textId="77777777" w:rsidR="0067014B" w:rsidRPr="00C22C49" w:rsidRDefault="0067014B" w:rsidP="0067014B">
      <w:pPr>
        <w:pStyle w:val="a1"/>
        <w:numPr>
          <w:ilvl w:val="0"/>
          <w:numId w:val="0"/>
        </w:numPr>
        <w:ind w:left="644" w:hanging="360"/>
        <w:rPr>
          <w:color w:val="auto"/>
        </w:rPr>
      </w:pPr>
    </w:p>
    <w:bookmarkEnd w:id="3"/>
    <w:p w14:paraId="0896B567" w14:textId="77777777" w:rsidR="00537D6F" w:rsidRPr="00C22C49" w:rsidRDefault="00EA0BE3" w:rsidP="008926A3">
      <w:pPr>
        <w:pStyle w:val="REDBoldonly"/>
      </w:pPr>
      <w:r w:rsidRPr="00C22C49">
        <w:t>Результати реалізації НПУВ</w:t>
      </w:r>
    </w:p>
    <w:p w14:paraId="0896B568" w14:textId="77777777" w:rsidR="00F37F5A" w:rsidRPr="00C22C49" w:rsidRDefault="00F37F5A" w:rsidP="009E11A3">
      <w:r w:rsidRPr="00C22C49">
        <w:t>Результати реалізації НПУВ</w:t>
      </w:r>
      <w:r w:rsidR="0058773D" w:rsidRPr="00C22C49">
        <w:t>:</w:t>
      </w:r>
    </w:p>
    <w:p w14:paraId="0896B569" w14:textId="77777777" w:rsidR="00D873D4" w:rsidRPr="00C22C49" w:rsidRDefault="00AB14F1" w:rsidP="003466DC">
      <w:pPr>
        <w:pStyle w:val="a7"/>
        <w:numPr>
          <w:ilvl w:val="0"/>
          <w:numId w:val="18"/>
        </w:numPr>
      </w:pPr>
      <w:r w:rsidRPr="00C22C49">
        <w:rPr>
          <w:b/>
        </w:rPr>
        <w:t>Покращення стану довкілля та здоров'я людей.</w:t>
      </w:r>
      <w:r w:rsidRPr="00C22C49">
        <w:t xml:space="preserve"> </w:t>
      </w:r>
      <w:r w:rsidR="00D873D4" w:rsidRPr="00C22C49">
        <w:t xml:space="preserve">НПУВ покликаний стати ключовим інструментом у досягненні </w:t>
      </w:r>
      <w:r w:rsidR="00A23254" w:rsidRPr="00C22C49">
        <w:t>комплексного</w:t>
      </w:r>
      <w:r w:rsidR="00D873D4" w:rsidRPr="00C22C49">
        <w:t xml:space="preserve"> управління відходами</w:t>
      </w:r>
      <w:r w:rsidR="00A23254" w:rsidRPr="00C22C49">
        <w:t>, щ</w:t>
      </w:r>
      <w:r w:rsidR="00D873D4" w:rsidRPr="00C22C49">
        <w:t>о передбачає зменшення негативного впливу на навколишнє природне середовище, захист здоров’я населення та збереження ресурсів.</w:t>
      </w:r>
    </w:p>
    <w:p w14:paraId="0896B56A" w14:textId="77777777" w:rsidR="00D873D4" w:rsidRPr="00C22C49" w:rsidRDefault="009E11A3" w:rsidP="003466DC">
      <w:pPr>
        <w:pStyle w:val="a7"/>
        <w:numPr>
          <w:ilvl w:val="0"/>
          <w:numId w:val="18"/>
        </w:numPr>
      </w:pPr>
      <w:r w:rsidRPr="00C22C49">
        <w:rPr>
          <w:b/>
        </w:rPr>
        <w:t>С</w:t>
      </w:r>
      <w:r w:rsidR="00D873D4" w:rsidRPr="00C22C49">
        <w:rPr>
          <w:b/>
        </w:rPr>
        <w:t>прия</w:t>
      </w:r>
      <w:r w:rsidRPr="00C22C49">
        <w:rPr>
          <w:b/>
        </w:rPr>
        <w:t>ння</w:t>
      </w:r>
      <w:r w:rsidR="00D873D4" w:rsidRPr="00C22C49">
        <w:rPr>
          <w:b/>
        </w:rPr>
        <w:t xml:space="preserve"> реалізації державної політики</w:t>
      </w:r>
      <w:r w:rsidR="00D873D4" w:rsidRPr="00C22C49">
        <w:t xml:space="preserve"> </w:t>
      </w:r>
      <w:r w:rsidR="00D873D4" w:rsidRPr="00C22C49">
        <w:rPr>
          <w:b/>
        </w:rPr>
        <w:t>у сфері управління відходами</w:t>
      </w:r>
      <w:r w:rsidR="00D873D4" w:rsidRPr="00C22C49">
        <w:t xml:space="preserve"> на національному рівні та виконанню Угоди про Асоціації з Європейським Союзом. </w:t>
      </w:r>
    </w:p>
    <w:p w14:paraId="0896B56B" w14:textId="77777777" w:rsidR="00FD7584" w:rsidRPr="00C22C49" w:rsidRDefault="009E11A3" w:rsidP="003466DC">
      <w:pPr>
        <w:pStyle w:val="a7"/>
        <w:numPr>
          <w:ilvl w:val="0"/>
          <w:numId w:val="18"/>
        </w:numPr>
      </w:pPr>
      <w:r w:rsidRPr="00C22C49">
        <w:t>С</w:t>
      </w:r>
      <w:r w:rsidR="001F1BE9" w:rsidRPr="00C22C49">
        <w:t>твор</w:t>
      </w:r>
      <w:r w:rsidRPr="00C22C49">
        <w:t>ення</w:t>
      </w:r>
      <w:r w:rsidR="001F1BE9" w:rsidRPr="00C22C49">
        <w:t xml:space="preserve"> передумов для ф</w:t>
      </w:r>
      <w:r w:rsidR="00FD7584" w:rsidRPr="00C22C49">
        <w:t>інансування та залучення інвестицій у сектор управління відходами</w:t>
      </w:r>
      <w:r w:rsidR="001F1BE9" w:rsidRPr="00C22C49">
        <w:t>.</w:t>
      </w:r>
      <w:r w:rsidR="00C52E60" w:rsidRPr="00C22C49">
        <w:t xml:space="preserve"> </w:t>
      </w:r>
    </w:p>
    <w:p w14:paraId="0896B56C" w14:textId="77777777" w:rsidR="00B906D5" w:rsidRPr="00C22C49" w:rsidRDefault="00B906D5" w:rsidP="003466DC">
      <w:pPr>
        <w:pStyle w:val="a7"/>
        <w:numPr>
          <w:ilvl w:val="0"/>
          <w:numId w:val="18"/>
        </w:numPr>
      </w:pPr>
      <w:r w:rsidRPr="00C22C49">
        <w:rPr>
          <w:b/>
        </w:rPr>
        <w:t>Ефективне використання ресурсів</w:t>
      </w:r>
      <w:r w:rsidRPr="00C22C49">
        <w:t>. Зменшення обсягів відходів, підвищення рівнів повторного використання та рециклінгу, що сприяє циркулярній економіці та сталому використанню ресурсів.</w:t>
      </w:r>
    </w:p>
    <w:p w14:paraId="0896B56D" w14:textId="77777777" w:rsidR="00642626" w:rsidRPr="00C22C49" w:rsidRDefault="00642626" w:rsidP="003466DC">
      <w:pPr>
        <w:pStyle w:val="a7"/>
        <w:numPr>
          <w:ilvl w:val="0"/>
          <w:numId w:val="18"/>
        </w:numPr>
      </w:pPr>
      <w:r w:rsidRPr="00C22C49">
        <w:rPr>
          <w:b/>
        </w:rPr>
        <w:t>Створення нових робочих місць та сприяння економічному зростанню</w:t>
      </w:r>
      <w:r w:rsidRPr="00C22C49">
        <w:t>. Розвиток сектора управління відходами може створити нові робочі місця, сприяти економічному зростанню і забезпечити додаткові джерела прибутку.</w:t>
      </w:r>
    </w:p>
    <w:p w14:paraId="0896B56E" w14:textId="77777777" w:rsidR="00FD7584" w:rsidRPr="00C22C49" w:rsidRDefault="00FD7584" w:rsidP="003466DC">
      <w:pPr>
        <w:pStyle w:val="a7"/>
        <w:numPr>
          <w:ilvl w:val="0"/>
          <w:numId w:val="18"/>
        </w:numPr>
      </w:pPr>
      <w:r w:rsidRPr="00C22C49">
        <w:rPr>
          <w:b/>
        </w:rPr>
        <w:t>Забезпечення основи для стратегічного планування управління відходами в Україні</w:t>
      </w:r>
      <w:r w:rsidRPr="00C22C49">
        <w:t xml:space="preserve"> на регіональному та місцевому рівнях, а також на рівні підприємств, організацій та установ.</w:t>
      </w:r>
    </w:p>
    <w:p w14:paraId="0896B56F" w14:textId="77777777" w:rsidR="007E562C" w:rsidRPr="00C22C49" w:rsidRDefault="007E562C" w:rsidP="003466DC">
      <w:pPr>
        <w:pStyle w:val="a7"/>
        <w:numPr>
          <w:ilvl w:val="0"/>
          <w:numId w:val="18"/>
        </w:numPr>
      </w:pPr>
      <w:r w:rsidRPr="00C22C49">
        <w:rPr>
          <w:b/>
        </w:rPr>
        <w:t>Покращення системи моніторингу та контролю за управлінням відходами</w:t>
      </w:r>
      <w:r w:rsidRPr="00C22C49">
        <w:t>.</w:t>
      </w:r>
    </w:p>
    <w:p w14:paraId="0896B570" w14:textId="77777777" w:rsidR="00C857C7" w:rsidRPr="00C22C49" w:rsidRDefault="007C74D8" w:rsidP="00F37F5A">
      <w:pPr>
        <w:pStyle w:val="REDBoldonly"/>
      </w:pPr>
      <w:r w:rsidRPr="00C22C49">
        <w:t>Джерела даних для НПУВ</w:t>
      </w:r>
    </w:p>
    <w:p w14:paraId="0896B571" w14:textId="77777777" w:rsidR="00CD51BE" w:rsidRPr="00C22C49" w:rsidRDefault="0096400B" w:rsidP="0096400B">
      <w:r w:rsidRPr="00C22C49">
        <w:t>Національний план управління відходами розробляється на основі даних, отриманих у результаті статистичних спостережень, адміністративних даних центральних та місцевих органів виконавчої влади, органів місцевого самоврядування, а також даних обліку та звітності, наданих підприємствами, установами, організаціями.</w:t>
      </w:r>
    </w:p>
    <w:p w14:paraId="0896B572" w14:textId="77777777" w:rsidR="005D6AE0" w:rsidRPr="00C22C49" w:rsidRDefault="007C74D8" w:rsidP="0035085B">
      <w:pPr>
        <w:pStyle w:val="REDBoldonly"/>
      </w:pPr>
      <w:r w:rsidRPr="00C22C49">
        <w:t>Обм</w:t>
      </w:r>
      <w:r w:rsidR="00732B64" w:rsidRPr="00C22C49">
        <w:t>еження, які виникли при розроблені НПУВ</w:t>
      </w:r>
    </w:p>
    <w:p w14:paraId="0896B573" w14:textId="77777777" w:rsidR="008D5FBE" w:rsidRPr="00C22C49" w:rsidRDefault="008D5FBE" w:rsidP="008D5FBE">
      <w:bookmarkStart w:id="4" w:name="_Toc64892580"/>
      <w:r w:rsidRPr="00C22C49">
        <w:rPr>
          <w:b/>
          <w:bCs/>
        </w:rPr>
        <w:t>Відсутність нормативно</w:t>
      </w:r>
      <w:r w:rsidR="006E42B9" w:rsidRPr="00C22C49">
        <w:rPr>
          <w:b/>
          <w:bCs/>
        </w:rPr>
        <w:t>-</w:t>
      </w:r>
      <w:r w:rsidRPr="00C22C49">
        <w:rPr>
          <w:b/>
          <w:bCs/>
        </w:rPr>
        <w:t xml:space="preserve"> правов</w:t>
      </w:r>
      <w:r w:rsidR="006E42B9" w:rsidRPr="00C22C49">
        <w:rPr>
          <w:b/>
          <w:bCs/>
        </w:rPr>
        <w:t>ої</w:t>
      </w:r>
      <w:r w:rsidRPr="00C22C49">
        <w:rPr>
          <w:b/>
          <w:bCs/>
        </w:rPr>
        <w:t xml:space="preserve"> баз</w:t>
      </w:r>
      <w:r w:rsidR="006E42B9" w:rsidRPr="00C22C49">
        <w:rPr>
          <w:b/>
          <w:bCs/>
        </w:rPr>
        <w:t>и</w:t>
      </w:r>
      <w:r w:rsidRPr="00C22C49">
        <w:rPr>
          <w:b/>
          <w:bCs/>
        </w:rPr>
        <w:t xml:space="preserve"> </w:t>
      </w:r>
      <w:r w:rsidR="006E42B9" w:rsidRPr="00C22C49">
        <w:rPr>
          <w:b/>
          <w:bCs/>
        </w:rPr>
        <w:t xml:space="preserve">для </w:t>
      </w:r>
      <w:r w:rsidRPr="00C22C49">
        <w:rPr>
          <w:b/>
          <w:bCs/>
        </w:rPr>
        <w:t xml:space="preserve">принятого </w:t>
      </w:r>
      <w:r w:rsidR="006E42B9" w:rsidRPr="00C22C49">
        <w:rPr>
          <w:b/>
          <w:bCs/>
        </w:rPr>
        <w:t>рамкового за</w:t>
      </w:r>
      <w:r w:rsidRPr="00C22C49">
        <w:rPr>
          <w:b/>
          <w:bCs/>
        </w:rPr>
        <w:t>кон</w:t>
      </w:r>
      <w:r w:rsidR="006E42B9" w:rsidRPr="00C22C49">
        <w:rPr>
          <w:b/>
          <w:bCs/>
        </w:rPr>
        <w:t xml:space="preserve">у «Про управління відходами». </w:t>
      </w:r>
      <w:r w:rsidRPr="00C22C49">
        <w:t xml:space="preserve">Планування здійснювалось «на зламі» двох законів, які регулюють питання відходів, тобто ЗУ «Про відходи», який діяв останні десятиріччя втратив свою дію разом, а новий закон «Про управління відходами» лише набирав чинності, відповідно </w:t>
      </w:r>
      <w:r w:rsidR="006E42B9" w:rsidRPr="00C22C49">
        <w:t>НПА</w:t>
      </w:r>
      <w:r w:rsidRPr="00C22C49">
        <w:t xml:space="preserve"> теж перебували на громадському обговоренні, що не дало можливість оцінити нове законодавство. У цьому документі аналіз законодавства у розділі «поточний стан» та вживання термінології здійснено на основі «старого» законодавства, тобто того, що діяло в момент утворення відходів до поточного періоду.</w:t>
      </w:r>
      <w:r w:rsidR="006E42B9" w:rsidRPr="00C22C49">
        <w:t xml:space="preserve"> </w:t>
      </w:r>
      <w:r w:rsidRPr="00C22C49">
        <w:t xml:space="preserve">Обмеження для планування становила </w:t>
      </w:r>
      <w:r w:rsidRPr="00C22C49">
        <w:rPr>
          <w:b/>
          <w:bCs/>
        </w:rPr>
        <w:t>відсутність ухвалених підзаконних нормативних актів</w:t>
      </w:r>
      <w:r w:rsidRPr="00C22C49">
        <w:t xml:space="preserve"> до ЗУ «Про управління відходами» </w:t>
      </w:r>
      <w:r w:rsidRPr="00C22C49">
        <w:rPr>
          <w:b/>
          <w:bCs/>
        </w:rPr>
        <w:t>та секторальних законів</w:t>
      </w:r>
      <w:r w:rsidRPr="00C22C49">
        <w:t xml:space="preserve"> (перебування проєктів на доопрацюванні). У зв’язку з чим майбутнє планування здійснювалось на основі ЗУ «Про управління відходами» та згідно з європейськими правилами та нормами. Пропонується після прийняття підзаконних нормативних актів та секторальних законів внести відповідні зміни у НПУВ.</w:t>
      </w:r>
    </w:p>
    <w:p w14:paraId="0896B574" w14:textId="77777777" w:rsidR="00CA0748" w:rsidRPr="00C22C49" w:rsidRDefault="00CA0748" w:rsidP="00CA0748">
      <w:r w:rsidRPr="00C22C49">
        <w:t xml:space="preserve">У зв’язку із воєнним станом </w:t>
      </w:r>
      <w:r w:rsidRPr="00C22C49">
        <w:rPr>
          <w:b/>
          <w:bCs/>
        </w:rPr>
        <w:t>статистичні дані за останні два роки є неповними</w:t>
      </w:r>
      <w:r w:rsidRPr="00C22C49">
        <w:t xml:space="preserve">, тому цим було </w:t>
      </w:r>
      <w:r w:rsidRPr="00C22C49">
        <w:rPr>
          <w:b/>
          <w:bCs/>
        </w:rPr>
        <w:t>здійснено екстраполяцію даних на 2021 та 2022 роки</w:t>
      </w:r>
      <w:r w:rsidRPr="00C22C49">
        <w:t xml:space="preserve"> щодо утворення потоків відходів. Кількість фактичного населення по областях невідоме через постійну внутрішню та зовнішню міграцію, перебування частини території під окупацією та у зонні бойових дій, відсутність даних щодо руйнування інфраструктури УВ, тому планування інфраструктури управління побутовими відходами здійснено на національному рівні на основі власних розрахунків прогнозів чисельності населення, для актуалізації даних після створення регіональних планів управління відходами пропонується коригування та уточнення НПУВ.</w:t>
      </w:r>
    </w:p>
    <w:p w14:paraId="0896B575" w14:textId="18D0CECA" w:rsidR="00CA0748" w:rsidRPr="00C22C49" w:rsidRDefault="00CA0748" w:rsidP="00CA0748">
      <w:r w:rsidRPr="00C22C49">
        <w:rPr>
          <w:b/>
          <w:bCs/>
        </w:rPr>
        <w:t>Відсутність закріплених у законах цільових показників управління відходами</w:t>
      </w:r>
      <w:r w:rsidRPr="00C22C49">
        <w:t>, які відповідають європейським цільовим показникам. Для встановлення цільових показників, які відсутні у законах та проєктах законів був використаний наступний підхід. Цільові показники щодо повторного використання та рециклінгу побутових відходів були взяті із чинного нового ЗУ «Про управління відходами», на решту цільових показників, на які відсутнє законодавство були взяті цільові показники із проєктів законів, розроблених на момент складання плану (відходи упаковки,</w:t>
      </w:r>
      <w:r w:rsidR="00502629">
        <w:t xml:space="preserve"> в</w:t>
      </w:r>
      <w:r w:rsidR="00502629" w:rsidRPr="00502629">
        <w:t>ідходи електричного та електронного обладнання</w:t>
      </w:r>
      <w:r w:rsidRPr="00C22C49">
        <w:t xml:space="preserve"> ). Решта цільових показників були взяті із директив Європейського Союзу або базувались на експертній оцінці.</w:t>
      </w:r>
    </w:p>
    <w:p w14:paraId="0896B576" w14:textId="77777777" w:rsidR="00D97214" w:rsidRPr="00C22C49" w:rsidRDefault="0098590E" w:rsidP="0098590E">
      <w:pPr>
        <w:pStyle w:val="20"/>
        <w:rPr>
          <w:sz w:val="24"/>
          <w:szCs w:val="28"/>
        </w:rPr>
      </w:pPr>
      <w:bookmarkStart w:id="5" w:name="_Toc151583260"/>
      <w:r w:rsidRPr="00C22C49">
        <w:rPr>
          <w:rFonts w:eastAsia="Calibri"/>
        </w:rPr>
        <w:t>СТАН СФЕРИ УПРАВЛІННЯ ВІДХОДАМИ</w:t>
      </w:r>
      <w:bookmarkEnd w:id="5"/>
      <w:r w:rsidRPr="00C22C49">
        <w:rPr>
          <w:rFonts w:eastAsia="Calibri"/>
        </w:rPr>
        <w:t xml:space="preserve"> </w:t>
      </w:r>
    </w:p>
    <w:p w14:paraId="0896B577" w14:textId="77777777" w:rsidR="00F52140" w:rsidRPr="00C22C49" w:rsidRDefault="00F52140" w:rsidP="00F52140">
      <w:r w:rsidRPr="00C22C49">
        <w:t xml:space="preserve">Короткий огляд загального стану України та ситуаційний аналіз в галузі управління відходами з огляду на наявні законодавство, політику та програми, а також інституційну структуру управління відходами забезпечили інформацію та розуміння того, яким чином мають бути адаптовані підходи до стратегічного планування з метою забезпечення найкращих результатів та досягнення цілей на принципів державної політики управління відходами. </w:t>
      </w:r>
    </w:p>
    <w:p w14:paraId="0896B578" w14:textId="77777777" w:rsidR="007777F9" w:rsidRPr="00C22C49" w:rsidRDefault="007777F9" w:rsidP="00624F8A">
      <w:pPr>
        <w:pStyle w:val="30"/>
      </w:pPr>
      <w:bookmarkStart w:id="6" w:name="_Toc151583261"/>
      <w:r w:rsidRPr="00C22C49">
        <w:t>Огляд загальної ситуації в державі</w:t>
      </w:r>
      <w:bookmarkEnd w:id="4"/>
      <w:bookmarkEnd w:id="6"/>
      <w:r w:rsidRPr="00C22C49">
        <w:t xml:space="preserve"> </w:t>
      </w:r>
    </w:p>
    <w:p w14:paraId="0896B579" w14:textId="77777777" w:rsidR="004B1474" w:rsidRPr="00C22C49" w:rsidRDefault="00535CA5" w:rsidP="004B1474">
      <w:pPr>
        <w:rPr>
          <w:rFonts w:cs="Times New Roman"/>
          <w:szCs w:val="24"/>
        </w:rPr>
      </w:pPr>
      <w:r w:rsidRPr="00C22C49">
        <w:rPr>
          <w:rStyle w:val="affe"/>
          <w:b/>
        </w:rPr>
        <w:t>Адміністративно-територіальний устрій України.</w:t>
      </w:r>
      <w:r w:rsidRPr="00C22C49">
        <w:rPr>
          <w:rStyle w:val="affe"/>
        </w:rPr>
        <w:t xml:space="preserve"> </w:t>
      </w:r>
      <w:r w:rsidR="000B0468" w:rsidRPr="00C22C49">
        <w:rPr>
          <w:rFonts w:cs="Times New Roman"/>
          <w:szCs w:val="24"/>
        </w:rPr>
        <w:t xml:space="preserve">Станом на 01.01.2022 в Україні були такі адміністративно-територіальні одиниці: АР Крим та </w:t>
      </w:r>
      <w:r w:rsidR="000B0468" w:rsidRPr="00C22C49">
        <w:rPr>
          <w:rFonts w:cs="Times New Roman"/>
          <w:b/>
          <w:bCs/>
          <w:szCs w:val="24"/>
        </w:rPr>
        <w:t>24 області, 140 районів, 460 міст</w:t>
      </w:r>
      <w:r w:rsidR="000B0468" w:rsidRPr="00C22C49">
        <w:rPr>
          <w:rFonts w:cs="Times New Roman"/>
          <w:szCs w:val="24"/>
        </w:rPr>
        <w:t xml:space="preserve"> (з них 185 — міста спеціального статусу, республіканського, обласного значення), </w:t>
      </w:r>
      <w:r w:rsidR="000B0468" w:rsidRPr="00C22C49">
        <w:rPr>
          <w:rFonts w:cs="Times New Roman"/>
          <w:b/>
          <w:bCs/>
          <w:szCs w:val="24"/>
        </w:rPr>
        <w:t>881 селище міського типу, 28369 сільських поселень, об’єднаних в 1469 територіальних громад</w:t>
      </w:r>
      <w:r w:rsidR="000B0468" w:rsidRPr="00C22C49">
        <w:rPr>
          <w:rFonts w:cs="Times New Roman"/>
          <w:szCs w:val="24"/>
        </w:rPr>
        <w:t xml:space="preserve">. </w:t>
      </w:r>
      <w:r w:rsidR="00500315" w:rsidRPr="00C22C49">
        <w:rPr>
          <w:rFonts w:cs="Times New Roman"/>
          <w:szCs w:val="24"/>
        </w:rPr>
        <w:t>Території територіальних громад д</w:t>
      </w:r>
      <w:r w:rsidR="004B1474" w:rsidRPr="00C22C49">
        <w:rPr>
          <w:rFonts w:cs="Times New Roman"/>
          <w:szCs w:val="24"/>
        </w:rPr>
        <w:t>е-факто</w:t>
      </w:r>
      <w:r w:rsidR="00500315" w:rsidRPr="00C22C49">
        <w:rPr>
          <w:rFonts w:cs="Times New Roman"/>
          <w:szCs w:val="24"/>
        </w:rPr>
        <w:t xml:space="preserve"> є</w:t>
      </w:r>
      <w:r w:rsidR="004B1474" w:rsidRPr="00C22C49">
        <w:rPr>
          <w:rFonts w:cs="Times New Roman"/>
          <w:szCs w:val="24"/>
        </w:rPr>
        <w:t xml:space="preserve"> адміністративно-територіальними одиницями, хоча законодавчо вони ще не мають такого статусу.</w:t>
      </w:r>
      <w:r w:rsidR="001337CA" w:rsidRPr="00C22C49">
        <w:rPr>
          <w:rFonts w:cs="Times New Roman"/>
          <w:szCs w:val="24"/>
        </w:rPr>
        <w:t xml:space="preserve"> Автономна республіка Крим та окремі райони Донецької, Луганської, Запорізької, Херсонської,  Харківської, Миколаївської областей є під тимчасовою окупацією Російської Федерації.</w:t>
      </w:r>
    </w:p>
    <w:p w14:paraId="0896B57A" w14:textId="77777777" w:rsidR="00735669" w:rsidRPr="00C22C49" w:rsidRDefault="00E33325" w:rsidP="00636D59">
      <w:r w:rsidRPr="00C22C49">
        <w:rPr>
          <w:rStyle w:val="affe"/>
          <w:b/>
        </w:rPr>
        <w:t>Характеристика природно-географічного стану.</w:t>
      </w:r>
      <w:r w:rsidRPr="00C22C49">
        <w:t xml:space="preserve"> </w:t>
      </w:r>
      <w:r w:rsidR="008C2BD9" w:rsidRPr="00C22C49">
        <w:t xml:space="preserve">Площа території України становить </w:t>
      </w:r>
      <w:r w:rsidR="008C2BD9" w:rsidRPr="00C22C49">
        <w:rPr>
          <w:b/>
          <w:bCs/>
        </w:rPr>
        <w:t>603549 км².</w:t>
      </w:r>
      <w:r w:rsidR="00636D59" w:rsidRPr="00C22C49">
        <w:t xml:space="preserve">Територія України розташована у південно-західній частині Східноєвропейської рівнини. На заході її території знаходиться гірський масив Українські Карпати, найвища точка – гора Говерла (2061 м), на півдні уздовж Південного берега Кримського півострова – Кримські гори. </w:t>
      </w:r>
      <w:r w:rsidR="008C2BD9" w:rsidRPr="00C22C49">
        <w:t xml:space="preserve">Територію України з півдня омивають води Чорного та Азовського морів. У межах України берегова лінія Чорного моря має протяжність 1540 км. </w:t>
      </w:r>
    </w:p>
    <w:p w14:paraId="0896B57B" w14:textId="77777777" w:rsidR="00735669" w:rsidRPr="00C22C49" w:rsidRDefault="00C52FF7" w:rsidP="007777F9">
      <w:r w:rsidRPr="00C22C49">
        <w:rPr>
          <w:rStyle w:val="affe"/>
          <w:b/>
        </w:rPr>
        <w:t>Демографічна ситуація</w:t>
      </w:r>
      <w:r w:rsidRPr="00C22C49">
        <w:rPr>
          <w:rStyle w:val="affe"/>
        </w:rPr>
        <w:t>.</w:t>
      </w:r>
      <w:r w:rsidRPr="00C22C49">
        <w:t xml:space="preserve"> </w:t>
      </w:r>
      <w:r w:rsidR="00023503" w:rsidRPr="00C22C49">
        <w:t>Чисельність наявного населення в Україні, за оцінкою Держстату, на 1 січня 2022р. становила 41167,3 тис. осіб.</w:t>
      </w:r>
      <w:r w:rsidR="006655CF" w:rsidRPr="00C22C49">
        <w:t xml:space="preserve"> За прогнозами Ради ЄС, </w:t>
      </w:r>
      <w:r w:rsidR="006655CF" w:rsidRPr="00C22C49">
        <w:rPr>
          <w:b/>
          <w:bCs/>
        </w:rPr>
        <w:t xml:space="preserve">унаслідок війни та залежно від її тривалості населення України може скоротитися на 24–33 %. </w:t>
      </w:r>
      <w:r w:rsidR="006655CF" w:rsidRPr="00C22C49">
        <w:t>Підтвердженням цієї загрози є зменшення чисельності тих, хто живе й працює в Україні вже зараз: від початку російської агресії кількість населення скоротилася на 6,7 млн.</w:t>
      </w:r>
      <w:r w:rsidR="00B56766" w:rsidRPr="00C22C49">
        <w:t xml:space="preserve"> Крім того, змінюється статево-вікова структура українського суспільства – скоротилася частка молоді до 20 років та частка осіб продуктивного віку. Згодом це призведе до звуження демографічного базису відтворення населення в Україні.</w:t>
      </w:r>
      <w:r w:rsidR="00791B15" w:rsidRPr="00C22C49">
        <w:t xml:space="preserve"> Треба зазначити, що повномасштабна війна та її негативні наслідки лише поглибили демографічні проблеми, що накопичувалися в країні протягом 30 років.</w:t>
      </w:r>
    </w:p>
    <w:p w14:paraId="0896B57C" w14:textId="4A8A4AF9" w:rsidR="00735669" w:rsidRPr="00C22C49" w:rsidRDefault="007230DA" w:rsidP="007230DA">
      <w:pPr>
        <w:pStyle w:val="ad"/>
        <w:rPr>
          <w:szCs w:val="28"/>
          <w:lang w:val="uk-UA"/>
        </w:rPr>
      </w:pPr>
      <w:bookmarkStart w:id="7" w:name="_Toc142262248"/>
      <w:r w:rsidRPr="00C22C49">
        <w:rPr>
          <w:szCs w:val="28"/>
          <w:lang w:val="uk-UA"/>
        </w:rPr>
        <w:t xml:space="preserve">Таблиця </w:t>
      </w:r>
      <w:r w:rsidR="005E0A06" w:rsidRPr="00C22C49">
        <w:rPr>
          <w:szCs w:val="28"/>
          <w:lang w:val="uk-UA"/>
        </w:rPr>
        <w:fldChar w:fldCharType="begin"/>
      </w:r>
      <w:r w:rsidRPr="00C22C49">
        <w:rPr>
          <w:szCs w:val="28"/>
          <w:lang w:val="uk-UA"/>
        </w:rPr>
        <w:instrText xml:space="preserve"> SEQ Таблиця \* ARABIC </w:instrText>
      </w:r>
      <w:r w:rsidR="005E0A06" w:rsidRPr="00C22C49">
        <w:rPr>
          <w:szCs w:val="28"/>
          <w:lang w:val="uk-UA"/>
        </w:rPr>
        <w:fldChar w:fldCharType="separate"/>
      </w:r>
      <w:r w:rsidR="00712625">
        <w:rPr>
          <w:noProof/>
          <w:szCs w:val="28"/>
          <w:lang w:val="uk-UA"/>
        </w:rPr>
        <w:t>1</w:t>
      </w:r>
      <w:r w:rsidR="005E0A06" w:rsidRPr="00C22C49">
        <w:rPr>
          <w:szCs w:val="28"/>
          <w:lang w:val="uk-UA"/>
        </w:rPr>
        <w:fldChar w:fldCharType="end"/>
      </w:r>
      <w:r w:rsidR="007012B6" w:rsidRPr="00C22C49">
        <w:rPr>
          <w:szCs w:val="28"/>
          <w:lang w:val="uk-UA"/>
        </w:rPr>
        <w:t>.</w:t>
      </w:r>
      <w:r w:rsidR="00D0680C" w:rsidRPr="00C22C49">
        <w:rPr>
          <w:szCs w:val="28"/>
          <w:lang w:val="uk-UA"/>
        </w:rPr>
        <w:t xml:space="preserve"> </w:t>
      </w:r>
      <w:r w:rsidR="007012B6" w:rsidRPr="00C22C49">
        <w:rPr>
          <w:szCs w:val="28"/>
          <w:lang w:val="uk-UA"/>
        </w:rPr>
        <w:t>Динаміка чисельності населення України в 2014-202</w:t>
      </w:r>
      <w:r w:rsidR="009D2EF8" w:rsidRPr="00C22C49">
        <w:rPr>
          <w:szCs w:val="28"/>
          <w:lang w:val="uk-UA"/>
        </w:rPr>
        <w:t>2</w:t>
      </w:r>
      <w:r w:rsidR="007012B6" w:rsidRPr="00C22C49">
        <w:rPr>
          <w:szCs w:val="28"/>
          <w:lang w:val="uk-UA"/>
        </w:rPr>
        <w:t xml:space="preserve"> рр.</w:t>
      </w:r>
      <w:bookmarkEnd w:id="7"/>
    </w:p>
    <w:tbl>
      <w:tblPr>
        <w:tblStyle w:val="-711"/>
        <w:tblW w:w="4895" w:type="pct"/>
        <w:jc w:val="center"/>
        <w:tblLook w:val="04A0" w:firstRow="1" w:lastRow="0" w:firstColumn="1" w:lastColumn="0" w:noHBand="0" w:noVBand="1"/>
      </w:tblPr>
      <w:tblGrid>
        <w:gridCol w:w="2520"/>
        <w:gridCol w:w="861"/>
        <w:gridCol w:w="798"/>
        <w:gridCol w:w="798"/>
        <w:gridCol w:w="795"/>
        <w:gridCol w:w="795"/>
        <w:gridCol w:w="795"/>
        <w:gridCol w:w="795"/>
        <w:gridCol w:w="795"/>
        <w:gridCol w:w="795"/>
      </w:tblGrid>
      <w:tr w:rsidR="00F94955" w:rsidRPr="00C22C49" w14:paraId="0896B587" w14:textId="77777777" w:rsidTr="00CE0FC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92" w:type="pct"/>
            <w:noWrap/>
            <w:hideMark/>
          </w:tcPr>
          <w:p w14:paraId="0896B57D" w14:textId="77777777" w:rsidR="009D2EF8" w:rsidRPr="00C22C49" w:rsidRDefault="00266A7F" w:rsidP="007B1540">
            <w:pPr>
              <w:pStyle w:val="Table"/>
              <w:rPr>
                <w:color w:val="auto"/>
                <w:lang w:val="uk-UA"/>
              </w:rPr>
            </w:pPr>
            <w:r w:rsidRPr="00C22C49">
              <w:rPr>
                <w:color w:val="auto"/>
                <w:lang w:val="uk-UA"/>
              </w:rPr>
              <w:t>Роки</w:t>
            </w:r>
          </w:p>
        </w:tc>
        <w:tc>
          <w:tcPr>
            <w:tcW w:w="441" w:type="pct"/>
            <w:hideMark/>
          </w:tcPr>
          <w:p w14:paraId="0896B57E"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2014*</w:t>
            </w:r>
          </w:p>
        </w:tc>
        <w:tc>
          <w:tcPr>
            <w:tcW w:w="409" w:type="pct"/>
            <w:hideMark/>
          </w:tcPr>
          <w:p w14:paraId="0896B57F"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2015</w:t>
            </w:r>
          </w:p>
        </w:tc>
        <w:tc>
          <w:tcPr>
            <w:tcW w:w="409" w:type="pct"/>
            <w:hideMark/>
          </w:tcPr>
          <w:p w14:paraId="0896B580"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2016</w:t>
            </w:r>
          </w:p>
        </w:tc>
        <w:tc>
          <w:tcPr>
            <w:tcW w:w="408" w:type="pct"/>
            <w:hideMark/>
          </w:tcPr>
          <w:p w14:paraId="0896B581"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2017</w:t>
            </w:r>
          </w:p>
        </w:tc>
        <w:tc>
          <w:tcPr>
            <w:tcW w:w="408" w:type="pct"/>
            <w:hideMark/>
          </w:tcPr>
          <w:p w14:paraId="0896B582"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2018</w:t>
            </w:r>
          </w:p>
        </w:tc>
        <w:tc>
          <w:tcPr>
            <w:tcW w:w="408" w:type="pct"/>
            <w:hideMark/>
          </w:tcPr>
          <w:p w14:paraId="0896B583"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2019</w:t>
            </w:r>
          </w:p>
        </w:tc>
        <w:tc>
          <w:tcPr>
            <w:tcW w:w="408" w:type="pct"/>
            <w:hideMark/>
          </w:tcPr>
          <w:p w14:paraId="0896B584"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2020</w:t>
            </w:r>
          </w:p>
        </w:tc>
        <w:tc>
          <w:tcPr>
            <w:tcW w:w="408" w:type="pct"/>
            <w:hideMark/>
          </w:tcPr>
          <w:p w14:paraId="0896B585"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2021</w:t>
            </w:r>
          </w:p>
        </w:tc>
        <w:tc>
          <w:tcPr>
            <w:tcW w:w="408" w:type="pct"/>
            <w:hideMark/>
          </w:tcPr>
          <w:p w14:paraId="0896B586" w14:textId="77777777" w:rsidR="009D2EF8" w:rsidRPr="00C22C49" w:rsidRDefault="009D2EF8" w:rsidP="007B1540">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2022</w:t>
            </w:r>
          </w:p>
        </w:tc>
      </w:tr>
      <w:tr w:rsidR="00F94955" w:rsidRPr="00C22C49" w14:paraId="0896B592" w14:textId="77777777" w:rsidTr="00CE0F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92" w:type="pct"/>
            <w:noWrap/>
            <w:hideMark/>
          </w:tcPr>
          <w:p w14:paraId="0896B588" w14:textId="77777777" w:rsidR="009D2EF8" w:rsidRPr="00C22C49" w:rsidRDefault="009D2EF8" w:rsidP="007B1540">
            <w:pPr>
              <w:pStyle w:val="Table"/>
              <w:rPr>
                <w:color w:val="auto"/>
                <w:lang w:val="uk-UA"/>
              </w:rPr>
            </w:pPr>
            <w:r w:rsidRPr="00C22C49">
              <w:rPr>
                <w:color w:val="auto"/>
                <w:lang w:val="uk-UA"/>
              </w:rPr>
              <w:t>Чисельність (млн. осіб)</w:t>
            </w:r>
          </w:p>
        </w:tc>
        <w:tc>
          <w:tcPr>
            <w:tcW w:w="441" w:type="pct"/>
            <w:hideMark/>
          </w:tcPr>
          <w:p w14:paraId="0896B589"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45,43</w:t>
            </w:r>
          </w:p>
        </w:tc>
        <w:tc>
          <w:tcPr>
            <w:tcW w:w="409" w:type="pct"/>
            <w:hideMark/>
          </w:tcPr>
          <w:p w14:paraId="0896B58A"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42,93</w:t>
            </w:r>
          </w:p>
        </w:tc>
        <w:tc>
          <w:tcPr>
            <w:tcW w:w="409" w:type="pct"/>
            <w:hideMark/>
          </w:tcPr>
          <w:p w14:paraId="0896B58B"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42,76</w:t>
            </w:r>
          </w:p>
        </w:tc>
        <w:tc>
          <w:tcPr>
            <w:tcW w:w="408" w:type="pct"/>
            <w:hideMark/>
          </w:tcPr>
          <w:p w14:paraId="0896B58C"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42,58</w:t>
            </w:r>
          </w:p>
        </w:tc>
        <w:tc>
          <w:tcPr>
            <w:tcW w:w="408" w:type="pct"/>
            <w:hideMark/>
          </w:tcPr>
          <w:p w14:paraId="0896B58D"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42,39</w:t>
            </w:r>
          </w:p>
        </w:tc>
        <w:tc>
          <w:tcPr>
            <w:tcW w:w="408" w:type="pct"/>
            <w:hideMark/>
          </w:tcPr>
          <w:p w14:paraId="0896B58E"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42,15</w:t>
            </w:r>
          </w:p>
        </w:tc>
        <w:tc>
          <w:tcPr>
            <w:tcW w:w="408" w:type="pct"/>
            <w:hideMark/>
          </w:tcPr>
          <w:p w14:paraId="0896B58F"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41,90</w:t>
            </w:r>
          </w:p>
        </w:tc>
        <w:tc>
          <w:tcPr>
            <w:tcW w:w="408" w:type="pct"/>
            <w:hideMark/>
          </w:tcPr>
          <w:p w14:paraId="0896B590"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41,59</w:t>
            </w:r>
          </w:p>
        </w:tc>
        <w:tc>
          <w:tcPr>
            <w:tcW w:w="408" w:type="pct"/>
            <w:hideMark/>
          </w:tcPr>
          <w:p w14:paraId="0896B591"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41,17</w:t>
            </w:r>
          </w:p>
        </w:tc>
      </w:tr>
      <w:tr w:rsidR="009D2EF8" w:rsidRPr="00C22C49" w14:paraId="0896B59D" w14:textId="77777777" w:rsidTr="00CE0FC4">
        <w:trPr>
          <w:trHeight w:val="300"/>
          <w:jc w:val="center"/>
        </w:trPr>
        <w:tc>
          <w:tcPr>
            <w:cnfStyle w:val="001000000000" w:firstRow="0" w:lastRow="0" w:firstColumn="1" w:lastColumn="0" w:oddVBand="0" w:evenVBand="0" w:oddHBand="0" w:evenHBand="0" w:firstRowFirstColumn="0" w:firstRowLastColumn="0" w:lastRowFirstColumn="0" w:lastRowLastColumn="0"/>
            <w:tcW w:w="1292" w:type="pct"/>
            <w:noWrap/>
            <w:hideMark/>
          </w:tcPr>
          <w:p w14:paraId="0896B593" w14:textId="77777777" w:rsidR="009D2EF8" w:rsidRPr="00C22C49" w:rsidRDefault="009D2EF8" w:rsidP="007B1540">
            <w:pPr>
              <w:pStyle w:val="Table"/>
              <w:rPr>
                <w:color w:val="auto"/>
                <w:lang w:val="uk-UA"/>
              </w:rPr>
            </w:pPr>
            <w:r w:rsidRPr="00C22C49">
              <w:rPr>
                <w:color w:val="auto"/>
                <w:lang w:val="uk-UA"/>
              </w:rPr>
              <w:t>Сальдо, млн. осіб</w:t>
            </w:r>
          </w:p>
        </w:tc>
        <w:tc>
          <w:tcPr>
            <w:tcW w:w="441" w:type="pct"/>
            <w:hideMark/>
          </w:tcPr>
          <w:p w14:paraId="0896B594"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-0,13</w:t>
            </w:r>
          </w:p>
        </w:tc>
        <w:tc>
          <w:tcPr>
            <w:tcW w:w="409" w:type="pct"/>
            <w:hideMark/>
          </w:tcPr>
          <w:p w14:paraId="0896B595"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-2,50</w:t>
            </w:r>
          </w:p>
        </w:tc>
        <w:tc>
          <w:tcPr>
            <w:tcW w:w="409" w:type="pct"/>
            <w:hideMark/>
          </w:tcPr>
          <w:p w14:paraId="0896B596"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-0,17</w:t>
            </w:r>
          </w:p>
        </w:tc>
        <w:tc>
          <w:tcPr>
            <w:tcW w:w="408" w:type="pct"/>
            <w:hideMark/>
          </w:tcPr>
          <w:p w14:paraId="0896B597"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-0,18</w:t>
            </w:r>
          </w:p>
        </w:tc>
        <w:tc>
          <w:tcPr>
            <w:tcW w:w="408" w:type="pct"/>
            <w:hideMark/>
          </w:tcPr>
          <w:p w14:paraId="0896B598"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-0,20</w:t>
            </w:r>
          </w:p>
        </w:tc>
        <w:tc>
          <w:tcPr>
            <w:tcW w:w="408" w:type="pct"/>
            <w:hideMark/>
          </w:tcPr>
          <w:p w14:paraId="0896B599"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-0,23</w:t>
            </w:r>
          </w:p>
        </w:tc>
        <w:tc>
          <w:tcPr>
            <w:tcW w:w="408" w:type="pct"/>
            <w:hideMark/>
          </w:tcPr>
          <w:p w14:paraId="0896B59A"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-0,25</w:t>
            </w:r>
          </w:p>
        </w:tc>
        <w:tc>
          <w:tcPr>
            <w:tcW w:w="408" w:type="pct"/>
            <w:hideMark/>
          </w:tcPr>
          <w:p w14:paraId="0896B59B"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-0,31</w:t>
            </w:r>
          </w:p>
        </w:tc>
        <w:tc>
          <w:tcPr>
            <w:tcW w:w="408" w:type="pct"/>
            <w:hideMark/>
          </w:tcPr>
          <w:p w14:paraId="0896B59C" w14:textId="77777777" w:rsidR="009D2EF8" w:rsidRPr="00C22C49" w:rsidRDefault="009D2EF8" w:rsidP="007B1540">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-0,42</w:t>
            </w:r>
          </w:p>
        </w:tc>
      </w:tr>
      <w:tr w:rsidR="00F94955" w:rsidRPr="00C22C49" w14:paraId="0896B5A8" w14:textId="77777777" w:rsidTr="00CE0F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92" w:type="pct"/>
            <w:noWrap/>
            <w:hideMark/>
          </w:tcPr>
          <w:p w14:paraId="0896B59E" w14:textId="77777777" w:rsidR="009D2EF8" w:rsidRPr="00C22C49" w:rsidRDefault="009D2EF8" w:rsidP="007B1540">
            <w:pPr>
              <w:pStyle w:val="Table"/>
              <w:rPr>
                <w:color w:val="auto"/>
                <w:lang w:val="uk-UA"/>
              </w:rPr>
            </w:pPr>
            <w:r w:rsidRPr="00C22C49">
              <w:rPr>
                <w:color w:val="auto"/>
                <w:lang w:val="uk-UA"/>
              </w:rPr>
              <w:t>Сальдо, %</w:t>
            </w:r>
          </w:p>
        </w:tc>
        <w:tc>
          <w:tcPr>
            <w:tcW w:w="441" w:type="pct"/>
            <w:hideMark/>
          </w:tcPr>
          <w:p w14:paraId="0896B59F"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99,7</w:t>
            </w:r>
          </w:p>
        </w:tc>
        <w:tc>
          <w:tcPr>
            <w:tcW w:w="409" w:type="pct"/>
            <w:hideMark/>
          </w:tcPr>
          <w:p w14:paraId="0896B5A0"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94,5</w:t>
            </w:r>
          </w:p>
        </w:tc>
        <w:tc>
          <w:tcPr>
            <w:tcW w:w="409" w:type="pct"/>
            <w:hideMark/>
          </w:tcPr>
          <w:p w14:paraId="0896B5A1"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99,6</w:t>
            </w:r>
          </w:p>
        </w:tc>
        <w:tc>
          <w:tcPr>
            <w:tcW w:w="408" w:type="pct"/>
            <w:hideMark/>
          </w:tcPr>
          <w:p w14:paraId="0896B5A2"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99,6</w:t>
            </w:r>
          </w:p>
        </w:tc>
        <w:tc>
          <w:tcPr>
            <w:tcW w:w="408" w:type="pct"/>
            <w:hideMark/>
          </w:tcPr>
          <w:p w14:paraId="0896B5A3"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99,5</w:t>
            </w:r>
          </w:p>
        </w:tc>
        <w:tc>
          <w:tcPr>
            <w:tcW w:w="408" w:type="pct"/>
            <w:hideMark/>
          </w:tcPr>
          <w:p w14:paraId="0896B5A4"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99,5</w:t>
            </w:r>
          </w:p>
        </w:tc>
        <w:tc>
          <w:tcPr>
            <w:tcW w:w="408" w:type="pct"/>
            <w:hideMark/>
          </w:tcPr>
          <w:p w14:paraId="0896B5A5"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99,4</w:t>
            </w:r>
          </w:p>
        </w:tc>
        <w:tc>
          <w:tcPr>
            <w:tcW w:w="408" w:type="pct"/>
            <w:hideMark/>
          </w:tcPr>
          <w:p w14:paraId="0896B5A6"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99,3</w:t>
            </w:r>
          </w:p>
        </w:tc>
        <w:tc>
          <w:tcPr>
            <w:tcW w:w="408" w:type="pct"/>
            <w:hideMark/>
          </w:tcPr>
          <w:p w14:paraId="0896B5A7" w14:textId="77777777" w:rsidR="009D2EF8" w:rsidRPr="00C22C49" w:rsidRDefault="009D2EF8" w:rsidP="007B1540">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99,0</w:t>
            </w:r>
          </w:p>
        </w:tc>
      </w:tr>
    </w:tbl>
    <w:p w14:paraId="0896B5A9" w14:textId="77777777" w:rsidR="00735669" w:rsidRPr="00C22C49" w:rsidRDefault="007230DA" w:rsidP="007777F9">
      <w:r w:rsidRPr="00C22C49">
        <w:t>* з 2014 р. - без урахування окупованих територій (криму, Севастополя, частини Донбасу)</w:t>
      </w:r>
    </w:p>
    <w:p w14:paraId="0896B5AA" w14:textId="77777777" w:rsidR="00092C94" w:rsidRPr="00C22C49" w:rsidRDefault="00DD5A55" w:rsidP="00D85051">
      <w:pPr>
        <w:rPr>
          <w:shd w:val="clear" w:color="auto" w:fill="FFFFFF"/>
        </w:rPr>
      </w:pPr>
      <w:r w:rsidRPr="00C22C49">
        <w:rPr>
          <w:rStyle w:val="affe"/>
          <w:b/>
        </w:rPr>
        <w:t>Економічна характеристика</w:t>
      </w:r>
      <w:r w:rsidRPr="00C22C49">
        <w:rPr>
          <w:rStyle w:val="affe"/>
        </w:rPr>
        <w:t>.</w:t>
      </w:r>
      <w:r w:rsidR="00F71B66" w:rsidRPr="00C22C49">
        <w:t xml:space="preserve"> </w:t>
      </w:r>
      <w:r w:rsidR="00092C94" w:rsidRPr="00C22C49">
        <w:rPr>
          <w:shd w:val="clear" w:color="auto" w:fill="FFFFFF"/>
        </w:rPr>
        <w:t>Україна завершила 2022 рік 30% падінням реального ВВП. Під час ІІ світової війни майже не зафіксовано таких обсягів падіння ВВП в рамках одного календарного року. </w:t>
      </w:r>
    </w:p>
    <w:p w14:paraId="0896B5AB" w14:textId="77777777" w:rsidR="00092C94" w:rsidRPr="00C22C49" w:rsidRDefault="00092C94" w:rsidP="00D85051">
      <w:pPr>
        <w:rPr>
          <w:shd w:val="clear" w:color="auto" w:fill="FFFFFF"/>
        </w:rPr>
      </w:pPr>
      <w:r w:rsidRPr="00C22C49">
        <w:rPr>
          <w:b/>
          <w:bCs/>
          <w:shd w:val="clear" w:color="auto" w:fill="FFFFFF"/>
        </w:rPr>
        <w:t>Прогнози подальшого зростання української економіки теж варіюються у дуже скромних масштабах: від +0,3% у 2023 р. до +6,4% у 2025 р</w:t>
      </w:r>
      <w:r w:rsidRPr="00C22C49">
        <w:rPr>
          <w:shd w:val="clear" w:color="auto" w:fill="FFFFFF"/>
        </w:rPr>
        <w:t>. (дані прогнозу НБУ). Це дуже мало як для умов воєнного часу, так і для умов ймовірного повоєнного відновлення. За даними Держстату, у першому кварталі року ВВП зменшився на 10,5% р/р — це менше, ніж прогнозовані НБУ 13,5%. У другому кварталі Нацбанк очікує зростання на 15,9%. За прогнозом Мінекономіки, ВВП зросте на 1,0% за підсумками року.</w:t>
      </w:r>
    </w:p>
    <w:p w14:paraId="0896B5AC" w14:textId="77777777" w:rsidR="00092C94" w:rsidRPr="00C22C49" w:rsidRDefault="00092C94" w:rsidP="00D85051">
      <w:r w:rsidRPr="00C22C49">
        <w:rPr>
          <w:rStyle w:val="aff2"/>
          <w:rFonts w:eastAsiaTheme="minorHAnsi"/>
          <w:b w:val="0"/>
          <w:color w:val="000000"/>
          <w:bdr w:val="none" w:sz="0" w:space="0" w:color="auto" w:frame="1"/>
          <w:lang w:val="uk-UA"/>
        </w:rPr>
        <w:t>Проблема падіння виробництва та росту безробіття є ключовим ризиком функціонування української економіки.</w:t>
      </w:r>
      <w:r w:rsidR="00570F9E" w:rsidRPr="00C22C49">
        <w:rPr>
          <w:bdr w:val="none" w:sz="0" w:space="0" w:color="auto" w:frame="1"/>
        </w:rPr>
        <w:t xml:space="preserve"> </w:t>
      </w:r>
      <w:r w:rsidRPr="00C22C49">
        <w:rPr>
          <w:bdr w:val="none" w:sz="0" w:space="0" w:color="auto" w:frame="1"/>
        </w:rPr>
        <w:t>Інвестиційний розвиток країни є утрудненим зважаючи на воєнні ризики, вилучення трудових ресурсів до лав ЗСУ, енергетичного терору, логістичних проблем. З початку 2023 в Україні почала проявлятися спіраль циклічного скорочення випуску та росту безробіття, підприємства планують скорочувати число зайнятих, оскільки не очікують зростання попиту, а попит, в свою чергу, не зростає через скорочення зарплат та робочих місць.</w:t>
      </w:r>
    </w:p>
    <w:p w14:paraId="0896B5AD" w14:textId="77777777" w:rsidR="00920398" w:rsidRPr="00C22C49" w:rsidRDefault="00920398" w:rsidP="00D85051">
      <w:pPr>
        <w:rPr>
          <w:color w:val="000000"/>
          <w:bdr w:val="none" w:sz="0" w:space="0" w:color="auto" w:frame="1"/>
        </w:rPr>
      </w:pPr>
      <w:r w:rsidRPr="00C22C49">
        <w:rPr>
          <w:color w:val="000000"/>
          <w:bdr w:val="none" w:sz="0" w:space="0" w:color="auto" w:frame="1"/>
        </w:rPr>
        <w:t>За підсумками 2022 року середня реальна заробітна плата скоротилася на 17%, безробіття зросло втричі (до 28% від робочої сили), а реальні споживчі витрати населення впали на 20%. За прогнозом НБУ, інфляція за підсумками 2023 р. складе 18,7%.</w:t>
      </w:r>
    </w:p>
    <w:p w14:paraId="0896B5AE" w14:textId="77777777" w:rsidR="0092725B" w:rsidRPr="00C22C49" w:rsidRDefault="00920398" w:rsidP="00D85051">
      <w:pPr>
        <w:rPr>
          <w:b/>
          <w:bCs/>
        </w:rPr>
      </w:pPr>
      <w:r w:rsidRPr="00C22C49">
        <w:rPr>
          <w:color w:val="0F0F0F"/>
          <w:shd w:val="clear" w:color="auto" w:fill="FFFFFF"/>
        </w:rPr>
        <w:t xml:space="preserve">Експерти Світового банку і Єврокомісії </w:t>
      </w:r>
      <w:r w:rsidRPr="00C22C49">
        <w:rPr>
          <w:b/>
          <w:bCs/>
          <w:color w:val="0F0F0F"/>
          <w:shd w:val="clear" w:color="auto" w:fill="FFFFFF"/>
        </w:rPr>
        <w:t>оцінюють пошкодження від війни в Україні в період з 24 лютого 2022 р. до 24 лютого 2023 р. в сумі 134,7 млрд доларів, а потреби у відновленні – 410,6 млрд. доларів.</w:t>
      </w:r>
    </w:p>
    <w:p w14:paraId="0896B5AF" w14:textId="15C614B1" w:rsidR="00267576" w:rsidRPr="00C22C49" w:rsidRDefault="00267576" w:rsidP="00A6418B">
      <w:pPr>
        <w:pStyle w:val="ad"/>
        <w:rPr>
          <w:lang w:val="uk-UA"/>
        </w:rPr>
      </w:pPr>
      <w:bookmarkStart w:id="8" w:name="_Toc142262249"/>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2</w:t>
      </w:r>
      <w:r w:rsidR="005E0A06" w:rsidRPr="00C22C49">
        <w:rPr>
          <w:lang w:val="uk-UA"/>
        </w:rPr>
        <w:fldChar w:fldCharType="end"/>
      </w:r>
      <w:r w:rsidR="00A6418B" w:rsidRPr="00C22C49">
        <w:rPr>
          <w:lang w:val="uk-UA"/>
        </w:rPr>
        <w:t>.</w:t>
      </w:r>
      <w:r w:rsidRPr="00C22C49">
        <w:rPr>
          <w:lang w:val="uk-UA"/>
        </w:rPr>
        <w:t xml:space="preserve"> Економічні показники України</w:t>
      </w:r>
      <w:r w:rsidRPr="00C22C49">
        <w:rPr>
          <w:vertAlign w:val="superscript"/>
          <w:lang w:val="uk-UA"/>
        </w:rPr>
        <w:footnoteReference w:id="2"/>
      </w:r>
      <w:bookmarkEnd w:id="8"/>
    </w:p>
    <w:tbl>
      <w:tblPr>
        <w:tblStyle w:val="-711"/>
        <w:tblW w:w="0" w:type="auto"/>
        <w:jc w:val="center"/>
        <w:tblLayout w:type="fixed"/>
        <w:tblLook w:val="0400" w:firstRow="0" w:lastRow="0" w:firstColumn="0" w:lastColumn="0" w:noHBand="0" w:noVBand="1"/>
      </w:tblPr>
      <w:tblGrid>
        <w:gridCol w:w="5823"/>
        <w:gridCol w:w="827"/>
        <w:gridCol w:w="827"/>
        <w:gridCol w:w="827"/>
        <w:gridCol w:w="826"/>
        <w:gridCol w:w="826"/>
      </w:tblGrid>
      <w:tr w:rsidR="00F94955" w:rsidRPr="00C22C49" w14:paraId="0896B5B6" w14:textId="77777777" w:rsidTr="00F94955">
        <w:trPr>
          <w:cnfStyle w:val="000000100000" w:firstRow="0" w:lastRow="0" w:firstColumn="0" w:lastColumn="0" w:oddVBand="0" w:evenVBand="0" w:oddHBand="1" w:evenHBand="0" w:firstRowFirstColumn="0" w:firstRowLastColumn="0" w:lastRowFirstColumn="0" w:lastRowLastColumn="0"/>
          <w:jc w:val="center"/>
        </w:trPr>
        <w:tc>
          <w:tcPr>
            <w:tcW w:w="5823" w:type="dxa"/>
            <w:tcBorders>
              <w:bottom w:val="single" w:sz="4" w:space="0" w:color="1F3864" w:themeColor="accent1" w:themeShade="80"/>
            </w:tcBorders>
            <w:shd w:val="clear" w:color="auto" w:fill="auto"/>
          </w:tcPr>
          <w:p w14:paraId="0896B5B0" w14:textId="77777777" w:rsidR="0077742E" w:rsidRPr="00C22C49" w:rsidRDefault="0077742E" w:rsidP="00045198">
            <w:pPr>
              <w:pStyle w:val="Table"/>
              <w:rPr>
                <w:i/>
                <w:iCs/>
                <w:color w:val="auto"/>
                <w:lang w:val="uk-UA"/>
              </w:rPr>
            </w:pPr>
            <w:r w:rsidRPr="00C22C49">
              <w:rPr>
                <w:i/>
                <w:iCs/>
                <w:color w:val="auto"/>
                <w:lang w:val="uk-UA"/>
              </w:rPr>
              <w:t>Роки</w:t>
            </w:r>
          </w:p>
        </w:tc>
        <w:tc>
          <w:tcPr>
            <w:tcW w:w="827" w:type="dxa"/>
            <w:tcBorders>
              <w:bottom w:val="single" w:sz="4" w:space="0" w:color="1F3864" w:themeColor="accent1" w:themeShade="80"/>
            </w:tcBorders>
            <w:shd w:val="clear" w:color="auto" w:fill="auto"/>
          </w:tcPr>
          <w:p w14:paraId="0896B5B1" w14:textId="77777777" w:rsidR="0077742E" w:rsidRPr="00C22C49" w:rsidRDefault="0077742E" w:rsidP="00045198">
            <w:pPr>
              <w:pStyle w:val="Table"/>
              <w:jc w:val="center"/>
              <w:rPr>
                <w:i/>
                <w:iCs/>
                <w:color w:val="auto"/>
                <w:lang w:val="uk-UA"/>
              </w:rPr>
            </w:pPr>
            <w:r w:rsidRPr="00C22C49">
              <w:rPr>
                <w:i/>
                <w:iCs/>
                <w:color w:val="auto"/>
                <w:lang w:val="uk-UA"/>
              </w:rPr>
              <w:t>2017</w:t>
            </w:r>
          </w:p>
        </w:tc>
        <w:tc>
          <w:tcPr>
            <w:tcW w:w="827" w:type="dxa"/>
            <w:tcBorders>
              <w:bottom w:val="single" w:sz="4" w:space="0" w:color="1F3864" w:themeColor="accent1" w:themeShade="80"/>
            </w:tcBorders>
            <w:shd w:val="clear" w:color="auto" w:fill="auto"/>
          </w:tcPr>
          <w:p w14:paraId="0896B5B2" w14:textId="77777777" w:rsidR="0077742E" w:rsidRPr="00C22C49" w:rsidRDefault="0077742E" w:rsidP="00045198">
            <w:pPr>
              <w:pStyle w:val="Table"/>
              <w:jc w:val="center"/>
              <w:rPr>
                <w:i/>
                <w:iCs/>
                <w:color w:val="auto"/>
                <w:lang w:val="uk-UA"/>
              </w:rPr>
            </w:pPr>
            <w:r w:rsidRPr="00C22C49">
              <w:rPr>
                <w:i/>
                <w:iCs/>
                <w:color w:val="auto"/>
                <w:lang w:val="uk-UA"/>
              </w:rPr>
              <w:t>2018</w:t>
            </w:r>
          </w:p>
        </w:tc>
        <w:tc>
          <w:tcPr>
            <w:tcW w:w="827" w:type="dxa"/>
            <w:tcBorders>
              <w:bottom w:val="single" w:sz="4" w:space="0" w:color="1F3864" w:themeColor="accent1" w:themeShade="80"/>
            </w:tcBorders>
            <w:shd w:val="clear" w:color="auto" w:fill="auto"/>
          </w:tcPr>
          <w:p w14:paraId="0896B5B3" w14:textId="77777777" w:rsidR="0077742E" w:rsidRPr="00C22C49" w:rsidRDefault="0077742E" w:rsidP="00045198">
            <w:pPr>
              <w:pStyle w:val="Table"/>
              <w:jc w:val="center"/>
              <w:rPr>
                <w:i/>
                <w:iCs/>
                <w:color w:val="auto"/>
                <w:lang w:val="uk-UA"/>
              </w:rPr>
            </w:pPr>
            <w:r w:rsidRPr="00C22C49">
              <w:rPr>
                <w:i/>
                <w:iCs/>
                <w:color w:val="auto"/>
                <w:lang w:val="uk-UA"/>
              </w:rPr>
              <w:t>2019</w:t>
            </w:r>
          </w:p>
        </w:tc>
        <w:tc>
          <w:tcPr>
            <w:tcW w:w="826" w:type="dxa"/>
            <w:tcBorders>
              <w:bottom w:val="single" w:sz="4" w:space="0" w:color="1F3864" w:themeColor="accent1" w:themeShade="80"/>
            </w:tcBorders>
            <w:shd w:val="clear" w:color="auto" w:fill="auto"/>
          </w:tcPr>
          <w:p w14:paraId="0896B5B4" w14:textId="77777777" w:rsidR="0077742E" w:rsidRPr="00C22C49" w:rsidRDefault="0077742E" w:rsidP="00045198">
            <w:pPr>
              <w:pStyle w:val="Table"/>
              <w:jc w:val="center"/>
              <w:rPr>
                <w:i/>
                <w:iCs/>
                <w:color w:val="auto"/>
                <w:lang w:val="uk-UA"/>
              </w:rPr>
            </w:pPr>
            <w:r w:rsidRPr="00C22C49">
              <w:rPr>
                <w:i/>
                <w:iCs/>
                <w:color w:val="auto"/>
                <w:lang w:val="uk-UA"/>
              </w:rPr>
              <w:t>2020</w:t>
            </w:r>
          </w:p>
        </w:tc>
        <w:tc>
          <w:tcPr>
            <w:tcW w:w="826" w:type="dxa"/>
            <w:tcBorders>
              <w:bottom w:val="single" w:sz="4" w:space="0" w:color="1F3864" w:themeColor="accent1" w:themeShade="80"/>
            </w:tcBorders>
            <w:shd w:val="clear" w:color="auto" w:fill="auto"/>
          </w:tcPr>
          <w:p w14:paraId="0896B5B5" w14:textId="77777777" w:rsidR="0077742E" w:rsidRPr="00C22C49" w:rsidRDefault="0077742E" w:rsidP="00045198">
            <w:pPr>
              <w:pStyle w:val="Table"/>
              <w:jc w:val="center"/>
              <w:rPr>
                <w:i/>
                <w:iCs/>
                <w:color w:val="auto"/>
                <w:lang w:val="uk-UA"/>
              </w:rPr>
            </w:pPr>
            <w:r w:rsidRPr="00C22C49">
              <w:rPr>
                <w:i/>
                <w:iCs/>
                <w:color w:val="auto"/>
                <w:lang w:val="uk-UA"/>
              </w:rPr>
              <w:t>2021</w:t>
            </w:r>
          </w:p>
        </w:tc>
      </w:tr>
      <w:tr w:rsidR="00F94955" w:rsidRPr="00C22C49" w14:paraId="0896B5BD" w14:textId="77777777" w:rsidTr="00F94955">
        <w:trPr>
          <w:jc w:val="center"/>
        </w:trPr>
        <w:tc>
          <w:tcPr>
            <w:tcW w:w="5823" w:type="dxa"/>
            <w:tcBorders>
              <w:top w:val="single" w:sz="4" w:space="0" w:color="1F3864" w:themeColor="accent1" w:themeShade="80"/>
              <w:right w:val="single" w:sz="4" w:space="0" w:color="1F3864" w:themeColor="accent1" w:themeShade="80"/>
            </w:tcBorders>
            <w:shd w:val="clear" w:color="auto" w:fill="auto"/>
          </w:tcPr>
          <w:p w14:paraId="0896B5B7" w14:textId="77777777" w:rsidR="00924A20" w:rsidRPr="00C22C49" w:rsidRDefault="00924A20" w:rsidP="00ED38D0">
            <w:pPr>
              <w:pStyle w:val="Table"/>
              <w:rPr>
                <w:i/>
                <w:iCs/>
                <w:color w:val="auto"/>
                <w:lang w:val="uk-UA"/>
              </w:rPr>
            </w:pPr>
            <w:r w:rsidRPr="00C22C49">
              <w:rPr>
                <w:i/>
                <w:iCs/>
                <w:color w:val="auto"/>
                <w:lang w:val="uk-UA"/>
              </w:rPr>
              <w:t>ВВП на душу населення (в доларах США)</w:t>
            </w:r>
          </w:p>
        </w:tc>
        <w:tc>
          <w:tcPr>
            <w:tcW w:w="827" w:type="dxa"/>
            <w:tcBorders>
              <w:top w:val="single" w:sz="4" w:space="0" w:color="1F3864" w:themeColor="accent1" w:themeShade="80"/>
              <w:left w:val="single" w:sz="4" w:space="0" w:color="1F3864" w:themeColor="accent1" w:themeShade="80"/>
            </w:tcBorders>
            <w:shd w:val="clear" w:color="auto" w:fill="D9E2F3" w:themeFill="accent1" w:themeFillTint="33"/>
          </w:tcPr>
          <w:p w14:paraId="0896B5B8" w14:textId="77777777" w:rsidR="00924A20" w:rsidRPr="00C22C49" w:rsidRDefault="00924A20" w:rsidP="0077742E">
            <w:pPr>
              <w:pStyle w:val="Table"/>
              <w:jc w:val="center"/>
              <w:rPr>
                <w:color w:val="auto"/>
                <w:lang w:val="uk-UA"/>
              </w:rPr>
            </w:pPr>
            <w:r w:rsidRPr="00C22C49">
              <w:rPr>
                <w:color w:val="auto"/>
                <w:lang w:val="uk-UA"/>
              </w:rPr>
              <w:t>2,511</w:t>
            </w:r>
          </w:p>
        </w:tc>
        <w:tc>
          <w:tcPr>
            <w:tcW w:w="827" w:type="dxa"/>
            <w:tcBorders>
              <w:top w:val="single" w:sz="4" w:space="0" w:color="1F3864" w:themeColor="accent1" w:themeShade="80"/>
            </w:tcBorders>
            <w:shd w:val="clear" w:color="auto" w:fill="D9E2F3" w:themeFill="accent1" w:themeFillTint="33"/>
          </w:tcPr>
          <w:p w14:paraId="0896B5B9" w14:textId="77777777" w:rsidR="00924A20" w:rsidRPr="00C22C49" w:rsidRDefault="00924A20" w:rsidP="0077742E">
            <w:pPr>
              <w:pStyle w:val="Table"/>
              <w:jc w:val="center"/>
              <w:rPr>
                <w:color w:val="auto"/>
                <w:lang w:val="uk-UA"/>
              </w:rPr>
            </w:pPr>
            <w:r w:rsidRPr="00C22C49">
              <w:rPr>
                <w:color w:val="auto"/>
                <w:lang w:val="uk-UA"/>
              </w:rPr>
              <w:t>2,939</w:t>
            </w:r>
          </w:p>
        </w:tc>
        <w:tc>
          <w:tcPr>
            <w:tcW w:w="827" w:type="dxa"/>
            <w:tcBorders>
              <w:top w:val="single" w:sz="4" w:space="0" w:color="1F3864" w:themeColor="accent1" w:themeShade="80"/>
            </w:tcBorders>
            <w:shd w:val="clear" w:color="auto" w:fill="D9E2F3" w:themeFill="accent1" w:themeFillTint="33"/>
          </w:tcPr>
          <w:p w14:paraId="0896B5BA" w14:textId="77777777" w:rsidR="00924A20" w:rsidRPr="00C22C49" w:rsidRDefault="00924A20" w:rsidP="0077742E">
            <w:pPr>
              <w:pStyle w:val="Table"/>
              <w:jc w:val="center"/>
              <w:rPr>
                <w:color w:val="auto"/>
                <w:lang w:val="uk-UA"/>
              </w:rPr>
            </w:pPr>
            <w:r w:rsidRPr="00C22C49">
              <w:rPr>
                <w:color w:val="auto"/>
                <w:lang w:val="uk-UA"/>
              </w:rPr>
              <w:t>3,477</w:t>
            </w:r>
          </w:p>
        </w:tc>
        <w:tc>
          <w:tcPr>
            <w:tcW w:w="826" w:type="dxa"/>
            <w:tcBorders>
              <w:top w:val="single" w:sz="4" w:space="0" w:color="1F3864" w:themeColor="accent1" w:themeShade="80"/>
            </w:tcBorders>
            <w:shd w:val="clear" w:color="auto" w:fill="D9E2F3" w:themeFill="accent1" w:themeFillTint="33"/>
          </w:tcPr>
          <w:p w14:paraId="0896B5BB" w14:textId="77777777" w:rsidR="00924A20" w:rsidRPr="00C22C49" w:rsidRDefault="00924A20" w:rsidP="0077742E">
            <w:pPr>
              <w:pStyle w:val="Table"/>
              <w:jc w:val="center"/>
              <w:rPr>
                <w:color w:val="auto"/>
                <w:lang w:val="uk-UA"/>
              </w:rPr>
            </w:pPr>
            <w:r w:rsidRPr="00C22C49">
              <w:rPr>
                <w:color w:val="auto"/>
                <w:lang w:val="uk-UA"/>
              </w:rPr>
              <w:t>3,554</w:t>
            </w:r>
          </w:p>
        </w:tc>
        <w:tc>
          <w:tcPr>
            <w:tcW w:w="826" w:type="dxa"/>
            <w:tcBorders>
              <w:top w:val="single" w:sz="4" w:space="0" w:color="1F3864" w:themeColor="accent1" w:themeShade="80"/>
            </w:tcBorders>
            <w:shd w:val="clear" w:color="auto" w:fill="D9E2F3" w:themeFill="accent1" w:themeFillTint="33"/>
          </w:tcPr>
          <w:p w14:paraId="0896B5BC" w14:textId="77777777" w:rsidR="00924A20" w:rsidRPr="00C22C49" w:rsidRDefault="00924A20" w:rsidP="0077742E">
            <w:pPr>
              <w:pStyle w:val="Table"/>
              <w:jc w:val="center"/>
              <w:rPr>
                <w:color w:val="auto"/>
                <w:lang w:val="uk-UA"/>
              </w:rPr>
            </w:pPr>
            <w:r w:rsidRPr="00C22C49">
              <w:rPr>
                <w:color w:val="auto"/>
                <w:lang w:val="uk-UA"/>
              </w:rPr>
              <w:t>4,577</w:t>
            </w:r>
          </w:p>
        </w:tc>
      </w:tr>
      <w:tr w:rsidR="00F94955" w:rsidRPr="00C22C49" w14:paraId="0896B5C4" w14:textId="77777777" w:rsidTr="00F94955">
        <w:trPr>
          <w:cnfStyle w:val="000000100000" w:firstRow="0" w:lastRow="0" w:firstColumn="0" w:lastColumn="0" w:oddVBand="0" w:evenVBand="0" w:oddHBand="1" w:evenHBand="0" w:firstRowFirstColumn="0" w:firstRowLastColumn="0" w:lastRowFirstColumn="0" w:lastRowLastColumn="0"/>
          <w:jc w:val="center"/>
        </w:trPr>
        <w:tc>
          <w:tcPr>
            <w:tcW w:w="5823" w:type="dxa"/>
            <w:tcBorders>
              <w:right w:val="single" w:sz="4" w:space="0" w:color="1F3864" w:themeColor="accent1" w:themeShade="80"/>
            </w:tcBorders>
            <w:shd w:val="clear" w:color="auto" w:fill="auto"/>
          </w:tcPr>
          <w:p w14:paraId="0896B5BE" w14:textId="77777777" w:rsidR="00924A20" w:rsidRPr="00C22C49" w:rsidRDefault="00924A20" w:rsidP="00ED38D0">
            <w:pPr>
              <w:pStyle w:val="Table"/>
              <w:rPr>
                <w:i/>
                <w:iCs/>
                <w:color w:val="auto"/>
                <w:lang w:val="uk-UA"/>
              </w:rPr>
            </w:pPr>
            <w:r w:rsidRPr="00C22C49">
              <w:rPr>
                <w:i/>
                <w:iCs/>
                <w:color w:val="auto"/>
                <w:lang w:val="uk-UA"/>
              </w:rPr>
              <w:t>Показники економічного зростання (ВВП, у % щорічно)</w:t>
            </w:r>
          </w:p>
        </w:tc>
        <w:tc>
          <w:tcPr>
            <w:tcW w:w="827" w:type="dxa"/>
            <w:tcBorders>
              <w:left w:val="single" w:sz="4" w:space="0" w:color="1F3864" w:themeColor="accent1" w:themeShade="80"/>
            </w:tcBorders>
            <w:shd w:val="clear" w:color="auto" w:fill="auto"/>
          </w:tcPr>
          <w:p w14:paraId="0896B5BF" w14:textId="77777777" w:rsidR="00924A20" w:rsidRPr="00C22C49" w:rsidRDefault="00924A20" w:rsidP="0077742E">
            <w:pPr>
              <w:pStyle w:val="Table"/>
              <w:jc w:val="center"/>
              <w:rPr>
                <w:i/>
                <w:iCs/>
                <w:color w:val="auto"/>
                <w:lang w:val="uk-UA"/>
              </w:rPr>
            </w:pPr>
            <w:r w:rsidRPr="00C22C49">
              <w:rPr>
                <w:i/>
                <w:iCs/>
                <w:color w:val="auto"/>
                <w:lang w:val="uk-UA"/>
              </w:rPr>
              <w:t>2,5</w:t>
            </w:r>
          </w:p>
        </w:tc>
        <w:tc>
          <w:tcPr>
            <w:tcW w:w="827" w:type="dxa"/>
            <w:shd w:val="clear" w:color="auto" w:fill="auto"/>
          </w:tcPr>
          <w:p w14:paraId="0896B5C0" w14:textId="77777777" w:rsidR="00924A20" w:rsidRPr="00C22C49" w:rsidRDefault="00924A20" w:rsidP="0077742E">
            <w:pPr>
              <w:pStyle w:val="Table"/>
              <w:jc w:val="center"/>
              <w:rPr>
                <w:i/>
                <w:iCs/>
                <w:color w:val="auto"/>
                <w:lang w:val="uk-UA"/>
              </w:rPr>
            </w:pPr>
            <w:r w:rsidRPr="00C22C49">
              <w:rPr>
                <w:i/>
                <w:iCs/>
                <w:color w:val="auto"/>
                <w:lang w:val="uk-UA"/>
              </w:rPr>
              <w:t>3,5</w:t>
            </w:r>
          </w:p>
        </w:tc>
        <w:tc>
          <w:tcPr>
            <w:tcW w:w="827" w:type="dxa"/>
            <w:shd w:val="clear" w:color="auto" w:fill="auto"/>
          </w:tcPr>
          <w:p w14:paraId="0896B5C1" w14:textId="77777777" w:rsidR="00924A20" w:rsidRPr="00C22C49" w:rsidRDefault="00924A20" w:rsidP="0077742E">
            <w:pPr>
              <w:pStyle w:val="Table"/>
              <w:jc w:val="center"/>
              <w:rPr>
                <w:i/>
                <w:iCs/>
                <w:color w:val="auto"/>
                <w:lang w:val="uk-UA"/>
              </w:rPr>
            </w:pPr>
            <w:r w:rsidRPr="00C22C49">
              <w:rPr>
                <w:i/>
                <w:iCs/>
                <w:color w:val="auto"/>
                <w:lang w:val="uk-UA"/>
              </w:rPr>
              <w:t>3,3</w:t>
            </w:r>
          </w:p>
        </w:tc>
        <w:tc>
          <w:tcPr>
            <w:tcW w:w="826" w:type="dxa"/>
            <w:shd w:val="clear" w:color="auto" w:fill="auto"/>
          </w:tcPr>
          <w:p w14:paraId="0896B5C2" w14:textId="77777777" w:rsidR="00924A20" w:rsidRPr="00C22C49" w:rsidRDefault="00924A20" w:rsidP="0077742E">
            <w:pPr>
              <w:pStyle w:val="Table"/>
              <w:jc w:val="center"/>
              <w:rPr>
                <w:i/>
                <w:iCs/>
                <w:color w:val="auto"/>
                <w:lang w:val="uk-UA"/>
              </w:rPr>
            </w:pPr>
            <w:r w:rsidRPr="00C22C49">
              <w:rPr>
                <w:i/>
                <w:iCs/>
                <w:color w:val="auto"/>
                <w:lang w:val="uk-UA"/>
              </w:rPr>
              <w:t>-3,8</w:t>
            </w:r>
          </w:p>
        </w:tc>
        <w:tc>
          <w:tcPr>
            <w:tcW w:w="826" w:type="dxa"/>
            <w:shd w:val="clear" w:color="auto" w:fill="auto"/>
          </w:tcPr>
          <w:p w14:paraId="0896B5C3" w14:textId="77777777" w:rsidR="00924A20" w:rsidRPr="00C22C49" w:rsidRDefault="00924A20" w:rsidP="0077742E">
            <w:pPr>
              <w:pStyle w:val="Table"/>
              <w:jc w:val="center"/>
              <w:rPr>
                <w:i/>
                <w:iCs/>
                <w:color w:val="auto"/>
                <w:lang w:val="uk-UA"/>
              </w:rPr>
            </w:pPr>
            <w:r w:rsidRPr="00C22C49">
              <w:rPr>
                <w:i/>
                <w:iCs/>
                <w:color w:val="auto"/>
                <w:lang w:val="uk-UA"/>
              </w:rPr>
              <w:t>3,3</w:t>
            </w:r>
          </w:p>
        </w:tc>
      </w:tr>
      <w:tr w:rsidR="00F94955" w:rsidRPr="00C22C49" w14:paraId="0896B5CB" w14:textId="77777777" w:rsidTr="00F94955">
        <w:trPr>
          <w:jc w:val="center"/>
        </w:trPr>
        <w:tc>
          <w:tcPr>
            <w:tcW w:w="5823" w:type="dxa"/>
            <w:tcBorders>
              <w:right w:val="single" w:sz="4" w:space="0" w:color="1F3864" w:themeColor="accent1" w:themeShade="80"/>
            </w:tcBorders>
            <w:shd w:val="clear" w:color="auto" w:fill="auto"/>
          </w:tcPr>
          <w:p w14:paraId="0896B5C5" w14:textId="77777777" w:rsidR="00924A20" w:rsidRPr="00C22C49" w:rsidRDefault="00924A20" w:rsidP="00ED38D0">
            <w:pPr>
              <w:pStyle w:val="Table"/>
              <w:rPr>
                <w:i/>
                <w:iCs/>
                <w:color w:val="auto"/>
                <w:lang w:val="uk-UA"/>
              </w:rPr>
            </w:pPr>
            <w:r w:rsidRPr="00C22C49">
              <w:rPr>
                <w:i/>
                <w:iCs/>
                <w:color w:val="auto"/>
                <w:lang w:val="uk-UA"/>
              </w:rPr>
              <w:t>Інвестиції (у % щорічно)</w:t>
            </w:r>
          </w:p>
        </w:tc>
        <w:tc>
          <w:tcPr>
            <w:tcW w:w="827" w:type="dxa"/>
            <w:tcBorders>
              <w:left w:val="single" w:sz="4" w:space="0" w:color="1F3864" w:themeColor="accent1" w:themeShade="80"/>
            </w:tcBorders>
            <w:shd w:val="clear" w:color="auto" w:fill="D9E2F3" w:themeFill="accent1" w:themeFillTint="33"/>
          </w:tcPr>
          <w:p w14:paraId="0896B5C6" w14:textId="77777777" w:rsidR="00924A20" w:rsidRPr="00C22C49" w:rsidRDefault="00924A20" w:rsidP="0077742E">
            <w:pPr>
              <w:pStyle w:val="Table"/>
              <w:jc w:val="center"/>
              <w:rPr>
                <w:color w:val="auto"/>
                <w:lang w:val="uk-UA"/>
              </w:rPr>
            </w:pPr>
            <w:r w:rsidRPr="00C22C49">
              <w:rPr>
                <w:color w:val="auto"/>
                <w:lang w:val="uk-UA"/>
              </w:rPr>
              <w:t>16,1</w:t>
            </w:r>
          </w:p>
        </w:tc>
        <w:tc>
          <w:tcPr>
            <w:tcW w:w="827" w:type="dxa"/>
            <w:shd w:val="clear" w:color="auto" w:fill="D9E2F3" w:themeFill="accent1" w:themeFillTint="33"/>
          </w:tcPr>
          <w:p w14:paraId="0896B5C7" w14:textId="77777777" w:rsidR="00924A20" w:rsidRPr="00C22C49" w:rsidRDefault="00924A20" w:rsidP="0077742E">
            <w:pPr>
              <w:pStyle w:val="Table"/>
              <w:jc w:val="center"/>
              <w:rPr>
                <w:color w:val="auto"/>
                <w:lang w:val="uk-UA"/>
              </w:rPr>
            </w:pPr>
            <w:r w:rsidRPr="00C22C49">
              <w:rPr>
                <w:color w:val="auto"/>
                <w:lang w:val="uk-UA"/>
              </w:rPr>
              <w:t>16,6</w:t>
            </w:r>
          </w:p>
        </w:tc>
        <w:tc>
          <w:tcPr>
            <w:tcW w:w="827" w:type="dxa"/>
            <w:shd w:val="clear" w:color="auto" w:fill="D9E2F3" w:themeFill="accent1" w:themeFillTint="33"/>
          </w:tcPr>
          <w:p w14:paraId="0896B5C8" w14:textId="77777777" w:rsidR="00924A20" w:rsidRPr="00C22C49" w:rsidRDefault="00924A20" w:rsidP="0077742E">
            <w:pPr>
              <w:pStyle w:val="Table"/>
              <w:jc w:val="center"/>
              <w:rPr>
                <w:color w:val="auto"/>
                <w:lang w:val="uk-UA"/>
              </w:rPr>
            </w:pPr>
            <w:r w:rsidRPr="00C22C49">
              <w:rPr>
                <w:color w:val="auto"/>
                <w:lang w:val="uk-UA"/>
              </w:rPr>
              <w:t>11,7</w:t>
            </w:r>
          </w:p>
        </w:tc>
        <w:tc>
          <w:tcPr>
            <w:tcW w:w="826" w:type="dxa"/>
            <w:shd w:val="clear" w:color="auto" w:fill="D9E2F3" w:themeFill="accent1" w:themeFillTint="33"/>
          </w:tcPr>
          <w:p w14:paraId="0896B5C9" w14:textId="77777777" w:rsidR="00924A20" w:rsidRPr="00C22C49" w:rsidRDefault="00924A20" w:rsidP="0077742E">
            <w:pPr>
              <w:pStyle w:val="Table"/>
              <w:jc w:val="center"/>
              <w:rPr>
                <w:color w:val="auto"/>
                <w:lang w:val="uk-UA"/>
              </w:rPr>
            </w:pPr>
            <w:r w:rsidRPr="00C22C49">
              <w:rPr>
                <w:color w:val="auto"/>
                <w:lang w:val="uk-UA"/>
              </w:rPr>
              <w:t>-21,3</w:t>
            </w:r>
          </w:p>
        </w:tc>
        <w:tc>
          <w:tcPr>
            <w:tcW w:w="826" w:type="dxa"/>
            <w:shd w:val="clear" w:color="auto" w:fill="D9E2F3" w:themeFill="accent1" w:themeFillTint="33"/>
          </w:tcPr>
          <w:p w14:paraId="0896B5CA" w14:textId="77777777" w:rsidR="00924A20" w:rsidRPr="00C22C49" w:rsidRDefault="00924A20" w:rsidP="0077742E">
            <w:pPr>
              <w:pStyle w:val="Table"/>
              <w:jc w:val="center"/>
              <w:rPr>
                <w:color w:val="auto"/>
                <w:lang w:val="uk-UA"/>
              </w:rPr>
            </w:pPr>
            <w:r w:rsidRPr="00C22C49">
              <w:rPr>
                <w:color w:val="auto"/>
                <w:lang w:val="uk-UA"/>
              </w:rPr>
              <w:t>9,3</w:t>
            </w:r>
          </w:p>
        </w:tc>
      </w:tr>
      <w:tr w:rsidR="00F94955" w:rsidRPr="00C22C49" w14:paraId="0896B5D2" w14:textId="77777777" w:rsidTr="00F94955">
        <w:trPr>
          <w:cnfStyle w:val="000000100000" w:firstRow="0" w:lastRow="0" w:firstColumn="0" w:lastColumn="0" w:oddVBand="0" w:evenVBand="0" w:oddHBand="1" w:evenHBand="0" w:firstRowFirstColumn="0" w:firstRowLastColumn="0" w:lastRowFirstColumn="0" w:lastRowLastColumn="0"/>
          <w:jc w:val="center"/>
        </w:trPr>
        <w:tc>
          <w:tcPr>
            <w:tcW w:w="5823" w:type="dxa"/>
            <w:tcBorders>
              <w:right w:val="single" w:sz="4" w:space="0" w:color="1F3864" w:themeColor="accent1" w:themeShade="80"/>
            </w:tcBorders>
            <w:shd w:val="clear" w:color="auto" w:fill="auto"/>
          </w:tcPr>
          <w:p w14:paraId="0896B5CC" w14:textId="77777777" w:rsidR="00924A20" w:rsidRPr="00C22C49" w:rsidRDefault="00924A20" w:rsidP="00ED38D0">
            <w:pPr>
              <w:pStyle w:val="Table"/>
              <w:rPr>
                <w:i/>
                <w:iCs/>
                <w:color w:val="auto"/>
                <w:lang w:val="uk-UA"/>
              </w:rPr>
            </w:pPr>
            <w:r w:rsidRPr="00C22C49">
              <w:rPr>
                <w:i/>
                <w:iCs/>
                <w:color w:val="auto"/>
                <w:lang w:val="uk-UA"/>
              </w:rPr>
              <w:t>Курс національної валюти (до долара США)</w:t>
            </w:r>
          </w:p>
        </w:tc>
        <w:tc>
          <w:tcPr>
            <w:tcW w:w="827" w:type="dxa"/>
            <w:tcBorders>
              <w:left w:val="single" w:sz="4" w:space="0" w:color="1F3864" w:themeColor="accent1" w:themeShade="80"/>
            </w:tcBorders>
            <w:shd w:val="clear" w:color="auto" w:fill="auto"/>
          </w:tcPr>
          <w:p w14:paraId="0896B5CD" w14:textId="77777777" w:rsidR="00924A20" w:rsidRPr="00C22C49" w:rsidRDefault="00924A20" w:rsidP="0077742E">
            <w:pPr>
              <w:pStyle w:val="Table"/>
              <w:jc w:val="center"/>
              <w:rPr>
                <w:i/>
                <w:iCs/>
                <w:color w:val="auto"/>
                <w:lang w:val="uk-UA"/>
              </w:rPr>
            </w:pPr>
            <w:r w:rsidRPr="00C22C49">
              <w:rPr>
                <w:i/>
                <w:iCs/>
                <w:color w:val="auto"/>
                <w:lang w:val="uk-UA"/>
              </w:rPr>
              <w:t>28,3</w:t>
            </w:r>
          </w:p>
        </w:tc>
        <w:tc>
          <w:tcPr>
            <w:tcW w:w="827" w:type="dxa"/>
            <w:shd w:val="clear" w:color="auto" w:fill="auto"/>
          </w:tcPr>
          <w:p w14:paraId="0896B5CE" w14:textId="77777777" w:rsidR="00924A20" w:rsidRPr="00C22C49" w:rsidRDefault="00924A20" w:rsidP="0077742E">
            <w:pPr>
              <w:pStyle w:val="Table"/>
              <w:jc w:val="center"/>
              <w:rPr>
                <w:i/>
                <w:iCs/>
                <w:color w:val="auto"/>
                <w:lang w:val="uk-UA"/>
              </w:rPr>
            </w:pPr>
            <w:r w:rsidRPr="00C22C49">
              <w:rPr>
                <w:i/>
                <w:iCs/>
                <w:color w:val="auto"/>
                <w:lang w:val="uk-UA"/>
              </w:rPr>
              <w:t>27,8</w:t>
            </w:r>
          </w:p>
        </w:tc>
        <w:tc>
          <w:tcPr>
            <w:tcW w:w="827" w:type="dxa"/>
            <w:shd w:val="clear" w:color="auto" w:fill="auto"/>
          </w:tcPr>
          <w:p w14:paraId="0896B5CF" w14:textId="77777777" w:rsidR="00924A20" w:rsidRPr="00C22C49" w:rsidRDefault="00924A20" w:rsidP="0077742E">
            <w:pPr>
              <w:pStyle w:val="Table"/>
              <w:jc w:val="center"/>
              <w:rPr>
                <w:i/>
                <w:iCs/>
                <w:color w:val="auto"/>
                <w:lang w:val="uk-UA"/>
              </w:rPr>
            </w:pPr>
            <w:r w:rsidRPr="00C22C49">
              <w:rPr>
                <w:i/>
                <w:iCs/>
                <w:color w:val="auto"/>
                <w:lang w:val="uk-UA"/>
              </w:rPr>
              <w:t>23,8</w:t>
            </w:r>
          </w:p>
        </w:tc>
        <w:tc>
          <w:tcPr>
            <w:tcW w:w="826" w:type="dxa"/>
            <w:shd w:val="clear" w:color="auto" w:fill="auto"/>
          </w:tcPr>
          <w:p w14:paraId="0896B5D0" w14:textId="77777777" w:rsidR="00924A20" w:rsidRPr="00C22C49" w:rsidRDefault="00924A20" w:rsidP="0077742E">
            <w:pPr>
              <w:pStyle w:val="Table"/>
              <w:jc w:val="center"/>
              <w:rPr>
                <w:i/>
                <w:iCs/>
                <w:color w:val="auto"/>
                <w:lang w:val="uk-UA"/>
              </w:rPr>
            </w:pPr>
            <w:r w:rsidRPr="00C22C49">
              <w:rPr>
                <w:i/>
                <w:iCs/>
                <w:color w:val="auto"/>
                <w:lang w:val="uk-UA"/>
              </w:rPr>
              <w:t>28,6</w:t>
            </w:r>
          </w:p>
        </w:tc>
        <w:tc>
          <w:tcPr>
            <w:tcW w:w="826" w:type="dxa"/>
            <w:shd w:val="clear" w:color="auto" w:fill="auto"/>
          </w:tcPr>
          <w:p w14:paraId="0896B5D1" w14:textId="77777777" w:rsidR="00924A20" w:rsidRPr="00C22C49" w:rsidRDefault="00924A20" w:rsidP="0077742E">
            <w:pPr>
              <w:pStyle w:val="Table"/>
              <w:jc w:val="center"/>
              <w:rPr>
                <w:i/>
                <w:iCs/>
                <w:color w:val="auto"/>
                <w:lang w:val="uk-UA"/>
              </w:rPr>
            </w:pPr>
            <w:r w:rsidRPr="00C22C49">
              <w:rPr>
                <w:i/>
                <w:iCs/>
                <w:color w:val="auto"/>
                <w:lang w:val="uk-UA"/>
              </w:rPr>
              <w:t>27,4</w:t>
            </w:r>
          </w:p>
        </w:tc>
      </w:tr>
      <w:tr w:rsidR="00F94955" w:rsidRPr="00C22C49" w14:paraId="0896B5D9" w14:textId="77777777" w:rsidTr="00F94955">
        <w:trPr>
          <w:jc w:val="center"/>
        </w:trPr>
        <w:tc>
          <w:tcPr>
            <w:tcW w:w="5823" w:type="dxa"/>
            <w:tcBorders>
              <w:right w:val="single" w:sz="4" w:space="0" w:color="1F3864" w:themeColor="accent1" w:themeShade="80"/>
            </w:tcBorders>
            <w:shd w:val="clear" w:color="auto" w:fill="auto"/>
          </w:tcPr>
          <w:p w14:paraId="0896B5D3" w14:textId="77777777" w:rsidR="00924A20" w:rsidRPr="00C22C49" w:rsidRDefault="00924A20" w:rsidP="00ED38D0">
            <w:pPr>
              <w:pStyle w:val="Table"/>
              <w:rPr>
                <w:i/>
                <w:iCs/>
                <w:color w:val="auto"/>
                <w:lang w:val="uk-UA"/>
              </w:rPr>
            </w:pPr>
            <w:r w:rsidRPr="00C22C49">
              <w:rPr>
                <w:i/>
                <w:iCs/>
                <w:color w:val="auto"/>
                <w:lang w:val="uk-UA"/>
              </w:rPr>
              <w:t>Торговельний баланс (млрд. доларів США)</w:t>
            </w:r>
          </w:p>
        </w:tc>
        <w:tc>
          <w:tcPr>
            <w:tcW w:w="827" w:type="dxa"/>
            <w:tcBorders>
              <w:left w:val="single" w:sz="4" w:space="0" w:color="1F3864" w:themeColor="accent1" w:themeShade="80"/>
            </w:tcBorders>
            <w:shd w:val="clear" w:color="auto" w:fill="D9E2F3" w:themeFill="accent1" w:themeFillTint="33"/>
          </w:tcPr>
          <w:p w14:paraId="0896B5D4" w14:textId="77777777" w:rsidR="00924A20" w:rsidRPr="00C22C49" w:rsidRDefault="00924A20" w:rsidP="0077742E">
            <w:pPr>
              <w:pStyle w:val="Table"/>
              <w:jc w:val="center"/>
              <w:rPr>
                <w:color w:val="auto"/>
                <w:lang w:val="uk-UA"/>
              </w:rPr>
            </w:pPr>
            <w:r w:rsidRPr="00C22C49">
              <w:rPr>
                <w:color w:val="auto"/>
                <w:lang w:val="uk-UA"/>
              </w:rPr>
              <w:t>-9,7</w:t>
            </w:r>
          </w:p>
        </w:tc>
        <w:tc>
          <w:tcPr>
            <w:tcW w:w="827" w:type="dxa"/>
            <w:shd w:val="clear" w:color="auto" w:fill="D9E2F3" w:themeFill="accent1" w:themeFillTint="33"/>
          </w:tcPr>
          <w:p w14:paraId="0896B5D5" w14:textId="77777777" w:rsidR="00924A20" w:rsidRPr="00C22C49" w:rsidRDefault="00924A20" w:rsidP="0077742E">
            <w:pPr>
              <w:pStyle w:val="Table"/>
              <w:jc w:val="center"/>
              <w:rPr>
                <w:color w:val="auto"/>
                <w:lang w:val="uk-UA"/>
              </w:rPr>
            </w:pPr>
            <w:r w:rsidRPr="00C22C49">
              <w:rPr>
                <w:color w:val="auto"/>
                <w:lang w:val="uk-UA"/>
              </w:rPr>
              <w:t>-12,7</w:t>
            </w:r>
          </w:p>
        </w:tc>
        <w:tc>
          <w:tcPr>
            <w:tcW w:w="827" w:type="dxa"/>
            <w:shd w:val="clear" w:color="auto" w:fill="D9E2F3" w:themeFill="accent1" w:themeFillTint="33"/>
          </w:tcPr>
          <w:p w14:paraId="0896B5D6" w14:textId="77777777" w:rsidR="00924A20" w:rsidRPr="00C22C49" w:rsidRDefault="00924A20" w:rsidP="0077742E">
            <w:pPr>
              <w:pStyle w:val="Table"/>
              <w:jc w:val="center"/>
              <w:rPr>
                <w:color w:val="auto"/>
                <w:lang w:val="uk-UA"/>
              </w:rPr>
            </w:pPr>
            <w:r w:rsidRPr="00C22C49">
              <w:rPr>
                <w:color w:val="auto"/>
                <w:lang w:val="uk-UA"/>
              </w:rPr>
              <w:t>-14,3</w:t>
            </w:r>
          </w:p>
        </w:tc>
        <w:tc>
          <w:tcPr>
            <w:tcW w:w="826" w:type="dxa"/>
            <w:shd w:val="clear" w:color="auto" w:fill="D9E2F3" w:themeFill="accent1" w:themeFillTint="33"/>
          </w:tcPr>
          <w:p w14:paraId="0896B5D7" w14:textId="77777777" w:rsidR="00924A20" w:rsidRPr="00C22C49" w:rsidRDefault="00924A20" w:rsidP="0077742E">
            <w:pPr>
              <w:pStyle w:val="Table"/>
              <w:jc w:val="center"/>
              <w:rPr>
                <w:color w:val="auto"/>
                <w:lang w:val="uk-UA"/>
              </w:rPr>
            </w:pPr>
            <w:r w:rsidRPr="00C22C49">
              <w:rPr>
                <w:color w:val="auto"/>
                <w:lang w:val="uk-UA"/>
              </w:rPr>
              <w:t>-6,8</w:t>
            </w:r>
          </w:p>
        </w:tc>
        <w:tc>
          <w:tcPr>
            <w:tcW w:w="826" w:type="dxa"/>
            <w:shd w:val="clear" w:color="auto" w:fill="D9E2F3" w:themeFill="accent1" w:themeFillTint="33"/>
          </w:tcPr>
          <w:p w14:paraId="0896B5D8" w14:textId="77777777" w:rsidR="00924A20" w:rsidRPr="00C22C49" w:rsidRDefault="00924A20" w:rsidP="0077742E">
            <w:pPr>
              <w:pStyle w:val="Table"/>
              <w:jc w:val="center"/>
              <w:rPr>
                <w:color w:val="auto"/>
                <w:lang w:val="uk-UA"/>
              </w:rPr>
            </w:pPr>
            <w:r w:rsidRPr="00C22C49">
              <w:rPr>
                <w:color w:val="auto"/>
                <w:lang w:val="uk-UA"/>
              </w:rPr>
              <w:t>-6,6</w:t>
            </w:r>
          </w:p>
        </w:tc>
      </w:tr>
    </w:tbl>
    <w:p w14:paraId="0896B5DA" w14:textId="77777777" w:rsidR="00267576" w:rsidRPr="00C22C49" w:rsidRDefault="00AA52D9" w:rsidP="00AA52D9">
      <w:r w:rsidRPr="00C22C49">
        <w:t>Ключовими викликами для нинішньої економіки України є падіння виробництва, ріст числа безробітних, послаблення стійкості державних фінансів, загрози валютній стабільності. Унаслідок розгортання на території України повномасштабної війни припинили роботу понад третина промислових підприємств, значна частина яких пошкоджена та зруйнована.</w:t>
      </w:r>
    </w:p>
    <w:p w14:paraId="0896B5DB" w14:textId="77777777" w:rsidR="00D1085D" w:rsidRPr="00C22C49" w:rsidRDefault="002C3C0B" w:rsidP="00D1085D">
      <w:pPr>
        <w:rPr>
          <w:rFonts w:cs="Times New Roman"/>
          <w:szCs w:val="24"/>
        </w:rPr>
      </w:pPr>
      <w:r w:rsidRPr="00C22C49">
        <w:rPr>
          <w:rStyle w:val="affe"/>
          <w:b/>
        </w:rPr>
        <w:t>Впли</w:t>
      </w:r>
      <w:r w:rsidR="003A5D85" w:rsidRPr="00C22C49">
        <w:rPr>
          <w:rStyle w:val="affe"/>
          <w:b/>
        </w:rPr>
        <w:t>в ві</w:t>
      </w:r>
      <w:r w:rsidR="00CF2B24" w:rsidRPr="00C22C49">
        <w:rPr>
          <w:rStyle w:val="affe"/>
          <w:b/>
        </w:rPr>
        <w:t xml:space="preserve">йни </w:t>
      </w:r>
      <w:r w:rsidR="003A5D85" w:rsidRPr="00C22C49">
        <w:rPr>
          <w:rStyle w:val="affe"/>
          <w:b/>
        </w:rPr>
        <w:t>на сектор управління відходами</w:t>
      </w:r>
      <w:r w:rsidR="003A5D85" w:rsidRPr="00C22C49">
        <w:rPr>
          <w:rStyle w:val="affe"/>
        </w:rPr>
        <w:t>.</w:t>
      </w:r>
      <w:r w:rsidR="003A5D85" w:rsidRPr="00C22C49">
        <w:rPr>
          <w:rFonts w:cs="Times New Roman"/>
          <w:szCs w:val="24"/>
        </w:rPr>
        <w:t xml:space="preserve"> </w:t>
      </w:r>
      <w:r w:rsidR="009535B0" w:rsidRPr="00C22C49">
        <w:rPr>
          <w:rFonts w:cs="Times New Roman"/>
          <w:szCs w:val="24"/>
        </w:rPr>
        <w:t xml:space="preserve">Широкомасштабна російська збройна агресія проти України спричинила різке збільшення обсягів специфічних відходів, серед яких пошкоджені та покинуті транспортні засоби й обладнання, уламки снарядів, </w:t>
      </w:r>
      <w:r w:rsidR="00786041" w:rsidRPr="00C22C49">
        <w:rPr>
          <w:rFonts w:cs="Times New Roman"/>
          <w:szCs w:val="24"/>
        </w:rPr>
        <w:t xml:space="preserve">відходи </w:t>
      </w:r>
      <w:r w:rsidR="0058773D" w:rsidRPr="00C22C49">
        <w:rPr>
          <w:rFonts w:cs="Times New Roman"/>
          <w:szCs w:val="24"/>
        </w:rPr>
        <w:t>руйн</w:t>
      </w:r>
      <w:r w:rsidR="005436D1" w:rsidRPr="00C22C49">
        <w:rPr>
          <w:rFonts w:cs="Times New Roman"/>
          <w:szCs w:val="24"/>
        </w:rPr>
        <w:t>у</w:t>
      </w:r>
      <w:r w:rsidR="0058773D" w:rsidRPr="00C22C49">
        <w:rPr>
          <w:rFonts w:cs="Times New Roman"/>
          <w:szCs w:val="24"/>
        </w:rPr>
        <w:t xml:space="preserve">вання </w:t>
      </w:r>
      <w:r w:rsidR="00786041" w:rsidRPr="00C22C49">
        <w:rPr>
          <w:rFonts w:cs="Times New Roman"/>
          <w:szCs w:val="24"/>
        </w:rPr>
        <w:t>будівель</w:t>
      </w:r>
      <w:r w:rsidR="0058773D" w:rsidRPr="00C22C49">
        <w:rPr>
          <w:rFonts w:cs="Times New Roman"/>
          <w:szCs w:val="24"/>
        </w:rPr>
        <w:t xml:space="preserve"> та споруд </w:t>
      </w:r>
      <w:r w:rsidR="009535B0" w:rsidRPr="00C22C49">
        <w:rPr>
          <w:rFonts w:cs="Times New Roman"/>
          <w:szCs w:val="24"/>
        </w:rPr>
        <w:t xml:space="preserve">, побутові та медичні відходи. Деякі з відходів є досить </w:t>
      </w:r>
      <w:r w:rsidR="0058773D" w:rsidRPr="00C22C49">
        <w:rPr>
          <w:rFonts w:cs="Times New Roman"/>
          <w:szCs w:val="24"/>
        </w:rPr>
        <w:t>небезпечними</w:t>
      </w:r>
      <w:r w:rsidR="009535B0" w:rsidRPr="00C22C49">
        <w:rPr>
          <w:rFonts w:cs="Times New Roman"/>
          <w:szCs w:val="24"/>
        </w:rPr>
        <w:t xml:space="preserve">, особливо уламки снарядів, медичні відходи та </w:t>
      </w:r>
      <w:r w:rsidR="00F06679" w:rsidRPr="00C22C49">
        <w:rPr>
          <w:rFonts w:cs="Times New Roman"/>
          <w:szCs w:val="24"/>
        </w:rPr>
        <w:t xml:space="preserve">відходи </w:t>
      </w:r>
      <w:r w:rsidR="0058773D" w:rsidRPr="00C22C49">
        <w:rPr>
          <w:rFonts w:cs="Times New Roman"/>
          <w:szCs w:val="24"/>
        </w:rPr>
        <w:t xml:space="preserve">руйнування </w:t>
      </w:r>
      <w:r w:rsidR="00F06679" w:rsidRPr="00C22C49">
        <w:rPr>
          <w:rFonts w:cs="Times New Roman"/>
          <w:szCs w:val="24"/>
        </w:rPr>
        <w:t>будівель</w:t>
      </w:r>
      <w:r w:rsidR="0058773D" w:rsidRPr="00C22C49">
        <w:rPr>
          <w:rFonts w:cs="Times New Roman"/>
          <w:szCs w:val="24"/>
        </w:rPr>
        <w:t xml:space="preserve"> та споруд</w:t>
      </w:r>
      <w:r w:rsidR="00F06679" w:rsidRPr="00C22C49">
        <w:rPr>
          <w:rFonts w:cs="Times New Roman"/>
          <w:szCs w:val="24"/>
        </w:rPr>
        <w:t xml:space="preserve"> </w:t>
      </w:r>
      <w:r w:rsidR="009535B0" w:rsidRPr="00C22C49">
        <w:rPr>
          <w:rFonts w:cs="Times New Roman"/>
          <w:szCs w:val="24"/>
        </w:rPr>
        <w:t xml:space="preserve">з вмістом азбесту і важких металів. </w:t>
      </w:r>
    </w:p>
    <w:p w14:paraId="0896B5DC" w14:textId="77777777" w:rsidR="00D1085D" w:rsidRPr="00C22C49" w:rsidRDefault="00D1085D" w:rsidP="00D1085D">
      <w:pPr>
        <w:rPr>
          <w:rFonts w:cs="Times New Roman"/>
          <w:szCs w:val="24"/>
        </w:rPr>
      </w:pPr>
      <w:r w:rsidRPr="00C22C49">
        <w:rPr>
          <w:rFonts w:cs="Times New Roman"/>
          <w:szCs w:val="24"/>
        </w:rPr>
        <w:t xml:space="preserve">Так, за даними звіту «Україна: швидка оцінка завданої шкоди та потреб на відновлення», у країні було </w:t>
      </w:r>
      <w:r w:rsidRPr="00C22C49">
        <w:rPr>
          <w:rFonts w:cs="Times New Roman"/>
          <w:b/>
          <w:bCs/>
          <w:szCs w:val="24"/>
        </w:rPr>
        <w:t>знищено та пошкоджено 5 % сміттєзбиральних автомобілів, 17 % біогазових установок, 9 % сортувальних ліній</w:t>
      </w:r>
      <w:r w:rsidRPr="00C22C49">
        <w:rPr>
          <w:rFonts w:cs="Times New Roman"/>
          <w:szCs w:val="24"/>
        </w:rPr>
        <w:t xml:space="preserve">. Прямі збитки у сфері управління відходами – </w:t>
      </w:r>
      <w:r w:rsidRPr="00C22C49">
        <w:rPr>
          <w:rFonts w:cs="Times New Roman"/>
          <w:b/>
          <w:bCs/>
          <w:szCs w:val="24"/>
        </w:rPr>
        <w:t>95,36 млн дол. США</w:t>
      </w:r>
      <w:r w:rsidRPr="00C22C49">
        <w:rPr>
          <w:rFonts w:cs="Times New Roman"/>
          <w:szCs w:val="24"/>
        </w:rPr>
        <w:t xml:space="preserve">, орієнтовна вартість вивезення </w:t>
      </w:r>
      <w:r w:rsidR="00045198" w:rsidRPr="00C22C49">
        <w:rPr>
          <w:rFonts w:cs="Times New Roman"/>
          <w:szCs w:val="24"/>
        </w:rPr>
        <w:t xml:space="preserve">відходів </w:t>
      </w:r>
      <w:r w:rsidR="0058773D" w:rsidRPr="00C22C49">
        <w:rPr>
          <w:rFonts w:cs="Times New Roman"/>
          <w:szCs w:val="24"/>
        </w:rPr>
        <w:t xml:space="preserve">руйнування </w:t>
      </w:r>
      <w:r w:rsidR="00045198" w:rsidRPr="00C22C49">
        <w:rPr>
          <w:rFonts w:cs="Times New Roman"/>
          <w:szCs w:val="24"/>
        </w:rPr>
        <w:t>будівель</w:t>
      </w:r>
      <w:r w:rsidR="0058773D" w:rsidRPr="00C22C49">
        <w:rPr>
          <w:rFonts w:cs="Times New Roman"/>
          <w:szCs w:val="24"/>
        </w:rPr>
        <w:t xml:space="preserve"> та споруд</w:t>
      </w:r>
      <w:r w:rsidRPr="00C22C49">
        <w:rPr>
          <w:rFonts w:cs="Times New Roman"/>
          <w:szCs w:val="24"/>
        </w:rPr>
        <w:t xml:space="preserve"> та завалів – 320,7 млн дол. США, а втрати прибутків підприємств з </w:t>
      </w:r>
      <w:r w:rsidR="0058773D" w:rsidRPr="00C22C49">
        <w:rPr>
          <w:rFonts w:cs="Times New Roman"/>
          <w:szCs w:val="24"/>
        </w:rPr>
        <w:t xml:space="preserve">перероблення </w:t>
      </w:r>
      <w:r w:rsidR="00045198" w:rsidRPr="00C22C49">
        <w:rPr>
          <w:rFonts w:cs="Times New Roman"/>
          <w:szCs w:val="24"/>
        </w:rPr>
        <w:t xml:space="preserve">відходів </w:t>
      </w:r>
      <w:r w:rsidRPr="00C22C49">
        <w:rPr>
          <w:rFonts w:cs="Times New Roman"/>
          <w:szCs w:val="24"/>
        </w:rPr>
        <w:t xml:space="preserve">оцінюються в 11,9 млн дол. США. Такі підрахунки зроблено лише для окремих регіонів України, включно з територіями Донецької, Луганської, Харківської, Київської та Чернігівської областей, але вони дають змогу оцінити загальний масштаб потенційних збитків на всій території України. </w:t>
      </w:r>
    </w:p>
    <w:p w14:paraId="0896B5DD" w14:textId="77777777" w:rsidR="00D1085D" w:rsidRPr="00C22C49" w:rsidRDefault="00D1085D" w:rsidP="00D1085D">
      <w:pPr>
        <w:rPr>
          <w:rFonts w:cs="Times New Roman"/>
          <w:szCs w:val="24"/>
        </w:rPr>
      </w:pPr>
      <w:r w:rsidRPr="00C22C49">
        <w:rPr>
          <w:rFonts w:cs="Times New Roman"/>
          <w:szCs w:val="24"/>
        </w:rPr>
        <w:t xml:space="preserve">Водночас міжнародний і європейський досвід свідчить про можливість зменшити такі збитки за рахунок отримання вигоди від повторного використання окремих видів відходів війни, зруйнованих об’єктів та майна. </w:t>
      </w:r>
    </w:p>
    <w:p w14:paraId="0896B5DE" w14:textId="77777777" w:rsidR="0014672D" w:rsidRPr="00C22C49" w:rsidRDefault="0014672D" w:rsidP="0014672D">
      <w:pPr>
        <w:rPr>
          <w:rFonts w:cs="Times New Roman"/>
          <w:szCs w:val="24"/>
        </w:rPr>
      </w:pPr>
      <w:r w:rsidRPr="00C22C49">
        <w:rPr>
          <w:rFonts w:cs="Times New Roman"/>
          <w:szCs w:val="24"/>
        </w:rPr>
        <w:t xml:space="preserve">З огляду на те, що повоєнна відбудова України не повинна копіювати довоєнну структуру </w:t>
      </w:r>
      <w:r w:rsidR="0043723F" w:rsidRPr="00C22C49">
        <w:rPr>
          <w:rFonts w:cs="Times New Roman"/>
          <w:szCs w:val="24"/>
        </w:rPr>
        <w:t xml:space="preserve">сировинної </w:t>
      </w:r>
      <w:r w:rsidRPr="00C22C49">
        <w:rPr>
          <w:rFonts w:cs="Times New Roman"/>
          <w:szCs w:val="24"/>
        </w:rPr>
        <w:t xml:space="preserve">економіки, яка </w:t>
      </w:r>
      <w:r w:rsidR="00731F43" w:rsidRPr="00C22C49">
        <w:rPr>
          <w:rFonts w:cs="Times New Roman"/>
          <w:szCs w:val="24"/>
        </w:rPr>
        <w:t>була</w:t>
      </w:r>
      <w:r w:rsidRPr="00C22C49">
        <w:rPr>
          <w:rFonts w:cs="Times New Roman"/>
          <w:szCs w:val="24"/>
        </w:rPr>
        <w:t xml:space="preserve"> </w:t>
      </w:r>
      <w:r w:rsidR="00731F43" w:rsidRPr="00C22C49">
        <w:rPr>
          <w:rFonts w:cs="Times New Roman"/>
          <w:szCs w:val="24"/>
        </w:rPr>
        <w:t xml:space="preserve">спрямована </w:t>
      </w:r>
      <w:r w:rsidR="00ED0934" w:rsidRPr="00C22C49">
        <w:rPr>
          <w:rFonts w:cs="Times New Roman"/>
          <w:szCs w:val="24"/>
        </w:rPr>
        <w:t>добування та експорт природних ресурсів і менш сфокусована на переробній промисловості або виробництві вищого рівня.</w:t>
      </w:r>
      <w:r w:rsidR="005538AE" w:rsidRPr="00C22C49">
        <w:rPr>
          <w:rFonts w:cs="Times New Roman"/>
          <w:szCs w:val="24"/>
        </w:rPr>
        <w:t xml:space="preserve"> Така модель, незважаючи на короткострокові економічні вигоди, не є сталою в довгостроковій перспективі, оскільки вона залежить від зовнішніх ринків та цінової кон'юнктури, а також сприяє деградації навколишнього </w:t>
      </w:r>
      <w:r w:rsidR="0058773D" w:rsidRPr="00C22C49">
        <w:rPr>
          <w:rFonts w:cs="Times New Roman"/>
          <w:szCs w:val="24"/>
        </w:rPr>
        <w:t xml:space="preserve">природного </w:t>
      </w:r>
      <w:r w:rsidR="005538AE" w:rsidRPr="00C22C49">
        <w:rPr>
          <w:rFonts w:cs="Times New Roman"/>
          <w:szCs w:val="24"/>
        </w:rPr>
        <w:t xml:space="preserve">середовища. </w:t>
      </w:r>
      <w:r w:rsidR="00B10869" w:rsidRPr="00C22C49">
        <w:rPr>
          <w:rFonts w:cs="Times New Roman"/>
          <w:szCs w:val="24"/>
        </w:rPr>
        <w:t xml:space="preserve">В цьому контексті наукові дослідження, що сприяють розробленню та впровадженню ефективних методів </w:t>
      </w:r>
      <w:r w:rsidR="00FC2F17" w:rsidRPr="00C22C49">
        <w:rPr>
          <w:rFonts w:cs="Times New Roman"/>
          <w:szCs w:val="24"/>
        </w:rPr>
        <w:t xml:space="preserve">повторного використання відходів та </w:t>
      </w:r>
      <w:r w:rsidR="00B10869" w:rsidRPr="00C22C49">
        <w:rPr>
          <w:rFonts w:cs="Times New Roman"/>
          <w:szCs w:val="24"/>
        </w:rPr>
        <w:t>технологій рециклінгу відходів, набувають особливої важливості</w:t>
      </w:r>
      <w:r w:rsidRPr="00C22C49">
        <w:rPr>
          <w:rFonts w:cs="Times New Roman"/>
          <w:szCs w:val="24"/>
        </w:rPr>
        <w:t xml:space="preserve">. </w:t>
      </w:r>
    </w:p>
    <w:p w14:paraId="0896B5DF" w14:textId="77777777" w:rsidR="0014672D" w:rsidRPr="00C22C49" w:rsidRDefault="0014672D" w:rsidP="0014672D">
      <w:pPr>
        <w:rPr>
          <w:rFonts w:cs="Times New Roman"/>
          <w:szCs w:val="24"/>
        </w:rPr>
      </w:pPr>
      <w:r w:rsidRPr="00C22C49">
        <w:rPr>
          <w:rFonts w:cs="Times New Roman"/>
          <w:szCs w:val="24"/>
        </w:rPr>
        <w:t xml:space="preserve">Підготовка та проведення комплексних заходів з очищення навколишнього середовища, особливо пов’язаних зі збиранням, безпечним видаленням та </w:t>
      </w:r>
      <w:r w:rsidR="000C724B" w:rsidRPr="00C22C49">
        <w:rPr>
          <w:rFonts w:cs="Times New Roman"/>
          <w:szCs w:val="24"/>
        </w:rPr>
        <w:t>управлінням</w:t>
      </w:r>
      <w:r w:rsidRPr="00C22C49">
        <w:rPr>
          <w:rFonts w:cs="Times New Roman"/>
          <w:szCs w:val="24"/>
        </w:rPr>
        <w:t xml:space="preserve"> величезною кількістю </w:t>
      </w:r>
      <w:r w:rsidR="00DA0C81" w:rsidRPr="00C22C49">
        <w:rPr>
          <w:rFonts w:cs="Times New Roman"/>
          <w:szCs w:val="24"/>
        </w:rPr>
        <w:t>відходів</w:t>
      </w:r>
      <w:r w:rsidR="0058773D" w:rsidRPr="00C22C49">
        <w:rPr>
          <w:rFonts w:cs="Times New Roman"/>
          <w:szCs w:val="24"/>
        </w:rPr>
        <w:t>, у тому числ</w:t>
      </w:r>
      <w:r w:rsidR="00FC2F17" w:rsidRPr="00C22C49">
        <w:rPr>
          <w:rFonts w:cs="Times New Roman"/>
          <w:szCs w:val="24"/>
        </w:rPr>
        <w:t>і</w:t>
      </w:r>
      <w:r w:rsidR="0058773D" w:rsidRPr="00C22C49">
        <w:rPr>
          <w:rFonts w:cs="Times New Roman"/>
          <w:szCs w:val="24"/>
        </w:rPr>
        <w:t xml:space="preserve"> </w:t>
      </w:r>
      <w:r w:rsidR="00FC2F17" w:rsidRPr="00C22C49">
        <w:rPr>
          <w:rFonts w:cs="Times New Roman"/>
          <w:szCs w:val="24"/>
        </w:rPr>
        <w:t>відходів</w:t>
      </w:r>
      <w:r w:rsidR="00DA0C81" w:rsidRPr="00C22C49">
        <w:rPr>
          <w:rFonts w:cs="Times New Roman"/>
          <w:szCs w:val="24"/>
        </w:rPr>
        <w:t xml:space="preserve"> війни</w:t>
      </w:r>
      <w:r w:rsidRPr="00C22C49">
        <w:rPr>
          <w:rFonts w:cs="Times New Roman"/>
          <w:szCs w:val="24"/>
        </w:rPr>
        <w:t>, дасть змогу зменшити безпосередні ризики для</w:t>
      </w:r>
      <w:r w:rsidR="00A603C2" w:rsidRPr="00C22C49">
        <w:rPr>
          <w:rFonts w:cs="Times New Roman"/>
          <w:szCs w:val="24"/>
        </w:rPr>
        <w:t xml:space="preserve"> навколишнього </w:t>
      </w:r>
      <w:r w:rsidR="0058773D" w:rsidRPr="00C22C49">
        <w:rPr>
          <w:rFonts w:cs="Times New Roman"/>
          <w:szCs w:val="24"/>
        </w:rPr>
        <w:t xml:space="preserve">природного </w:t>
      </w:r>
      <w:r w:rsidR="00A603C2" w:rsidRPr="00C22C49">
        <w:rPr>
          <w:rFonts w:cs="Times New Roman"/>
          <w:szCs w:val="24"/>
        </w:rPr>
        <w:t>середовища</w:t>
      </w:r>
      <w:r w:rsidR="0058773D" w:rsidRPr="00C22C49">
        <w:rPr>
          <w:rFonts w:cs="Times New Roman"/>
          <w:szCs w:val="24"/>
        </w:rPr>
        <w:t xml:space="preserve"> та</w:t>
      </w:r>
      <w:r w:rsidRPr="00C22C49">
        <w:rPr>
          <w:rFonts w:cs="Times New Roman"/>
          <w:szCs w:val="24"/>
        </w:rPr>
        <w:t xml:space="preserve"> здоров’я </w:t>
      </w:r>
      <w:r w:rsidR="00603610" w:rsidRPr="00C22C49">
        <w:rPr>
          <w:rFonts w:cs="Times New Roman"/>
          <w:szCs w:val="24"/>
        </w:rPr>
        <w:t>людей</w:t>
      </w:r>
      <w:r w:rsidRPr="00C22C49">
        <w:rPr>
          <w:rFonts w:cs="Times New Roman"/>
          <w:szCs w:val="24"/>
        </w:rPr>
        <w:t xml:space="preserve">. </w:t>
      </w:r>
    </w:p>
    <w:p w14:paraId="0896B5E0" w14:textId="77777777" w:rsidR="00C8591B" w:rsidRPr="00C22C49" w:rsidRDefault="008F46CD" w:rsidP="003A5816">
      <w:pPr>
        <w:pStyle w:val="30"/>
      </w:pPr>
      <w:bookmarkStart w:id="9" w:name="_Toc151583262"/>
      <w:r w:rsidRPr="00C22C49">
        <w:t>Законодавство, політика та інституційна структура управління відходами</w:t>
      </w:r>
      <w:bookmarkEnd w:id="9"/>
    </w:p>
    <w:p w14:paraId="0896B5E1" w14:textId="77777777" w:rsidR="00C8591B" w:rsidRPr="00C22C49" w:rsidRDefault="00A02858" w:rsidP="007777F9">
      <w:pPr>
        <w:rPr>
          <w:b/>
          <w:bCs/>
        </w:rPr>
      </w:pPr>
      <w:r w:rsidRPr="00C22C49">
        <w:t>Основний закон</w:t>
      </w:r>
      <w:r w:rsidR="009373F3" w:rsidRPr="00C22C49">
        <w:t xml:space="preserve">, </w:t>
      </w:r>
      <w:r w:rsidR="008068C0" w:rsidRPr="00C22C49">
        <w:t>який регулював питання поводження з відх</w:t>
      </w:r>
      <w:r w:rsidR="006A7F44" w:rsidRPr="00C22C49">
        <w:t>одами</w:t>
      </w:r>
      <w:r w:rsidR="00944993" w:rsidRPr="00C22C49">
        <w:t xml:space="preserve"> останні десятиліття</w:t>
      </w:r>
      <w:r w:rsidR="006A7F44" w:rsidRPr="00C22C49">
        <w:t xml:space="preserve"> був ЗУ </w:t>
      </w:r>
      <w:r w:rsidR="006A7F44" w:rsidRPr="00C22C49">
        <w:rPr>
          <w:b/>
          <w:bCs/>
        </w:rPr>
        <w:t xml:space="preserve">«Про відходи» </w:t>
      </w:r>
      <w:r w:rsidR="006A7F44" w:rsidRPr="00C22C49">
        <w:t xml:space="preserve">№178 від </w:t>
      </w:r>
      <w:r w:rsidR="00B25EE9" w:rsidRPr="00C22C49">
        <w:t>05.03.1998р. На момент розроблення цього документу закон втратив чинність</w:t>
      </w:r>
      <w:r w:rsidR="00171D86" w:rsidRPr="00C22C49">
        <w:t>. На його заміну був розроблений закон</w:t>
      </w:r>
      <w:r w:rsidR="00252EED" w:rsidRPr="00C22C49">
        <w:t xml:space="preserve"> </w:t>
      </w:r>
      <w:r w:rsidR="00252EED" w:rsidRPr="00C22C49">
        <w:rPr>
          <w:b/>
          <w:bCs/>
        </w:rPr>
        <w:t>«Про управління відходами»</w:t>
      </w:r>
      <w:r w:rsidR="00252EED" w:rsidRPr="00C22C49">
        <w:t>, метою якого було імплементування положен</w:t>
      </w:r>
      <w:r w:rsidR="00133518" w:rsidRPr="00C22C49">
        <w:t>ня</w:t>
      </w:r>
      <w:r w:rsidR="00252EED" w:rsidRPr="00C22C49">
        <w:t xml:space="preserve"> директив ЄС</w:t>
      </w:r>
      <w:r w:rsidR="00882D5E" w:rsidRPr="00C22C49">
        <w:t>, а саме,</w:t>
      </w:r>
      <w:r w:rsidR="0022732C" w:rsidRPr="00C22C49">
        <w:t xml:space="preserve"> Директиви № 2008/98/ЄС</w:t>
      </w:r>
      <w:r w:rsidR="00647D5A" w:rsidRPr="00C22C49">
        <w:t xml:space="preserve"> про відходи</w:t>
      </w:r>
      <w:r w:rsidR="0022732C" w:rsidRPr="00C22C49">
        <w:t xml:space="preserve">, </w:t>
      </w:r>
      <w:r w:rsidR="007B2CB1" w:rsidRPr="00C22C49">
        <w:rPr>
          <w:rStyle w:val="rynqvb"/>
        </w:rPr>
        <w:t>деякі</w:t>
      </w:r>
      <w:r w:rsidR="0058773D" w:rsidRPr="00C22C49">
        <w:rPr>
          <w:rStyle w:val="rynqvb"/>
        </w:rPr>
        <w:t xml:space="preserve"> положення и</w:t>
      </w:r>
      <w:r w:rsidR="007B2CB1" w:rsidRPr="00C22C49">
        <w:t xml:space="preserve"> </w:t>
      </w:r>
      <w:r w:rsidR="0058773D" w:rsidRPr="00C22C49">
        <w:rPr>
          <w:rStyle w:val="rynqvb"/>
        </w:rPr>
        <w:t xml:space="preserve">правові основи для </w:t>
      </w:r>
      <w:r w:rsidR="007B2CB1" w:rsidRPr="00C22C49">
        <w:rPr>
          <w:rStyle w:val="rynqvb"/>
        </w:rPr>
        <w:t>впровадження</w:t>
      </w:r>
      <w:r w:rsidR="0058773D" w:rsidRPr="00C22C49">
        <w:rPr>
          <w:rStyle w:val="rynqvb"/>
        </w:rPr>
        <w:t xml:space="preserve"> </w:t>
      </w:r>
      <w:r w:rsidR="007B2CB1" w:rsidRPr="00C22C49">
        <w:t xml:space="preserve"> </w:t>
      </w:r>
      <w:r w:rsidR="000D0F08" w:rsidRPr="00C22C49">
        <w:t>Директив</w:t>
      </w:r>
      <w:r w:rsidR="0058773D" w:rsidRPr="00C22C49">
        <w:t>и</w:t>
      </w:r>
      <w:r w:rsidR="000D0F08" w:rsidRPr="00C22C49">
        <w:t xml:space="preserve"> № 1999/31/ЄС</w:t>
      </w:r>
      <w:r w:rsidR="00875846" w:rsidRPr="00C22C49">
        <w:t xml:space="preserve"> про захоронення відходів</w:t>
      </w:r>
      <w:r w:rsidR="0058773D" w:rsidRPr="00C22C49">
        <w:t xml:space="preserve">, положення </w:t>
      </w:r>
      <w:r w:rsidR="007D10F0" w:rsidRPr="00C22C49">
        <w:t>щодо спалювання відходів</w:t>
      </w:r>
      <w:r w:rsidR="0058773D" w:rsidRPr="00C22C49">
        <w:t xml:space="preserve"> Директиви</w:t>
      </w:r>
      <w:r w:rsidR="000D0F08" w:rsidRPr="00C22C49">
        <w:t xml:space="preserve"> </w:t>
      </w:r>
      <w:r w:rsidR="007B2CB1" w:rsidRPr="00C22C49">
        <w:t>2010/75/ЄС</w:t>
      </w:r>
      <w:r w:rsidR="00882D5E" w:rsidRPr="00C22C49">
        <w:t xml:space="preserve"> </w:t>
      </w:r>
      <w:r w:rsidR="007D10F0" w:rsidRPr="00C22C49">
        <w:t>про промислові викиди (інтегрований підхід до запобігання забрудненню та його контролю)</w:t>
      </w:r>
      <w:r w:rsidR="0058773D" w:rsidRPr="00C22C49">
        <w:t xml:space="preserve">, Директив щодо окремих потоків відходів продукції, яка підпадає під розширену відповідальність виробника, Базельської конвенції щодо транскордонного перевезення відходів та </w:t>
      </w:r>
      <w:r w:rsidR="00647D5A" w:rsidRPr="00C22C49">
        <w:rPr>
          <w:rStyle w:val="rynqvb"/>
        </w:rPr>
        <w:t>та інших</w:t>
      </w:r>
      <w:r w:rsidR="007B2CB1" w:rsidRPr="00C22C49" w:rsidDel="007B2CB1">
        <w:t xml:space="preserve"> </w:t>
      </w:r>
      <w:r w:rsidR="00400530" w:rsidRPr="00C22C49">
        <w:t>європейських актів</w:t>
      </w:r>
      <w:r w:rsidR="000D0F08" w:rsidRPr="00C22C49">
        <w:t xml:space="preserve">). Оскільки новий закон є рамковим, основні </w:t>
      </w:r>
      <w:r w:rsidR="002271E1" w:rsidRPr="00C22C49">
        <w:t>питання</w:t>
      </w:r>
      <w:r w:rsidR="000D0F08" w:rsidRPr="00C22C49">
        <w:t xml:space="preserve"> </w:t>
      </w:r>
      <w:r w:rsidR="00CA36D9" w:rsidRPr="00C22C49">
        <w:t xml:space="preserve">регулюються підзаконними актами та секторальними законами, які тільки вступають в дію або </w:t>
      </w:r>
      <w:r w:rsidR="00892C30" w:rsidRPr="00C22C49">
        <w:t xml:space="preserve">існують у вигляді проєктів, тому аналіз законодавства </w:t>
      </w:r>
      <w:r w:rsidR="00023835" w:rsidRPr="00C22C49">
        <w:t>прове</w:t>
      </w:r>
      <w:r w:rsidR="0007202A" w:rsidRPr="00C22C49">
        <w:t xml:space="preserve">дений </w:t>
      </w:r>
      <w:r w:rsidR="001B0E36" w:rsidRPr="00C22C49">
        <w:t xml:space="preserve">частково на основі </w:t>
      </w:r>
      <w:r w:rsidR="00C76CA5" w:rsidRPr="00C22C49">
        <w:t>чинни</w:t>
      </w:r>
      <w:r w:rsidR="001B0E36" w:rsidRPr="00C22C49">
        <w:t>х нпа.</w:t>
      </w:r>
    </w:p>
    <w:p w14:paraId="0896B5E2" w14:textId="77777777" w:rsidR="00227C2E" w:rsidRPr="00C22C49" w:rsidRDefault="00B35257" w:rsidP="007777F9">
      <w:r w:rsidRPr="00C22C49">
        <w:t xml:space="preserve">Основні засади (правові, організаційні, економічні) діяльності у сфері охорони навколишнього природного середовища визначає </w:t>
      </w:r>
      <w:r w:rsidR="004F4502" w:rsidRPr="00C22C49">
        <w:rPr>
          <w:b/>
          <w:bCs/>
        </w:rPr>
        <w:t>Закон України «Про охорону навколишнього природного середовища»</w:t>
      </w:r>
      <w:r w:rsidRPr="00C22C49">
        <w:rPr>
          <w:b/>
          <w:bCs/>
        </w:rPr>
        <w:t>.</w:t>
      </w:r>
    </w:p>
    <w:p w14:paraId="0896B5E3" w14:textId="77777777" w:rsidR="00B36650" w:rsidRPr="00C22C49" w:rsidRDefault="00B36650" w:rsidP="00B36650">
      <w:r w:rsidRPr="00C22C49">
        <w:t>Стосовно окремих потоків відходів, ці закони доповнюються наступними законодавчими актами:</w:t>
      </w:r>
    </w:p>
    <w:p w14:paraId="0896B5E4" w14:textId="77777777" w:rsidR="004F4502" w:rsidRPr="00C22C49" w:rsidRDefault="00B36650" w:rsidP="00367E97">
      <w:pPr>
        <w:pStyle w:val="REDBoldonly"/>
        <w:rPr>
          <w:rStyle w:val="affe"/>
        </w:rPr>
      </w:pPr>
      <w:r w:rsidRPr="00C22C49">
        <w:rPr>
          <w:rStyle w:val="affe"/>
        </w:rPr>
        <w:t>Побутові відходи</w:t>
      </w:r>
    </w:p>
    <w:p w14:paraId="0896B5E5" w14:textId="77777777" w:rsidR="00897AFC" w:rsidRPr="00C22C49" w:rsidRDefault="00897AFC" w:rsidP="00DC2C36">
      <w:pPr>
        <w:pStyle w:val="BulletRED"/>
      </w:pPr>
      <w:bookmarkStart w:id="10" w:name="_Toc129723837"/>
      <w:r w:rsidRPr="00C22C49">
        <w:t>Закон України «Про місцеве самоврядування в Україні» - компетенція та повноваження ОМС (сільських, селищних, міських рад) у сфері поводження з відходами.</w:t>
      </w:r>
      <w:bookmarkEnd w:id="10"/>
      <w:r w:rsidRPr="00C22C49">
        <w:t xml:space="preserve"> </w:t>
      </w:r>
    </w:p>
    <w:p w14:paraId="0896B5E6" w14:textId="77777777" w:rsidR="006B26B9" w:rsidRPr="00C22C49" w:rsidRDefault="0079238F" w:rsidP="00DC2C36">
      <w:pPr>
        <w:pStyle w:val="BulletRED"/>
      </w:pPr>
      <w:r w:rsidRPr="00C22C49">
        <w:t>Закон України «Про житлово-комунальні послуги» - питання надання та споживання житлово-комунальних послуг поводження з відходами, відноcини між їхніми виробниками, виконавцями і споживачами, а також їхні права та обов’язки.</w:t>
      </w:r>
    </w:p>
    <w:p w14:paraId="0896B5E7" w14:textId="77777777" w:rsidR="00DC2C36" w:rsidRPr="00C22C49" w:rsidRDefault="00DC2C36" w:rsidP="00DC2C36">
      <w:pPr>
        <w:pStyle w:val="BulletRED"/>
      </w:pPr>
      <w:r w:rsidRPr="00C22C49">
        <w:t xml:space="preserve">Закон України «Про благоустрій населених пунктів». Створення умов, сприятливих для життєдіяльності людини. Організація благоустрою населених пунктів. Експлуатація й обслуговування будівель та споруд, системи збирання і вивезення відходів. </w:t>
      </w:r>
    </w:p>
    <w:p w14:paraId="0896B5E9" w14:textId="77777777" w:rsidR="00333CA6" w:rsidRPr="00C22C49" w:rsidRDefault="008360D9" w:rsidP="00367E97">
      <w:pPr>
        <w:pStyle w:val="REDBoldonly"/>
        <w:rPr>
          <w:rStyle w:val="affe"/>
        </w:rPr>
      </w:pPr>
      <w:r w:rsidRPr="00C22C49">
        <w:rPr>
          <w:rStyle w:val="affe"/>
        </w:rPr>
        <w:t>Небезпечні відходи</w:t>
      </w:r>
    </w:p>
    <w:p w14:paraId="0896B5EA" w14:textId="77777777" w:rsidR="00333CA6" w:rsidRPr="00C22C49" w:rsidRDefault="00333CA6" w:rsidP="00333CA6">
      <w:pPr>
        <w:pStyle w:val="BulletRED"/>
      </w:pPr>
      <w:bookmarkStart w:id="11" w:name="_Toc129723847"/>
      <w:r w:rsidRPr="00C22C49">
        <w:t>Закон України «Про ліцензування видів господарської діяльності».</w:t>
      </w:r>
      <w:bookmarkEnd w:id="11"/>
      <w:r w:rsidRPr="00C22C49">
        <w:t xml:space="preserve"> </w:t>
      </w:r>
    </w:p>
    <w:p w14:paraId="0896B5EB" w14:textId="77777777" w:rsidR="00333CA6" w:rsidRPr="00C22C49" w:rsidRDefault="00333CA6" w:rsidP="00333CA6">
      <w:pPr>
        <w:pStyle w:val="BulletRED"/>
      </w:pPr>
      <w:r w:rsidRPr="00C22C49">
        <w:t>Постанова Кабінету Міністрів від 13 липня 2000 р. N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w:t>
      </w:r>
    </w:p>
    <w:p w14:paraId="0896B5EC" w14:textId="77777777" w:rsidR="00333CA6" w:rsidRPr="00C22C49" w:rsidRDefault="00333CA6" w:rsidP="00333CA6">
      <w:pPr>
        <w:pStyle w:val="BulletRED"/>
      </w:pPr>
      <w:r w:rsidRPr="00C22C49">
        <w:t>Закон України «Про ратифікацію Стокгольмської конвенції про стійкі органічні забруднювачі»</w:t>
      </w:r>
    </w:p>
    <w:p w14:paraId="0896B5ED" w14:textId="77777777" w:rsidR="00333CA6" w:rsidRPr="00C22C49" w:rsidRDefault="00333CA6" w:rsidP="00333CA6">
      <w:pPr>
        <w:pStyle w:val="BulletRED"/>
      </w:pPr>
      <w:r w:rsidRPr="00C22C49">
        <w:t>Закон України «Про приєднання України до Мінаматської конвенції про ртуть»</w:t>
      </w:r>
    </w:p>
    <w:p w14:paraId="0896B5EE" w14:textId="77777777" w:rsidR="00875700" w:rsidRPr="00C22C49" w:rsidRDefault="00D331F5" w:rsidP="001F1746">
      <w:pPr>
        <w:pStyle w:val="REDBoldonly"/>
        <w:rPr>
          <w:rStyle w:val="affe"/>
        </w:rPr>
      </w:pPr>
      <w:r w:rsidRPr="00C22C49">
        <w:rPr>
          <w:rStyle w:val="affe"/>
        </w:rPr>
        <w:t>Промислові відходи</w:t>
      </w:r>
    </w:p>
    <w:p w14:paraId="0896B5EF" w14:textId="77777777" w:rsidR="00875700" w:rsidRPr="00C22C49" w:rsidRDefault="00875700" w:rsidP="00875700">
      <w:pPr>
        <w:pStyle w:val="BulletRED"/>
        <w:ind w:left="924" w:hanging="357"/>
      </w:pPr>
      <w:r w:rsidRPr="00C22C49">
        <w:t>Кодекс України «Про надра»</w:t>
      </w:r>
    </w:p>
    <w:p w14:paraId="0896B5F0" w14:textId="77777777" w:rsidR="00875700" w:rsidRPr="00C22C49" w:rsidRDefault="00875700" w:rsidP="00875700">
      <w:pPr>
        <w:pStyle w:val="BulletRED"/>
        <w:ind w:left="924" w:hanging="357"/>
      </w:pPr>
      <w:r w:rsidRPr="00C22C49">
        <w:t>Закон України «Про забезпечення хімічної безпеки та управління хімічною продукцією»</w:t>
      </w:r>
    </w:p>
    <w:p w14:paraId="0896B5F1" w14:textId="77777777" w:rsidR="00875700" w:rsidRPr="00C22C49" w:rsidRDefault="00875700" w:rsidP="001F1746">
      <w:pPr>
        <w:pStyle w:val="BulletRED"/>
        <w:ind w:left="924" w:hanging="357"/>
        <w:rPr>
          <w:rStyle w:val="affe"/>
          <w:iCs w:val="0"/>
          <w:color w:val="auto"/>
        </w:rPr>
      </w:pPr>
      <w:r w:rsidRPr="00C22C49">
        <w:t>Закон України «Про металобрухт» (був окремим законом, за яким металобрухт не є відходами, Закон України "Про відходи" не поширюється на відносини, що виникають у процесі збирання, заготівлі та здійснення операцій з металобрухтом)</w:t>
      </w:r>
    </w:p>
    <w:p w14:paraId="0896B5F2" w14:textId="77777777" w:rsidR="008360D9" w:rsidRPr="00C22C49" w:rsidRDefault="008360D9" w:rsidP="00B96ECA">
      <w:pPr>
        <w:pStyle w:val="REDBoldonly"/>
        <w:rPr>
          <w:rStyle w:val="affe"/>
        </w:rPr>
      </w:pPr>
      <w:r w:rsidRPr="00C22C49">
        <w:rPr>
          <w:rStyle w:val="affe"/>
        </w:rPr>
        <w:t>Відходи будівництва та знесення</w:t>
      </w:r>
    </w:p>
    <w:p w14:paraId="0896B5F3" w14:textId="77777777" w:rsidR="00E15C49" w:rsidRPr="00C22C49" w:rsidRDefault="004720CE" w:rsidP="00CC7BCA">
      <w:pPr>
        <w:pStyle w:val="BulletRED"/>
      </w:pPr>
      <w:r w:rsidRPr="00C22C49">
        <w:t>Наказ</w:t>
      </w:r>
      <w:r w:rsidR="00FA1F4D" w:rsidRPr="00C22C49">
        <w:t xml:space="preserve"> </w:t>
      </w:r>
      <w:r w:rsidR="00A8286D" w:rsidRPr="00C22C49">
        <w:t>МОЗ</w:t>
      </w:r>
      <w:r w:rsidR="00602104" w:rsidRPr="00C22C49">
        <w:t xml:space="preserve"> </w:t>
      </w:r>
      <w:r w:rsidR="00FA1F4D" w:rsidRPr="00C22C49">
        <w:t>«</w:t>
      </w:r>
      <w:r w:rsidRPr="00C22C49">
        <w:t>Про затвердження Державних санітарних норм та правил утримання територій населених місць</w:t>
      </w:r>
      <w:r w:rsidR="00FA1F4D" w:rsidRPr="00C22C49">
        <w:t xml:space="preserve">» </w:t>
      </w:r>
      <w:r w:rsidR="00CC7BCA" w:rsidRPr="00C22C49">
        <w:t>№ 145 від 17.03 2011р. (перевезення великогабаритних  і  ремонтних відходів)</w:t>
      </w:r>
    </w:p>
    <w:p w14:paraId="0896B5F4" w14:textId="77777777" w:rsidR="008360D9" w:rsidRPr="00C22C49" w:rsidRDefault="008360D9" w:rsidP="00B96ECA">
      <w:pPr>
        <w:pStyle w:val="REDBoldonly"/>
        <w:rPr>
          <w:rStyle w:val="affe"/>
        </w:rPr>
      </w:pPr>
      <w:r w:rsidRPr="00C22C49">
        <w:rPr>
          <w:rStyle w:val="affe"/>
        </w:rPr>
        <w:t>Відходи сільського господарства</w:t>
      </w:r>
    </w:p>
    <w:p w14:paraId="0896B5F5" w14:textId="77777777" w:rsidR="00EF6DC4" w:rsidRPr="00C22C49" w:rsidRDefault="00EF6DC4" w:rsidP="00526382">
      <w:pPr>
        <w:pStyle w:val="BulletRED"/>
      </w:pPr>
      <w:r w:rsidRPr="00C22C49">
        <w:t xml:space="preserve">Закон України «Про побічні продукти тваринного походження, не призначені для споживання людиною» </w:t>
      </w:r>
    </w:p>
    <w:p w14:paraId="0896B5F6" w14:textId="77777777" w:rsidR="000E596E" w:rsidRPr="00C22C49" w:rsidRDefault="00787F77" w:rsidP="00526382">
      <w:pPr>
        <w:pStyle w:val="BulletRED"/>
      </w:pPr>
      <w:r w:rsidRPr="00C22C49">
        <w:t xml:space="preserve">Закон </w:t>
      </w:r>
      <w:r w:rsidR="00585CDB" w:rsidRPr="00C22C49">
        <w:t>«</w:t>
      </w:r>
      <w:r w:rsidRPr="00C22C49">
        <w:t>Про державну підтримку сільського господарства України</w:t>
      </w:r>
      <w:r w:rsidR="00585CDB" w:rsidRPr="00C22C49">
        <w:t>»</w:t>
      </w:r>
    </w:p>
    <w:p w14:paraId="0896B5F7" w14:textId="77777777" w:rsidR="00585CDB" w:rsidRPr="00C22C49" w:rsidRDefault="00585CDB" w:rsidP="00526382">
      <w:pPr>
        <w:pStyle w:val="BulletRED"/>
      </w:pPr>
      <w:r w:rsidRPr="00C22C49">
        <w:t>Закон «Про пестициди та агрохімікати»</w:t>
      </w:r>
    </w:p>
    <w:p w14:paraId="0896B5F8" w14:textId="77777777" w:rsidR="00837DB1" w:rsidRPr="00C22C49" w:rsidRDefault="00837DB1" w:rsidP="00526382">
      <w:pPr>
        <w:pStyle w:val="BulletRED"/>
      </w:pPr>
      <w:r w:rsidRPr="00C22C49">
        <w:t>Закон "Про ветеринарну медицину"</w:t>
      </w:r>
    </w:p>
    <w:p w14:paraId="0896B5F9" w14:textId="77777777" w:rsidR="008360D9" w:rsidRPr="00C22C49" w:rsidRDefault="008360D9" w:rsidP="00CC449C">
      <w:pPr>
        <w:pStyle w:val="REDBoldonly"/>
        <w:rPr>
          <w:rStyle w:val="affe"/>
        </w:rPr>
      </w:pPr>
      <w:r w:rsidRPr="00C22C49">
        <w:rPr>
          <w:rStyle w:val="affe"/>
        </w:rPr>
        <w:t>Медичні відходи</w:t>
      </w:r>
    </w:p>
    <w:p w14:paraId="0896B5FA" w14:textId="77777777" w:rsidR="00E15C49" w:rsidRPr="00C22C49" w:rsidRDefault="00DC272C" w:rsidP="00CC7BCA">
      <w:pPr>
        <w:pStyle w:val="BulletRED"/>
      </w:pPr>
      <w:r w:rsidRPr="00C22C49">
        <w:t>Наказ №325 Міністерства охорони здоров'я України «Про затвердження Державних санітарно-протиепідемічних правил і норм щодо поводження з медичними відходами» від 8.06.2015р</w:t>
      </w:r>
    </w:p>
    <w:p w14:paraId="0896B5FB" w14:textId="77777777" w:rsidR="0030363C" w:rsidRPr="00C22C49" w:rsidRDefault="008360D9" w:rsidP="00CC449C">
      <w:pPr>
        <w:pStyle w:val="REDBoldonly"/>
        <w:rPr>
          <w:rStyle w:val="affe"/>
        </w:rPr>
      </w:pPr>
      <w:r w:rsidRPr="00C22C49">
        <w:rPr>
          <w:rStyle w:val="affe"/>
        </w:rPr>
        <w:t>Відходи на які поширюється розширена відповідальність виробника</w:t>
      </w:r>
    </w:p>
    <w:p w14:paraId="0896B5FC" w14:textId="77777777" w:rsidR="0030363C" w:rsidRPr="00C22C49" w:rsidRDefault="009C41C7" w:rsidP="008360D9">
      <w:r w:rsidRPr="00C22C49">
        <w:t xml:space="preserve">Для визначення </w:t>
      </w:r>
      <w:r w:rsidR="0030363C" w:rsidRPr="00C22C49">
        <w:t>правов</w:t>
      </w:r>
      <w:r w:rsidR="003C0DAD" w:rsidRPr="00C22C49">
        <w:t>их</w:t>
      </w:r>
      <w:r w:rsidR="0030363C" w:rsidRPr="00C22C49">
        <w:t>, економічн</w:t>
      </w:r>
      <w:r w:rsidR="003C0DAD" w:rsidRPr="00C22C49">
        <w:t>их</w:t>
      </w:r>
      <w:r w:rsidR="0030363C" w:rsidRPr="00C22C49">
        <w:t xml:space="preserve"> і організаційн</w:t>
      </w:r>
      <w:r w:rsidR="003C0DAD" w:rsidRPr="00C22C49">
        <w:t>их</w:t>
      </w:r>
      <w:r w:rsidR="0030363C" w:rsidRPr="00C22C49">
        <w:t xml:space="preserve"> засад у сфері управління відходами </w:t>
      </w:r>
      <w:r w:rsidR="005F41AB" w:rsidRPr="00C22C49">
        <w:t xml:space="preserve">упаковки, електричного та електронного обладнання, батарей і акумуляторів </w:t>
      </w:r>
      <w:r w:rsidR="009D1EC7" w:rsidRPr="00C22C49">
        <w:t xml:space="preserve">розробляються законопроєкти </w:t>
      </w:r>
      <w:r w:rsidR="003C0DAD" w:rsidRPr="00C22C49">
        <w:t xml:space="preserve">«Про упаковку та відходи упаковки» </w:t>
      </w:r>
      <w:r w:rsidR="00E86C6A" w:rsidRPr="00C22C49">
        <w:t xml:space="preserve">«Про відходи електричного та електронного обладнання», </w:t>
      </w:r>
      <w:r w:rsidR="00D067DE" w:rsidRPr="00C22C49">
        <w:t xml:space="preserve">«Про батареї і акумулятори», </w:t>
      </w:r>
      <w:r w:rsidR="005F41AB" w:rsidRPr="00C22C49">
        <w:t xml:space="preserve">які відповідатимуть рамковому закону «Про управління відходами». </w:t>
      </w:r>
    </w:p>
    <w:p w14:paraId="0896B5FD" w14:textId="77777777" w:rsidR="008F7EBC" w:rsidRPr="00C22C49" w:rsidRDefault="00EC1953" w:rsidP="00802035">
      <w:pPr>
        <w:pStyle w:val="REDBoldonly"/>
      </w:pPr>
      <w:r w:rsidRPr="00C22C49">
        <w:t>Чинні закони, які регулюють зазначені потоки відходів</w:t>
      </w:r>
      <w:r w:rsidR="00036FA3" w:rsidRPr="00C22C49">
        <w:t>:</w:t>
      </w:r>
    </w:p>
    <w:p w14:paraId="0896B5FE" w14:textId="6A49B9A7" w:rsidR="0027040C" w:rsidRPr="00C22C49" w:rsidRDefault="00502629" w:rsidP="008360D9">
      <w:r w:rsidRPr="00502629">
        <w:rPr>
          <w:rStyle w:val="affe"/>
          <w:b/>
        </w:rPr>
        <w:t xml:space="preserve">Відходи електричного та електронного обладнання </w:t>
      </w:r>
      <w:r>
        <w:rPr>
          <w:rStyle w:val="affe"/>
          <w:b/>
        </w:rPr>
        <w:t>(</w:t>
      </w:r>
      <w:r w:rsidR="0027040C" w:rsidRPr="00C22C49">
        <w:rPr>
          <w:rStyle w:val="affe"/>
          <w:b/>
        </w:rPr>
        <w:t>ВЕЕО</w:t>
      </w:r>
      <w:r>
        <w:rPr>
          <w:rStyle w:val="affe"/>
          <w:b/>
        </w:rPr>
        <w:t>)</w:t>
      </w:r>
      <w:r w:rsidR="0027040C" w:rsidRPr="00C22C49">
        <w:t xml:space="preserve"> </w:t>
      </w:r>
      <w:r w:rsidR="00DD1F91" w:rsidRPr="00C22C49">
        <w:t xml:space="preserve">– </w:t>
      </w:r>
      <w:r w:rsidR="007A10B5" w:rsidRPr="00C22C49">
        <w:t>ЗУ «Про бухгалтерський облік та фінансову звітність в Україні». Визначає, що основні фонди підприємства до яких віднесено</w:t>
      </w:r>
      <w:r>
        <w:t xml:space="preserve"> </w:t>
      </w:r>
      <w:r w:rsidRPr="00502629">
        <w:t>електричного та електронного обладнання</w:t>
      </w:r>
      <w:r w:rsidR="007A10B5" w:rsidRPr="00C22C49">
        <w:t xml:space="preserve"> </w:t>
      </w:r>
      <w:r>
        <w:t>(</w:t>
      </w:r>
      <w:r w:rsidR="007A10B5" w:rsidRPr="00C22C49">
        <w:t>ЕЕО</w:t>
      </w:r>
      <w:r>
        <w:t>)</w:t>
      </w:r>
      <w:r w:rsidR="007A10B5" w:rsidRPr="00C22C49">
        <w:t>, підлягають обліку та списанню з балансу підприємств після чого підлягає обов’язковому знищенню (утилізації) на спеціалізованих підприємствах.</w:t>
      </w:r>
      <w:r w:rsidR="00036FA3" w:rsidRPr="00C22C49">
        <w:t xml:space="preserve"> </w:t>
      </w:r>
      <w:r w:rsidR="00DD1F91" w:rsidRPr="00C22C49">
        <w:t xml:space="preserve">Постанова </w:t>
      </w:r>
      <w:r w:rsidR="00246E70" w:rsidRPr="00246E70">
        <w:t>Кабінет</w:t>
      </w:r>
      <w:r w:rsidR="00246E70">
        <w:t>у</w:t>
      </w:r>
      <w:r w:rsidR="00246E70" w:rsidRPr="00246E70">
        <w:t xml:space="preserve"> Міністрів України </w:t>
      </w:r>
      <w:r w:rsidR="00246E70">
        <w:t>(</w:t>
      </w:r>
      <w:r w:rsidR="00DD1F91" w:rsidRPr="00C22C49">
        <w:t>КМУ</w:t>
      </w:r>
      <w:r w:rsidR="00246E70">
        <w:t>)</w:t>
      </w:r>
      <w:r w:rsidR="00DD1F91" w:rsidRPr="00C22C49">
        <w:t xml:space="preserve"> «Про затвердження Технічного регламенту обмеження використання деяких небезпечних речовин в електричному та електронному обладнанні» від 10 березня 2017 р. № 139.</w:t>
      </w:r>
      <w:r w:rsidR="003F6DB0" w:rsidRPr="00C22C49">
        <w:t xml:space="preserve"> установлює вимоги щодо обмеження використання небезпечних речовин в ЕЕЩ з метою забезпечення екологічно безпечної утилізації та видалення ВЕЕО.</w:t>
      </w:r>
    </w:p>
    <w:p w14:paraId="0896B5FF" w14:textId="77777777" w:rsidR="00197746" w:rsidRPr="00C22C49" w:rsidRDefault="00157226" w:rsidP="008360D9">
      <w:r w:rsidRPr="00C22C49">
        <w:rPr>
          <w:rStyle w:val="affe"/>
          <w:b/>
        </w:rPr>
        <w:t>Відходи батарей і акумуляторів</w:t>
      </w:r>
      <w:r w:rsidRPr="00C22C49">
        <w:t xml:space="preserve"> </w:t>
      </w:r>
      <w:r w:rsidR="00BB38A1" w:rsidRPr="00C22C49">
        <w:t>–</w:t>
      </w:r>
      <w:r w:rsidRPr="00C22C49">
        <w:t xml:space="preserve"> </w:t>
      </w:r>
      <w:r w:rsidR="00760E1E" w:rsidRPr="00C22C49">
        <w:t>Закон України «Про хімічні джерела струму»</w:t>
      </w:r>
      <w:r w:rsidR="000728DB" w:rsidRPr="00C22C49">
        <w:t xml:space="preserve">, «Положенням про порядок збирання та переробки відпрацьованих свинцево-кислотних акумуляторів» та «Правилами експлуатування акумуляторних свинцевих стартерних батарей колісних транспортних засобів і спеціальних машин, виконаних на колісних шасі». </w:t>
      </w:r>
    </w:p>
    <w:p w14:paraId="0896B600" w14:textId="77777777" w:rsidR="00BB38A1" w:rsidRPr="00C22C49" w:rsidRDefault="00BB38A1" w:rsidP="008360D9">
      <w:r w:rsidRPr="00C22C49">
        <w:rPr>
          <w:rStyle w:val="affe"/>
          <w:b/>
        </w:rPr>
        <w:t>Зняті з експлуатації транспортні засоби</w:t>
      </w:r>
      <w:r w:rsidRPr="00C22C49">
        <w:t xml:space="preserve"> </w:t>
      </w:r>
      <w:r w:rsidR="0020041E" w:rsidRPr="00C22C49">
        <w:t>- ЗУ «Про утилізацію транспортних засобів»</w:t>
      </w:r>
      <w:r w:rsidR="008B4CD2" w:rsidRPr="00C22C49">
        <w:t>. Законом надавалась можливість виробникам транспортних засобів (які здійснюють виробництво на території України) самостійно взяти на себе обов'язок утилізувати транспортні засоби власного виробництва.</w:t>
      </w:r>
    </w:p>
    <w:p w14:paraId="0896B601" w14:textId="77777777" w:rsidR="00197746" w:rsidRPr="00C22C49" w:rsidRDefault="00197746" w:rsidP="008360D9">
      <w:r w:rsidRPr="00C22C49">
        <w:rPr>
          <w:rStyle w:val="affe"/>
          <w:b/>
        </w:rPr>
        <w:t>Відходи мастил (олив)</w:t>
      </w:r>
      <w:r w:rsidRPr="00C22C49">
        <w:t xml:space="preserve"> </w:t>
      </w:r>
      <w:r w:rsidR="00DD1F91" w:rsidRPr="00C22C49">
        <w:t xml:space="preserve">– </w:t>
      </w:r>
      <w:r w:rsidR="00157226" w:rsidRPr="00C22C49">
        <w:t>Постанова КМУ «Деякі питання збирання, перевезення, зберігання, оброблення (перероблення), утилізації та/або знешкодження відпрацьованих мастил (олив)» від 17.12.2012 № 1221.,</w:t>
      </w:r>
    </w:p>
    <w:p w14:paraId="0896B602" w14:textId="77777777" w:rsidR="00DC2C36" w:rsidRPr="00C22C49" w:rsidRDefault="00FD412E" w:rsidP="007777F9">
      <w:r w:rsidRPr="00C22C49">
        <w:rPr>
          <w:rStyle w:val="affe"/>
          <w:b/>
        </w:rPr>
        <w:t>Відходи шин</w:t>
      </w:r>
      <w:r w:rsidRPr="00C22C49">
        <w:t xml:space="preserve"> </w:t>
      </w:r>
      <w:r w:rsidR="00DD1F91" w:rsidRPr="00C22C49">
        <w:t xml:space="preserve">– </w:t>
      </w:r>
      <w:r w:rsidR="00F767DD" w:rsidRPr="00C22C49">
        <w:t xml:space="preserve">Постанова КМУ «Деякі питання збирання, заготівлі та утилізації зношених шин» від 27 липня 2011 року № 1136, яка передбачає розширену відповідальність виробника для </w:t>
      </w:r>
      <w:r w:rsidR="00981CF6" w:rsidRPr="00C22C49">
        <w:t>зношени</w:t>
      </w:r>
      <w:r w:rsidR="00F767DD" w:rsidRPr="00C22C49">
        <w:t>х шин.</w:t>
      </w:r>
    </w:p>
    <w:p w14:paraId="0896B603" w14:textId="77777777" w:rsidR="00227C2E" w:rsidRPr="00C22C49" w:rsidRDefault="00894039" w:rsidP="0029660D">
      <w:pPr>
        <w:pStyle w:val="REDBoldonly"/>
      </w:pPr>
      <w:r w:rsidRPr="00C22C49">
        <w:t>Політика</w:t>
      </w:r>
      <w:r w:rsidR="009D37C8" w:rsidRPr="00C22C49">
        <w:t xml:space="preserve"> у сфері управління відходами</w:t>
      </w:r>
      <w:r w:rsidR="00227C2E" w:rsidRPr="00C22C49">
        <w:t xml:space="preserve"> на державному рівні</w:t>
      </w:r>
    </w:p>
    <w:p w14:paraId="0896B604" w14:textId="77777777" w:rsidR="00227C2E" w:rsidRPr="00C22C49" w:rsidRDefault="00227C2E" w:rsidP="00227C2E">
      <w:pPr>
        <w:rPr>
          <w:rFonts w:cs="Times New Roman"/>
          <w:szCs w:val="24"/>
        </w:rPr>
      </w:pPr>
      <w:r w:rsidRPr="00C22C49">
        <w:rPr>
          <w:rStyle w:val="affe"/>
          <w:b/>
        </w:rPr>
        <w:t>Національна стратегія управління відходами в Україні до 2030 року</w:t>
      </w:r>
      <w:r w:rsidR="00123AA5" w:rsidRPr="00C22C49">
        <w:rPr>
          <w:rStyle w:val="affe"/>
          <w:b/>
        </w:rPr>
        <w:t xml:space="preserve"> </w:t>
      </w:r>
      <w:bookmarkStart w:id="12" w:name="_Hlk139880686"/>
      <w:r w:rsidR="00123AA5" w:rsidRPr="00C22C49">
        <w:rPr>
          <w:rStyle w:val="affe"/>
          <w:b/>
        </w:rPr>
        <w:t>(НСУВ до 2030р.)</w:t>
      </w:r>
      <w:r w:rsidRPr="00C22C49">
        <w:rPr>
          <w:rFonts w:cs="Times New Roman"/>
          <w:b/>
          <w:bCs/>
          <w:szCs w:val="24"/>
        </w:rPr>
        <w:t xml:space="preserve"> </w:t>
      </w:r>
      <w:bookmarkEnd w:id="12"/>
      <w:r w:rsidRPr="00C22C49">
        <w:rPr>
          <w:rFonts w:cs="Times New Roman"/>
          <w:szCs w:val="24"/>
        </w:rPr>
        <w:t xml:space="preserve">(Розпорядження Кабінету Міністрів України від 8 листопада </w:t>
      </w:r>
      <w:r w:rsidRPr="00C22C49">
        <w:rPr>
          <w:rFonts w:cs="Times New Roman"/>
          <w:b/>
          <w:bCs/>
          <w:szCs w:val="24"/>
        </w:rPr>
        <w:t>2017 р</w:t>
      </w:r>
      <w:r w:rsidRPr="00C22C49">
        <w:rPr>
          <w:rFonts w:cs="Times New Roman"/>
          <w:szCs w:val="24"/>
        </w:rPr>
        <w:t>. № 820-р)</w:t>
      </w:r>
      <w:r w:rsidR="00454823" w:rsidRPr="00C22C49">
        <w:rPr>
          <w:rFonts w:cs="Times New Roman"/>
          <w:szCs w:val="24"/>
        </w:rPr>
        <w:t>.</w:t>
      </w:r>
      <w:r w:rsidRPr="00C22C49">
        <w:rPr>
          <w:rFonts w:cs="Times New Roman"/>
          <w:szCs w:val="24"/>
        </w:rPr>
        <w:t xml:space="preserve"> </w:t>
      </w:r>
      <w:r w:rsidR="00454823" w:rsidRPr="00C22C49">
        <w:rPr>
          <w:rFonts w:cs="Times New Roman"/>
          <w:szCs w:val="24"/>
        </w:rPr>
        <w:t>Стратегія визначає головні напрями державного регулювання у сфері поводження з відходами до 2030 року з урахуванням європейських підходів з питань управління відходами, що базуються на положеннях європейських директив</w:t>
      </w:r>
      <w:r w:rsidRPr="00C22C49">
        <w:rPr>
          <w:rFonts w:cs="Times New Roman"/>
          <w:szCs w:val="24"/>
        </w:rPr>
        <w:t xml:space="preserve">. </w:t>
      </w:r>
    </w:p>
    <w:p w14:paraId="0896B605" w14:textId="77777777" w:rsidR="00227C2E" w:rsidRPr="00C22C49" w:rsidRDefault="00227C2E" w:rsidP="00227C2E">
      <w:pPr>
        <w:rPr>
          <w:rFonts w:cs="Times New Roman"/>
          <w:szCs w:val="24"/>
        </w:rPr>
      </w:pPr>
      <w:r w:rsidRPr="00C22C49">
        <w:rPr>
          <w:rStyle w:val="affe"/>
          <w:b/>
        </w:rPr>
        <w:t>Національний план управління відходами до 2030 року</w:t>
      </w:r>
      <w:r w:rsidRPr="00C22C49">
        <w:rPr>
          <w:rFonts w:cs="Times New Roman"/>
          <w:b/>
          <w:szCs w:val="24"/>
        </w:rPr>
        <w:t xml:space="preserve"> </w:t>
      </w:r>
      <w:r w:rsidR="00123AA5" w:rsidRPr="00C22C49">
        <w:rPr>
          <w:rStyle w:val="affe"/>
          <w:b/>
        </w:rPr>
        <w:t>(НПУВ до 2030р.)</w:t>
      </w:r>
      <w:r w:rsidR="00123AA5" w:rsidRPr="00C22C49">
        <w:rPr>
          <w:rFonts w:cs="Times New Roman"/>
          <w:b/>
          <w:bCs/>
          <w:szCs w:val="24"/>
        </w:rPr>
        <w:t xml:space="preserve"> </w:t>
      </w:r>
      <w:r w:rsidRPr="00C22C49">
        <w:rPr>
          <w:rFonts w:cs="Times New Roman"/>
          <w:szCs w:val="24"/>
        </w:rPr>
        <w:t xml:space="preserve">(Розпорядження Кабінету Міністрів України від 20 лютого </w:t>
      </w:r>
      <w:r w:rsidRPr="00C22C49">
        <w:rPr>
          <w:rFonts w:cs="Times New Roman"/>
          <w:b/>
          <w:bCs/>
          <w:szCs w:val="24"/>
        </w:rPr>
        <w:t>2019 р.</w:t>
      </w:r>
      <w:r w:rsidRPr="00C22C49">
        <w:rPr>
          <w:rFonts w:cs="Times New Roman"/>
          <w:szCs w:val="24"/>
        </w:rPr>
        <w:t xml:space="preserve"> № 117-р) </w:t>
      </w:r>
      <w:r w:rsidR="009D37C8" w:rsidRPr="00C22C49">
        <w:rPr>
          <w:rFonts w:cs="Times New Roman"/>
          <w:szCs w:val="24"/>
        </w:rPr>
        <w:t>Основними завданнями Національного плану управління відходами є визначення конкретних заходів, передбачених Стратегією, відповідальних виконавців та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реформування у сфері поводження з відходами.</w:t>
      </w:r>
    </w:p>
    <w:p w14:paraId="0896B606" w14:textId="77777777" w:rsidR="00C44441" w:rsidRPr="00C22C49" w:rsidRDefault="00D51435" w:rsidP="00BA6797">
      <w:r w:rsidRPr="00C22C49">
        <w:rPr>
          <w:rStyle w:val="affe"/>
          <w:b/>
        </w:rPr>
        <w:t>Основні засади (стратегія) державної екологічної політики України на період до 2030 року</w:t>
      </w:r>
      <w:r w:rsidR="00E5027A" w:rsidRPr="00C22C49">
        <w:t xml:space="preserve"> (</w:t>
      </w:r>
      <w:r w:rsidR="00BA6797" w:rsidRPr="00C22C49">
        <w:t xml:space="preserve">Затверджено Законом України від 28 лютого 2019 року № 2697-VIII). </w:t>
      </w:r>
      <w:r w:rsidR="00AF3706" w:rsidRPr="00C22C49">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w:t>
      </w:r>
      <w:r w:rsidR="00AB0692" w:rsidRPr="00C22C49">
        <w:t>.</w:t>
      </w:r>
      <w:r w:rsidR="00AF3706" w:rsidRPr="00C22C49">
        <w:t xml:space="preserve"> </w:t>
      </w:r>
      <w:r w:rsidR="0068547C" w:rsidRPr="00C22C49">
        <w:t xml:space="preserve">Стратегія закріплює </w:t>
      </w:r>
      <w:r w:rsidR="007550A5" w:rsidRPr="00C22C49">
        <w:t xml:space="preserve">ЦП НСУВ до 2030р. щодо </w:t>
      </w:r>
      <w:r w:rsidR="00AB0692" w:rsidRPr="00C22C49">
        <w:t xml:space="preserve">зменшення </w:t>
      </w:r>
      <w:r w:rsidR="007550A5" w:rsidRPr="00C22C49">
        <w:t>ч</w:t>
      </w:r>
      <w:r w:rsidR="0068547C" w:rsidRPr="00C22C49">
        <w:t>астк</w:t>
      </w:r>
      <w:r w:rsidR="007550A5" w:rsidRPr="00C22C49">
        <w:t>и</w:t>
      </w:r>
      <w:r w:rsidR="0068547C" w:rsidRPr="00C22C49">
        <w:t xml:space="preserve"> відходів, що захоронюються </w:t>
      </w:r>
      <w:r w:rsidR="00AB0692" w:rsidRPr="00C22C49">
        <w:t xml:space="preserve">з 50% до </w:t>
      </w:r>
      <w:r w:rsidR="0068547C" w:rsidRPr="00C22C49">
        <w:t>35</w:t>
      </w:r>
      <w:r w:rsidR="007550A5" w:rsidRPr="00C22C49">
        <w:t>%</w:t>
      </w:r>
      <w:r w:rsidR="00AB0692" w:rsidRPr="00C22C49">
        <w:t xml:space="preserve"> у 2030 році.</w:t>
      </w:r>
    </w:p>
    <w:p w14:paraId="0896B607" w14:textId="77777777" w:rsidR="0029660D" w:rsidRPr="00C22C49" w:rsidRDefault="006715D8" w:rsidP="007777F9">
      <w:r w:rsidRPr="00C22C49">
        <w:t xml:space="preserve">Незважаючи на спрямованість політики на досягнення європейської </w:t>
      </w:r>
      <w:r w:rsidR="0069454D" w:rsidRPr="00C22C49">
        <w:t>системи</w:t>
      </w:r>
      <w:r w:rsidR="00E3790E" w:rsidRPr="00C22C49">
        <w:t xml:space="preserve"> управління відходами, </w:t>
      </w:r>
      <w:r w:rsidR="00485D58" w:rsidRPr="00C22C49">
        <w:t>реалізація на практиці</w:t>
      </w:r>
      <w:r w:rsidR="00D92CE5" w:rsidRPr="00C22C49">
        <w:t xml:space="preserve"> визначених цілей не</w:t>
      </w:r>
      <w:r w:rsidR="00BD2B4D" w:rsidRPr="00C22C49">
        <w:t xml:space="preserve"> була </w:t>
      </w:r>
      <w:r w:rsidR="00BB7A04" w:rsidRPr="00C22C49">
        <w:t xml:space="preserve">повністю </w:t>
      </w:r>
      <w:r w:rsidR="00BD2B4D" w:rsidRPr="00C22C49">
        <w:t>здійснена</w:t>
      </w:r>
      <w:r w:rsidR="005C57FA" w:rsidRPr="00C22C49">
        <w:t xml:space="preserve">. </w:t>
      </w:r>
    </w:p>
    <w:p w14:paraId="0896B608" w14:textId="77777777" w:rsidR="0029660D" w:rsidRPr="00C22C49" w:rsidRDefault="0029660D" w:rsidP="0029660D">
      <w:pPr>
        <w:pStyle w:val="REDBoldonly"/>
      </w:pPr>
      <w:r w:rsidRPr="00C22C49">
        <w:t>Чинна інституційна структура управління відходами</w:t>
      </w:r>
    </w:p>
    <w:p w14:paraId="0896B609" w14:textId="77777777" w:rsidR="00B51070" w:rsidRPr="00C22C49" w:rsidRDefault="00B51070" w:rsidP="00B51070">
      <w:r w:rsidRPr="00C22C49">
        <w:t xml:space="preserve">Чинна інституційна структура управління відходами покладає основні обов'язки у сфері управління відходами на у сфері </w:t>
      </w:r>
      <w:r w:rsidR="000F701A" w:rsidRPr="00C22C49">
        <w:t>управління</w:t>
      </w:r>
      <w:r w:rsidRPr="00C22C49">
        <w:t xml:space="preserve"> відходами</w:t>
      </w:r>
      <w:r w:rsidR="000F701A" w:rsidRPr="00C22C49">
        <w:t xml:space="preserve"> на</w:t>
      </w:r>
      <w:r w:rsidRPr="00C22C49">
        <w:t xml:space="preserve">: </w:t>
      </w:r>
    </w:p>
    <w:p w14:paraId="0896B60A" w14:textId="1A44ABE9" w:rsidR="00B51070" w:rsidRPr="00C22C49" w:rsidRDefault="00B51070" w:rsidP="00045198">
      <w:pPr>
        <w:pStyle w:val="BulletRED"/>
      </w:pPr>
      <w:r w:rsidRPr="00C22C49">
        <w:rPr>
          <w:rStyle w:val="affe"/>
          <w:b/>
        </w:rPr>
        <w:t>Міністерство захисту довкілля та природних ресурсів України</w:t>
      </w:r>
      <w:r w:rsidR="00491B1A" w:rsidRPr="00C22C49">
        <w:rPr>
          <w:rStyle w:val="affe"/>
        </w:rPr>
        <w:t xml:space="preserve"> </w:t>
      </w:r>
      <w:r w:rsidR="00491B1A" w:rsidRPr="00C22C49">
        <w:t>(</w:t>
      </w:r>
      <w:r w:rsidR="00515694" w:rsidRPr="00C22C49">
        <w:t xml:space="preserve">формує та </w:t>
      </w:r>
      <w:r w:rsidR="00491B1A" w:rsidRPr="00C22C49">
        <w:t>реаліз</w:t>
      </w:r>
      <w:r w:rsidR="00515694" w:rsidRPr="00C22C49">
        <w:t>ує</w:t>
      </w:r>
      <w:r w:rsidR="00491B1A" w:rsidRPr="00C22C49">
        <w:t xml:space="preserve"> державн</w:t>
      </w:r>
      <w:r w:rsidR="00515694" w:rsidRPr="00C22C49">
        <w:t>у</w:t>
      </w:r>
      <w:r w:rsidR="00491B1A" w:rsidRPr="00C22C49">
        <w:t xml:space="preserve"> політик</w:t>
      </w:r>
      <w:r w:rsidR="007358E2" w:rsidRPr="00C22C49">
        <w:t>у</w:t>
      </w:r>
      <w:r w:rsidR="00491B1A" w:rsidRPr="00C22C49">
        <w:t xml:space="preserve"> у сфері</w:t>
      </w:r>
      <w:r w:rsidR="004F36D9" w:rsidRPr="00C22C49">
        <w:t xml:space="preserve"> </w:t>
      </w:r>
      <w:r w:rsidR="00491B1A" w:rsidRPr="00C22C49">
        <w:t>охорони навколишнього природного середовищ</w:t>
      </w:r>
      <w:r w:rsidR="004F36D9" w:rsidRPr="00C22C49">
        <w:t xml:space="preserve">а </w:t>
      </w:r>
      <w:r w:rsidR="00894AE6">
        <w:t>та</w:t>
      </w:r>
      <w:r w:rsidR="00515694" w:rsidRPr="00C22C49">
        <w:t xml:space="preserve"> </w:t>
      </w:r>
      <w:r w:rsidR="00157FC3">
        <w:t>управління</w:t>
      </w:r>
      <w:r w:rsidR="004F36D9" w:rsidRPr="00C22C49">
        <w:t xml:space="preserve"> відходами)</w:t>
      </w:r>
      <w:r w:rsidRPr="00C22C49">
        <w:t xml:space="preserve">, </w:t>
      </w:r>
    </w:p>
    <w:p w14:paraId="0896B60B" w14:textId="77777777" w:rsidR="00B51070" w:rsidRPr="00C22C49" w:rsidRDefault="00B51070" w:rsidP="00B51070">
      <w:pPr>
        <w:pStyle w:val="BulletRED"/>
      </w:pPr>
      <w:r w:rsidRPr="00C22C49">
        <w:rPr>
          <w:rStyle w:val="affe"/>
          <w:b/>
        </w:rPr>
        <w:t>Міністерство інфраструктури України</w:t>
      </w:r>
      <w:r w:rsidR="003359A0" w:rsidRPr="00C22C49">
        <w:t xml:space="preserve"> (забезпечує формування та реалізує державну політику у сфері управління побутовими відходами та житлово-комунального господарства).</w:t>
      </w:r>
      <w:r w:rsidR="0067251D" w:rsidRPr="00C22C49">
        <w:t xml:space="preserve"> Ці повноваження передані</w:t>
      </w:r>
      <w:r w:rsidR="003359A0" w:rsidRPr="00C22C49">
        <w:t xml:space="preserve"> після об’єднання двох міністерств Мінінфраструктури та Мінрегіону у кінці 2022 року. Раніше ці функції були покладенні виключно на Мінрегіон.</w:t>
      </w:r>
    </w:p>
    <w:p w14:paraId="0896B60C" w14:textId="77777777" w:rsidR="00B51070" w:rsidRDefault="00B51070" w:rsidP="00B51070">
      <w:pPr>
        <w:pStyle w:val="BulletRED"/>
      </w:pPr>
      <w:r w:rsidRPr="00C22C49">
        <w:rPr>
          <w:rStyle w:val="affe"/>
          <w:b/>
        </w:rPr>
        <w:t>Державн</w:t>
      </w:r>
      <w:r w:rsidR="000F701A" w:rsidRPr="00C22C49">
        <w:rPr>
          <w:rStyle w:val="affe"/>
          <w:b/>
        </w:rPr>
        <w:t>у</w:t>
      </w:r>
      <w:r w:rsidRPr="00C22C49">
        <w:rPr>
          <w:rStyle w:val="affe"/>
          <w:b/>
        </w:rPr>
        <w:t xml:space="preserve"> екологічн</w:t>
      </w:r>
      <w:r w:rsidR="000F701A" w:rsidRPr="00C22C49">
        <w:rPr>
          <w:rStyle w:val="affe"/>
          <w:b/>
        </w:rPr>
        <w:t>у</w:t>
      </w:r>
      <w:r w:rsidRPr="00C22C49">
        <w:rPr>
          <w:rStyle w:val="affe"/>
          <w:b/>
        </w:rPr>
        <w:t xml:space="preserve"> інспекцію України</w:t>
      </w:r>
      <w:r w:rsidR="000D64D4" w:rsidRPr="00C22C49">
        <w:t xml:space="preserve"> (здійснення державного нагляду (контролю) у сфері охорони навколишнього природного середовища. Зокрема у сфері поводження з відходами</w:t>
      </w:r>
      <w:r w:rsidR="00C11A76" w:rsidRPr="00C22C49">
        <w:t>).</w:t>
      </w:r>
    </w:p>
    <w:p w14:paraId="4A7B7D41" w14:textId="38AD529C" w:rsidR="00744984" w:rsidRPr="00C22C49" w:rsidRDefault="00744984" w:rsidP="00B51070">
      <w:pPr>
        <w:pStyle w:val="BulletRED"/>
      </w:pPr>
      <w:r>
        <w:rPr>
          <w:rStyle w:val="affe"/>
          <w:b/>
        </w:rPr>
        <w:t xml:space="preserve">Міністерство охорони </w:t>
      </w:r>
      <w:r w:rsidR="0038305B" w:rsidRPr="0038305B">
        <w:rPr>
          <w:rStyle w:val="affe"/>
          <w:b/>
        </w:rPr>
        <w:t>здоров'я</w:t>
      </w:r>
      <w:r w:rsidR="0038305B">
        <w:rPr>
          <w:rStyle w:val="affe"/>
          <w:b/>
        </w:rPr>
        <w:t xml:space="preserve"> </w:t>
      </w:r>
      <w:r w:rsidR="00226B29" w:rsidRPr="00045E6E">
        <w:t>(</w:t>
      </w:r>
      <w:r w:rsidR="00045E6E" w:rsidRPr="00045E6E">
        <w:t>затвердження вимог щодо безпечності для здоров’я людини</w:t>
      </w:r>
      <w:r w:rsidR="00244961">
        <w:t xml:space="preserve"> у сфері управління відходами, </w:t>
      </w:r>
      <w:r w:rsidR="00266960" w:rsidRPr="00266960">
        <w:t>затвердження порядку управління медичними відходами</w:t>
      </w:r>
      <w:r w:rsidR="00266960">
        <w:t>)</w:t>
      </w:r>
    </w:p>
    <w:p w14:paraId="103D0EFE" w14:textId="11A7BD54" w:rsidR="00B01E3B" w:rsidRPr="00C22C49" w:rsidRDefault="00B46561" w:rsidP="00B51070">
      <w:pPr>
        <w:pStyle w:val="BulletRED"/>
      </w:pPr>
      <w:r w:rsidRPr="00B46561">
        <w:rPr>
          <w:rStyle w:val="affe"/>
          <w:b/>
        </w:rPr>
        <w:t>Рад</w:t>
      </w:r>
      <w:r>
        <w:rPr>
          <w:rStyle w:val="affe"/>
          <w:b/>
        </w:rPr>
        <w:t>у</w:t>
      </w:r>
      <w:r w:rsidRPr="00B46561">
        <w:rPr>
          <w:rStyle w:val="affe"/>
          <w:b/>
        </w:rPr>
        <w:t xml:space="preserve"> міністрів Автономної Республіки Крим, обласн</w:t>
      </w:r>
      <w:r>
        <w:rPr>
          <w:rStyle w:val="affe"/>
          <w:b/>
        </w:rPr>
        <w:t>і</w:t>
      </w:r>
      <w:r w:rsidRPr="00B46561">
        <w:rPr>
          <w:rStyle w:val="affe"/>
          <w:b/>
        </w:rPr>
        <w:t>, Київськ</w:t>
      </w:r>
      <w:r>
        <w:rPr>
          <w:rStyle w:val="affe"/>
          <w:b/>
        </w:rPr>
        <w:t>у</w:t>
      </w:r>
      <w:r w:rsidRPr="00B46561">
        <w:rPr>
          <w:rStyle w:val="affe"/>
          <w:b/>
        </w:rPr>
        <w:t xml:space="preserve"> і Севастопольськ</w:t>
      </w:r>
      <w:r>
        <w:rPr>
          <w:rStyle w:val="affe"/>
          <w:b/>
        </w:rPr>
        <w:t>у</w:t>
      </w:r>
      <w:r w:rsidRPr="00B46561">
        <w:rPr>
          <w:rStyle w:val="affe"/>
          <w:b/>
        </w:rPr>
        <w:t xml:space="preserve"> міськ</w:t>
      </w:r>
      <w:r>
        <w:rPr>
          <w:rStyle w:val="affe"/>
          <w:b/>
        </w:rPr>
        <w:t>і</w:t>
      </w:r>
      <w:r w:rsidRPr="00B46561">
        <w:rPr>
          <w:rStyle w:val="affe"/>
          <w:b/>
        </w:rPr>
        <w:t xml:space="preserve"> державн</w:t>
      </w:r>
      <w:r>
        <w:rPr>
          <w:rStyle w:val="affe"/>
          <w:b/>
        </w:rPr>
        <w:t>і</w:t>
      </w:r>
      <w:r w:rsidRPr="00B46561">
        <w:rPr>
          <w:rStyle w:val="affe"/>
          <w:b/>
        </w:rPr>
        <w:t xml:space="preserve"> адміністрац</w:t>
      </w:r>
      <w:r>
        <w:rPr>
          <w:rStyle w:val="affe"/>
          <w:b/>
        </w:rPr>
        <w:t>ї</w:t>
      </w:r>
      <w:r w:rsidR="00B01E3B" w:rsidRPr="00C22C49">
        <w:rPr>
          <w:rStyle w:val="affe"/>
          <w:b/>
        </w:rPr>
        <w:t xml:space="preserve"> </w:t>
      </w:r>
      <w:r w:rsidRPr="00326EFA">
        <w:t>(</w:t>
      </w:r>
      <w:r w:rsidR="00326EFA" w:rsidRPr="00326EFA">
        <w:t>участь у формуванні та реалізації державної політики у сфері управління відходами</w:t>
      </w:r>
      <w:r w:rsidR="00326EFA">
        <w:t xml:space="preserve">, розроблення та реалізація </w:t>
      </w:r>
      <w:r w:rsidR="00423362">
        <w:t>р</w:t>
      </w:r>
      <w:r w:rsidR="00423362" w:rsidRPr="00423362">
        <w:t>егіональни</w:t>
      </w:r>
      <w:r w:rsidR="00423362">
        <w:t xml:space="preserve">х </w:t>
      </w:r>
      <w:r w:rsidR="00423362" w:rsidRPr="00423362">
        <w:t>план</w:t>
      </w:r>
      <w:r w:rsidR="00423362">
        <w:t>ів</w:t>
      </w:r>
      <w:r w:rsidR="00423362" w:rsidRPr="00423362">
        <w:t xml:space="preserve"> управління відходами </w:t>
      </w:r>
      <w:r w:rsidR="00423362">
        <w:t>(</w:t>
      </w:r>
      <w:r w:rsidR="00326EFA">
        <w:t>РПУВ</w:t>
      </w:r>
      <w:r w:rsidR="00423362">
        <w:t>)</w:t>
      </w:r>
      <w:r w:rsidR="005F1D20">
        <w:t xml:space="preserve"> та інші передбаченні ст. 25 закону «Про управління відходами</w:t>
      </w:r>
      <w:r w:rsidR="00F95FB7">
        <w:t>»</w:t>
      </w:r>
      <w:r w:rsidR="005F1D20">
        <w:t>)</w:t>
      </w:r>
    </w:p>
    <w:p w14:paraId="0896B60D" w14:textId="77777777" w:rsidR="00B51070" w:rsidRPr="00C22C49" w:rsidRDefault="00B51070" w:rsidP="00B51070">
      <w:pPr>
        <w:pStyle w:val="BulletRED"/>
      </w:pPr>
      <w:r w:rsidRPr="00C22C49">
        <w:rPr>
          <w:rStyle w:val="affe"/>
          <w:b/>
        </w:rPr>
        <w:t>Органи місцевого самоврядування</w:t>
      </w:r>
      <w:r w:rsidR="00982149" w:rsidRPr="00C22C49">
        <w:t xml:space="preserve"> -</w:t>
      </w:r>
      <w:r w:rsidRPr="00C22C49">
        <w:t xml:space="preserve"> </w:t>
      </w:r>
      <w:r w:rsidR="00982149" w:rsidRPr="00C22C49">
        <w:t>відповідальні за організацію управління побутовими відходами, відходами будівництва та знесення; визначення виконавців послуг, адміністратора та встановлення тарифів, вирішення питань щодо розміщення на своїй території об'єктів оброблення відходів, ліквідацію несанкціонованих звалищ відходів</w:t>
      </w:r>
    </w:p>
    <w:p w14:paraId="0896B60E" w14:textId="77777777" w:rsidR="00814461" w:rsidRPr="00C22C49" w:rsidRDefault="00B51070" w:rsidP="00B51070">
      <w:r w:rsidRPr="00C22C49">
        <w:t xml:space="preserve">Інші обов'язки покладені на </w:t>
      </w:r>
      <w:r w:rsidRPr="00C22C49">
        <w:rPr>
          <w:rStyle w:val="affe"/>
          <w:b/>
        </w:rPr>
        <w:t>Міністерство охорони здоров'я, Міністерство аграрної політики та продовольства України</w:t>
      </w:r>
      <w:r w:rsidRPr="00C22C49">
        <w:t xml:space="preserve"> (поводження з побічними продуктами тваринного походження), </w:t>
      </w:r>
      <w:r w:rsidRPr="00C22C49">
        <w:rPr>
          <w:rStyle w:val="affe"/>
          <w:b/>
        </w:rPr>
        <w:t>Міністерство фінансів</w:t>
      </w:r>
      <w:r w:rsidRPr="00C22C49">
        <w:t xml:space="preserve">, та </w:t>
      </w:r>
      <w:r w:rsidRPr="00C22C49">
        <w:rPr>
          <w:rStyle w:val="affe"/>
          <w:b/>
        </w:rPr>
        <w:t>Міністерство економіки</w:t>
      </w:r>
      <w:r w:rsidRPr="00C22C49">
        <w:t xml:space="preserve"> (виконанням Угоди про асоціацію між Україною).</w:t>
      </w:r>
    </w:p>
    <w:p w14:paraId="0896B60F" w14:textId="77777777" w:rsidR="00814461" w:rsidRPr="00C22C49" w:rsidRDefault="00AB6632" w:rsidP="00F43725">
      <w:pPr>
        <w:pStyle w:val="30"/>
      </w:pPr>
      <w:bookmarkStart w:id="13" w:name="_Toc151583263"/>
      <w:r w:rsidRPr="00C22C49">
        <w:t xml:space="preserve">Стислий аналіз загальної ситуації у сфері </w:t>
      </w:r>
      <w:r w:rsidR="00625474" w:rsidRPr="00C22C49">
        <w:t>управління</w:t>
      </w:r>
      <w:r w:rsidR="00A35D4D" w:rsidRPr="00C22C49">
        <w:t xml:space="preserve"> (поводження)</w:t>
      </w:r>
      <w:r w:rsidRPr="00C22C49">
        <w:t xml:space="preserve"> з відходами в Україні</w:t>
      </w:r>
      <w:bookmarkEnd w:id="13"/>
    </w:p>
    <w:p w14:paraId="0896B610" w14:textId="77777777" w:rsidR="00366B26" w:rsidRPr="00C22C49" w:rsidRDefault="007777F9" w:rsidP="000F5551">
      <w:r w:rsidRPr="00C22C49">
        <w:t>Сучасна практика управління відходами в Україні вважається неефективною та призводить до негативного впливу на довкілля. За даними національної статистики (дані Держстату), за 20</w:t>
      </w:r>
      <w:r w:rsidR="00512E2C" w:rsidRPr="00C22C49">
        <w:t>20</w:t>
      </w:r>
      <w:r w:rsidRPr="00C22C49">
        <w:t xml:space="preserve"> рік в Україні було утворено понад </w:t>
      </w:r>
      <w:r w:rsidRPr="00C22C49">
        <w:rPr>
          <w:b/>
          <w:bCs/>
        </w:rPr>
        <w:t>4</w:t>
      </w:r>
      <w:r w:rsidR="00BC64C2" w:rsidRPr="00C22C49">
        <w:rPr>
          <w:b/>
          <w:bCs/>
        </w:rPr>
        <w:t>62</w:t>
      </w:r>
      <w:r w:rsidRPr="00C22C49">
        <w:rPr>
          <w:b/>
          <w:bCs/>
        </w:rPr>
        <w:t>,</w:t>
      </w:r>
      <w:r w:rsidR="00FE6F41" w:rsidRPr="00C22C49">
        <w:rPr>
          <w:b/>
          <w:bCs/>
        </w:rPr>
        <w:t>4</w:t>
      </w:r>
      <w:r w:rsidRPr="00C22C49">
        <w:rPr>
          <w:b/>
          <w:bCs/>
        </w:rPr>
        <w:t xml:space="preserve"> млн. тонн відходів</w:t>
      </w:r>
      <w:r w:rsidRPr="00C22C49">
        <w:t xml:space="preserve">, у тому числі </w:t>
      </w:r>
      <w:r w:rsidR="00F33648" w:rsidRPr="00C22C49">
        <w:rPr>
          <w:b/>
          <w:bCs/>
        </w:rPr>
        <w:t>85</w:t>
      </w:r>
      <w:r w:rsidRPr="00C22C49">
        <w:rPr>
          <w:b/>
          <w:bCs/>
        </w:rPr>
        <w:t xml:space="preserve">% відходів </w:t>
      </w:r>
      <w:r w:rsidR="00F33648" w:rsidRPr="00C22C49">
        <w:rPr>
          <w:b/>
          <w:bCs/>
        </w:rPr>
        <w:t xml:space="preserve">добувної </w:t>
      </w:r>
      <w:r w:rsidRPr="00C22C49">
        <w:rPr>
          <w:b/>
          <w:bCs/>
        </w:rPr>
        <w:t>промисловості</w:t>
      </w:r>
      <w:r w:rsidR="00F33648" w:rsidRPr="00C22C49">
        <w:t>, 11% переробної промисловості</w:t>
      </w:r>
      <w:r w:rsidRPr="00C22C49">
        <w:t xml:space="preserve"> та </w:t>
      </w:r>
      <w:r w:rsidR="00004C40" w:rsidRPr="00C22C49">
        <w:t>1,</w:t>
      </w:r>
      <w:r w:rsidRPr="00C22C49">
        <w:t>3% побутових відходів</w:t>
      </w:r>
      <w:r w:rsidR="00C32FBC" w:rsidRPr="00C22C49">
        <w:t xml:space="preserve">, решта – відходи </w:t>
      </w:r>
      <w:r w:rsidR="003E0FA8" w:rsidRPr="00C22C49">
        <w:t>інших джерел</w:t>
      </w:r>
      <w:r w:rsidRPr="00C22C49">
        <w:t>.</w:t>
      </w:r>
      <w:r w:rsidR="00285041" w:rsidRPr="00C22C49">
        <w:t xml:space="preserve"> </w:t>
      </w:r>
      <w:r w:rsidR="00D1289D" w:rsidRPr="00C22C49">
        <w:t xml:space="preserve">Небезпечних відходів утворено </w:t>
      </w:r>
      <w:r w:rsidR="00957632" w:rsidRPr="00C22C49">
        <w:t>532,0 тис.т</w:t>
      </w:r>
      <w:r w:rsidR="009B2B3F" w:rsidRPr="00C22C49">
        <w:t>. Обсяг імпорту відходів становив</w:t>
      </w:r>
      <w:r w:rsidR="00F128E8" w:rsidRPr="00C22C49">
        <w:t xml:space="preserve"> 2,7</w:t>
      </w:r>
      <w:r w:rsidR="00D35F96" w:rsidRPr="00C22C49">
        <w:t xml:space="preserve"> </w:t>
      </w:r>
      <w:r w:rsidR="00F128E8" w:rsidRPr="00C22C49">
        <w:t>тис.т, з них 1,5 тис т. небезпечних відходів</w:t>
      </w:r>
      <w:r w:rsidR="00D35F96" w:rsidRPr="00C22C49">
        <w:t>.</w:t>
      </w:r>
      <w:r w:rsidR="006555E7" w:rsidRPr="00C22C49">
        <w:t xml:space="preserve"> </w:t>
      </w:r>
      <w:r w:rsidR="00D35F96" w:rsidRPr="00C22C49">
        <w:t>З</w:t>
      </w:r>
      <w:r w:rsidR="006555E7" w:rsidRPr="00C22C49">
        <w:t xml:space="preserve">окрема </w:t>
      </w:r>
      <w:r w:rsidR="001A79A8" w:rsidRPr="00C22C49">
        <w:t xml:space="preserve">висновки були надані на </w:t>
      </w:r>
      <w:r w:rsidR="006555E7" w:rsidRPr="00C22C49">
        <w:t xml:space="preserve">транскордонне перевезення </w:t>
      </w:r>
      <w:r w:rsidR="002A0366" w:rsidRPr="00C22C49">
        <w:t xml:space="preserve">таких </w:t>
      </w:r>
      <w:r w:rsidR="006555E7" w:rsidRPr="00C22C49">
        <w:t>відходів</w:t>
      </w:r>
      <w:r w:rsidR="000F5551" w:rsidRPr="00C22C49">
        <w:t>, які не містять компонентів, що виявляють небезпечні властивості</w:t>
      </w:r>
      <w:r w:rsidR="003B49E6" w:rsidRPr="00C22C49">
        <w:t>, як відходи</w:t>
      </w:r>
      <w:r w:rsidR="006555E7" w:rsidRPr="00C22C49">
        <w:t xml:space="preserve"> сільськогосподарських виробництв, відход</w:t>
      </w:r>
      <w:r w:rsidR="003B49E6" w:rsidRPr="00C22C49">
        <w:t>и</w:t>
      </w:r>
      <w:r w:rsidR="006555E7" w:rsidRPr="00C22C49">
        <w:t xml:space="preserve"> макулатури, бавовни, текстилю та деревини.</w:t>
      </w:r>
      <w:r w:rsidR="00F128E8" w:rsidRPr="00C22C49">
        <w:t xml:space="preserve"> Експорт відходів </w:t>
      </w:r>
      <w:r w:rsidR="001978C6" w:rsidRPr="00C22C49">
        <w:t xml:space="preserve">був </w:t>
      </w:r>
      <w:r w:rsidR="005F6C97" w:rsidRPr="00C22C49">
        <w:t>257,8 тис.т</w:t>
      </w:r>
      <w:r w:rsidR="00D1625E" w:rsidRPr="00C22C49">
        <w:t>, з них 0,1 тис.т небезпечних відходів.</w:t>
      </w:r>
      <w:r w:rsidR="00366B26" w:rsidRPr="00C22C49">
        <w:t xml:space="preserve"> </w:t>
      </w:r>
      <w:r w:rsidR="00E55B32" w:rsidRPr="00C22C49">
        <w:t>Експортуються з України в основному відходи кольорових металів</w:t>
      </w:r>
      <w:r w:rsidR="006555E7" w:rsidRPr="00C22C49">
        <w:t xml:space="preserve"> та відходів відпрацьованих акумуляторних батарей</w:t>
      </w:r>
      <w:r w:rsidR="00E55B32" w:rsidRPr="00C22C49">
        <w:t xml:space="preserve">. </w:t>
      </w:r>
    </w:p>
    <w:p w14:paraId="0896B611" w14:textId="77777777" w:rsidR="007777F9" w:rsidRPr="00C22C49" w:rsidRDefault="00023182" w:rsidP="00E55B32">
      <w:r w:rsidRPr="00C22C49">
        <w:t>Утворення</w:t>
      </w:r>
      <w:r w:rsidR="00BC36D3" w:rsidRPr="00C22C49">
        <w:t xml:space="preserve"> відходів </w:t>
      </w:r>
      <w:r w:rsidR="00BC36D3" w:rsidRPr="00C22C49">
        <w:rPr>
          <w:b/>
          <w:bCs/>
        </w:rPr>
        <w:t>на одну особу оцінюється в 11</w:t>
      </w:r>
      <w:r w:rsidR="008B49BE" w:rsidRPr="00C22C49">
        <w:rPr>
          <w:b/>
          <w:bCs/>
        </w:rPr>
        <w:t> </w:t>
      </w:r>
      <w:r w:rsidR="00BC36D3" w:rsidRPr="00C22C49">
        <w:rPr>
          <w:b/>
          <w:bCs/>
        </w:rPr>
        <w:t>074</w:t>
      </w:r>
      <w:r w:rsidR="008B49BE" w:rsidRPr="00C22C49">
        <w:rPr>
          <w:b/>
          <w:bCs/>
        </w:rPr>
        <w:t xml:space="preserve"> </w:t>
      </w:r>
      <w:r w:rsidR="00BC36D3" w:rsidRPr="00C22C49">
        <w:rPr>
          <w:b/>
          <w:bCs/>
        </w:rPr>
        <w:t>кг</w:t>
      </w:r>
      <w:r w:rsidR="008B49BE" w:rsidRPr="00C22C49">
        <w:t>,</w:t>
      </w:r>
      <w:r w:rsidR="00C93494" w:rsidRPr="00C22C49">
        <w:t xml:space="preserve"> утворення</w:t>
      </w:r>
      <w:r w:rsidR="00BC36D3" w:rsidRPr="00C22C49">
        <w:t xml:space="preserve"> </w:t>
      </w:r>
      <w:r w:rsidRPr="00C22C49">
        <w:t xml:space="preserve">мінеральних відходів у розрахунку на одну особу втричі перевищує </w:t>
      </w:r>
      <w:r w:rsidR="007D6CB7" w:rsidRPr="00C22C49">
        <w:t>показник країн ЄС.</w:t>
      </w:r>
      <w:r w:rsidR="007777F9" w:rsidRPr="00C22C49">
        <w:t xml:space="preserve"> </w:t>
      </w:r>
    </w:p>
    <w:p w14:paraId="0896B612" w14:textId="77777777" w:rsidR="000B7681" w:rsidRDefault="009D6B41" w:rsidP="007777F9">
      <w:r w:rsidRPr="00C22C49">
        <w:t>З</w:t>
      </w:r>
      <w:r w:rsidR="00626B38" w:rsidRPr="00C22C49">
        <w:t>агальний обсяг утворення відходів коливався з роками</w:t>
      </w:r>
      <w:r w:rsidR="00E57370" w:rsidRPr="00C22C49">
        <w:t>.</w:t>
      </w:r>
      <w:r w:rsidR="00626B38" w:rsidRPr="00C22C49">
        <w:t xml:space="preserve"> </w:t>
      </w:r>
      <w:r w:rsidR="00704F37" w:rsidRPr="00C22C49">
        <w:t>З 2013 року почалося п</w:t>
      </w:r>
      <w:r w:rsidR="00C16717" w:rsidRPr="00C22C49">
        <w:t xml:space="preserve">адіння </w:t>
      </w:r>
      <w:r w:rsidR="00E57370" w:rsidRPr="00C22C49">
        <w:t xml:space="preserve">ВВП та </w:t>
      </w:r>
      <w:r w:rsidR="00C16717" w:rsidRPr="00C22C49">
        <w:t>загального обсягу утворених відходів</w:t>
      </w:r>
      <w:r w:rsidR="00704F37" w:rsidRPr="00C22C49">
        <w:t xml:space="preserve">, що </w:t>
      </w:r>
      <w:r w:rsidR="00C16717" w:rsidRPr="00C22C49">
        <w:t>пов'язано з втратою економічно активних регіонів, що, призвело до зниження економічної активності, а отже, і утворення відходів</w:t>
      </w:r>
      <w:r w:rsidRPr="00C22C49">
        <w:t>.</w:t>
      </w:r>
      <w:r w:rsidR="00D423B6" w:rsidRPr="00C22C49">
        <w:t xml:space="preserve"> </w:t>
      </w:r>
      <w:r w:rsidR="00E532C0" w:rsidRPr="00C22C49">
        <w:t xml:space="preserve">Після спаду до </w:t>
      </w:r>
      <w:r w:rsidR="00F95084" w:rsidRPr="00C22C49">
        <w:t>295,8</w:t>
      </w:r>
      <w:r w:rsidR="008141F4" w:rsidRPr="00C22C49">
        <w:t xml:space="preserve"> </w:t>
      </w:r>
      <w:r w:rsidR="00F95084" w:rsidRPr="00C22C49">
        <w:t>тис.т у</w:t>
      </w:r>
      <w:r w:rsidR="008141F4" w:rsidRPr="00C22C49">
        <w:t xml:space="preserve"> 2016 року спостерігався ріст</w:t>
      </w:r>
      <w:r w:rsidR="00CF5E0D" w:rsidRPr="00C22C49">
        <w:t xml:space="preserve"> </w:t>
      </w:r>
      <w:r w:rsidR="006139EE" w:rsidRPr="00C22C49">
        <w:t xml:space="preserve">утворення відходів, </w:t>
      </w:r>
      <w:r w:rsidR="00215C26" w:rsidRPr="00C22C49">
        <w:t xml:space="preserve">яке </w:t>
      </w:r>
      <w:r w:rsidR="006139EE" w:rsidRPr="00C22C49">
        <w:t xml:space="preserve">у 2020 році </w:t>
      </w:r>
      <w:r w:rsidR="00215C26" w:rsidRPr="00C22C49">
        <w:t>сягнуло</w:t>
      </w:r>
      <w:r w:rsidR="006139EE" w:rsidRPr="00C22C49">
        <w:t xml:space="preserve"> рівня перед</w:t>
      </w:r>
      <w:r w:rsidR="00F25437" w:rsidRPr="00C22C49">
        <w:t xml:space="preserve"> падінням</w:t>
      </w:r>
      <w:r w:rsidR="00626B38" w:rsidRPr="00C22C49">
        <w:t>.</w:t>
      </w:r>
      <w:r w:rsidR="00F25437" w:rsidRPr="00C22C49">
        <w:t xml:space="preserve"> Передбачається, що з 2022 року, кількість відходів знову знизиться через </w:t>
      </w:r>
      <w:r w:rsidR="00BB13EF" w:rsidRPr="00C22C49">
        <w:t xml:space="preserve">закриття та пошкодження промислових підприємств та велику хвилю міграції, в той же час </w:t>
      </w:r>
      <w:r w:rsidR="0036115B" w:rsidRPr="00C22C49">
        <w:t>зростуть відходи руйнувань та відходи війни.</w:t>
      </w:r>
    </w:p>
    <w:p w14:paraId="1005BADC" w14:textId="3622F848" w:rsidR="00990432" w:rsidRDefault="00990432" w:rsidP="007777F9">
      <w:r>
        <w:t xml:space="preserve">Таблиця </w:t>
      </w:r>
      <w:r w:rsidRPr="00990432">
        <w:t>Утворення відходів за джерелами за 2010-2020 роки, тис.т</w:t>
      </w:r>
    </w:p>
    <w:tbl>
      <w:tblPr>
        <w:tblW w:w="5000" w:type="pct"/>
        <w:tblCellMar>
          <w:left w:w="30" w:type="dxa"/>
          <w:right w:w="30" w:type="dxa"/>
        </w:tblCellMar>
        <w:tblLook w:val="0000" w:firstRow="0" w:lastRow="0" w:firstColumn="0" w:lastColumn="0" w:noHBand="0" w:noVBand="0"/>
      </w:tblPr>
      <w:tblGrid>
        <w:gridCol w:w="715"/>
        <w:gridCol w:w="1199"/>
        <w:gridCol w:w="1307"/>
        <w:gridCol w:w="1307"/>
        <w:gridCol w:w="1515"/>
        <w:gridCol w:w="1130"/>
        <w:gridCol w:w="1099"/>
        <w:gridCol w:w="1528"/>
      </w:tblGrid>
      <w:tr w:rsidR="00AD6463" w:rsidRPr="003339EC" w14:paraId="0D8660DB" w14:textId="77777777" w:rsidTr="003339EC">
        <w:trPr>
          <w:trHeight w:val="1073"/>
        </w:trPr>
        <w:tc>
          <w:tcPr>
            <w:tcW w:w="625" w:type="pct"/>
            <w:tcBorders>
              <w:top w:val="nil"/>
              <w:left w:val="nil"/>
              <w:bottom w:val="nil"/>
              <w:right w:val="nil"/>
            </w:tcBorders>
          </w:tcPr>
          <w:p w14:paraId="23634AF1" w14:textId="0058DA87"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Рік</w:t>
            </w:r>
          </w:p>
        </w:tc>
        <w:tc>
          <w:tcPr>
            <w:tcW w:w="625" w:type="pct"/>
            <w:tcBorders>
              <w:top w:val="single" w:sz="6" w:space="0" w:color="auto"/>
              <w:left w:val="single" w:sz="6" w:space="0" w:color="auto"/>
              <w:bottom w:val="single" w:sz="6" w:space="0" w:color="auto"/>
              <w:right w:val="single" w:sz="6" w:space="0" w:color="auto"/>
            </w:tcBorders>
          </w:tcPr>
          <w:p w14:paraId="333EC3A9" w14:textId="77777777"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 xml:space="preserve">Сільське, лісове та рибне господарство </w:t>
            </w:r>
          </w:p>
        </w:tc>
        <w:tc>
          <w:tcPr>
            <w:tcW w:w="625" w:type="pct"/>
            <w:tcBorders>
              <w:top w:val="single" w:sz="6" w:space="0" w:color="auto"/>
              <w:left w:val="single" w:sz="6" w:space="0" w:color="auto"/>
              <w:bottom w:val="single" w:sz="6" w:space="0" w:color="auto"/>
              <w:right w:val="single" w:sz="6" w:space="0" w:color="auto"/>
            </w:tcBorders>
          </w:tcPr>
          <w:p w14:paraId="32841C19" w14:textId="4B1CB24D"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Добувна промисловість і розроблення кар'єрів</w:t>
            </w:r>
          </w:p>
        </w:tc>
        <w:tc>
          <w:tcPr>
            <w:tcW w:w="625" w:type="pct"/>
            <w:tcBorders>
              <w:top w:val="single" w:sz="6" w:space="0" w:color="auto"/>
              <w:left w:val="single" w:sz="6" w:space="0" w:color="auto"/>
              <w:bottom w:val="single" w:sz="6" w:space="0" w:color="auto"/>
              <w:right w:val="single" w:sz="6" w:space="0" w:color="auto"/>
            </w:tcBorders>
          </w:tcPr>
          <w:p w14:paraId="1136BFC1" w14:textId="77777777"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Переробна промисловість</w:t>
            </w:r>
          </w:p>
        </w:tc>
        <w:tc>
          <w:tcPr>
            <w:tcW w:w="625" w:type="pct"/>
            <w:tcBorders>
              <w:top w:val="single" w:sz="6" w:space="0" w:color="auto"/>
              <w:left w:val="single" w:sz="6" w:space="0" w:color="auto"/>
              <w:bottom w:val="single" w:sz="6" w:space="0" w:color="auto"/>
              <w:right w:val="single" w:sz="6" w:space="0" w:color="auto"/>
            </w:tcBorders>
          </w:tcPr>
          <w:p w14:paraId="7C670C54" w14:textId="77777777"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 xml:space="preserve">Постачання електроенергії, газу, пари та кондиційованого повітря </w:t>
            </w:r>
          </w:p>
        </w:tc>
        <w:tc>
          <w:tcPr>
            <w:tcW w:w="625" w:type="pct"/>
            <w:tcBorders>
              <w:top w:val="single" w:sz="6" w:space="0" w:color="auto"/>
              <w:left w:val="single" w:sz="6" w:space="0" w:color="auto"/>
              <w:bottom w:val="single" w:sz="6" w:space="0" w:color="auto"/>
              <w:right w:val="single" w:sz="6" w:space="0" w:color="auto"/>
            </w:tcBorders>
          </w:tcPr>
          <w:p w14:paraId="1850DBB8" w14:textId="77777777"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 xml:space="preserve">Будівництво </w:t>
            </w:r>
          </w:p>
        </w:tc>
        <w:tc>
          <w:tcPr>
            <w:tcW w:w="625" w:type="pct"/>
            <w:tcBorders>
              <w:top w:val="single" w:sz="6" w:space="0" w:color="auto"/>
              <w:left w:val="single" w:sz="6" w:space="0" w:color="auto"/>
              <w:bottom w:val="single" w:sz="6" w:space="0" w:color="auto"/>
              <w:right w:val="single" w:sz="6" w:space="0" w:color="auto"/>
            </w:tcBorders>
          </w:tcPr>
          <w:p w14:paraId="7109D637" w14:textId="77777777"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Інші види економічної діяльності</w:t>
            </w:r>
          </w:p>
        </w:tc>
        <w:tc>
          <w:tcPr>
            <w:tcW w:w="625" w:type="pct"/>
            <w:tcBorders>
              <w:top w:val="single" w:sz="6" w:space="0" w:color="auto"/>
              <w:left w:val="single" w:sz="6" w:space="0" w:color="auto"/>
              <w:bottom w:val="single" w:sz="6" w:space="0" w:color="auto"/>
              <w:right w:val="nil"/>
            </w:tcBorders>
          </w:tcPr>
          <w:p w14:paraId="60B8E7A6" w14:textId="6A97D11F" w:rsidR="00AD6463" w:rsidRPr="003339EC" w:rsidRDefault="00AD6463">
            <w:pPr>
              <w:tabs>
                <w:tab w:val="clear" w:pos="284"/>
                <w:tab w:val="clear" w:pos="1985"/>
              </w:tabs>
              <w:autoSpaceDE w:val="0"/>
              <w:autoSpaceDN w:val="0"/>
              <w:adjustRightInd w:val="0"/>
              <w:spacing w:before="0" w:after="0" w:line="240" w:lineRule="auto"/>
              <w:jc w:val="left"/>
              <w:rPr>
                <w:rFonts w:cs="Times New Roman"/>
                <w:color w:val="000000"/>
                <w:sz w:val="20"/>
              </w:rPr>
            </w:pPr>
            <w:r w:rsidRPr="003339EC">
              <w:rPr>
                <w:rFonts w:cs="Times New Roman"/>
                <w:color w:val="000000"/>
                <w:sz w:val="20"/>
              </w:rPr>
              <w:t>Обсяг збирання відходів від домогосподарств</w:t>
            </w:r>
          </w:p>
        </w:tc>
      </w:tr>
      <w:tr w:rsidR="00AD6463" w:rsidRPr="003339EC" w14:paraId="16DFED11"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shd w:val="solid" w:color="FFFFFF" w:fill="auto"/>
          </w:tcPr>
          <w:p w14:paraId="773E6D33"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2010</w:t>
            </w:r>
          </w:p>
        </w:tc>
        <w:tc>
          <w:tcPr>
            <w:tcW w:w="625" w:type="pct"/>
            <w:tcBorders>
              <w:top w:val="single" w:sz="6" w:space="0" w:color="auto"/>
              <w:left w:val="single" w:sz="6" w:space="0" w:color="auto"/>
              <w:bottom w:val="single" w:sz="6" w:space="0" w:color="auto"/>
              <w:right w:val="single" w:sz="6" w:space="0" w:color="auto"/>
            </w:tcBorders>
          </w:tcPr>
          <w:p w14:paraId="30F02DD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8304,5</w:t>
            </w:r>
          </w:p>
        </w:tc>
        <w:tc>
          <w:tcPr>
            <w:tcW w:w="625" w:type="pct"/>
            <w:tcBorders>
              <w:top w:val="single" w:sz="6" w:space="0" w:color="auto"/>
              <w:left w:val="single" w:sz="6" w:space="0" w:color="auto"/>
              <w:bottom w:val="single" w:sz="6" w:space="0" w:color="auto"/>
              <w:right w:val="single" w:sz="6" w:space="0" w:color="auto"/>
            </w:tcBorders>
          </w:tcPr>
          <w:p w14:paraId="091B9C1A"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347442,3</w:t>
            </w:r>
          </w:p>
        </w:tc>
        <w:tc>
          <w:tcPr>
            <w:tcW w:w="625" w:type="pct"/>
            <w:tcBorders>
              <w:top w:val="single" w:sz="6" w:space="0" w:color="auto"/>
              <w:left w:val="single" w:sz="6" w:space="0" w:color="auto"/>
              <w:bottom w:val="single" w:sz="6" w:space="0" w:color="auto"/>
              <w:right w:val="single" w:sz="6" w:space="0" w:color="auto"/>
            </w:tcBorders>
          </w:tcPr>
          <w:p w14:paraId="034042C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47676,5</w:t>
            </w:r>
          </w:p>
        </w:tc>
        <w:tc>
          <w:tcPr>
            <w:tcW w:w="625" w:type="pct"/>
            <w:tcBorders>
              <w:top w:val="single" w:sz="6" w:space="0" w:color="auto"/>
              <w:left w:val="single" w:sz="6" w:space="0" w:color="auto"/>
              <w:bottom w:val="single" w:sz="6" w:space="0" w:color="auto"/>
              <w:right w:val="single" w:sz="6" w:space="0" w:color="auto"/>
            </w:tcBorders>
          </w:tcPr>
          <w:p w14:paraId="534D872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8636,4</w:t>
            </w:r>
          </w:p>
        </w:tc>
        <w:tc>
          <w:tcPr>
            <w:tcW w:w="625" w:type="pct"/>
            <w:tcBorders>
              <w:top w:val="single" w:sz="6" w:space="0" w:color="auto"/>
              <w:left w:val="single" w:sz="6" w:space="0" w:color="auto"/>
              <w:bottom w:val="single" w:sz="6" w:space="0" w:color="auto"/>
              <w:right w:val="single" w:sz="6" w:space="0" w:color="auto"/>
            </w:tcBorders>
          </w:tcPr>
          <w:p w14:paraId="6046E75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326,7</w:t>
            </w:r>
          </w:p>
        </w:tc>
        <w:tc>
          <w:tcPr>
            <w:tcW w:w="625" w:type="pct"/>
            <w:tcBorders>
              <w:top w:val="single" w:sz="6" w:space="0" w:color="auto"/>
              <w:left w:val="single" w:sz="6" w:space="0" w:color="auto"/>
              <w:bottom w:val="single" w:sz="6" w:space="0" w:color="auto"/>
              <w:right w:val="single" w:sz="6" w:space="0" w:color="auto"/>
            </w:tcBorders>
          </w:tcPr>
          <w:p w14:paraId="1B25F556"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3795,8</w:t>
            </w:r>
          </w:p>
        </w:tc>
        <w:tc>
          <w:tcPr>
            <w:tcW w:w="625" w:type="pct"/>
            <w:tcBorders>
              <w:top w:val="single" w:sz="6" w:space="0" w:color="auto"/>
              <w:left w:val="single" w:sz="6" w:space="0" w:color="auto"/>
              <w:bottom w:val="single" w:sz="6" w:space="0" w:color="auto"/>
              <w:right w:val="single" w:sz="6" w:space="0" w:color="auto"/>
            </w:tcBorders>
          </w:tcPr>
          <w:p w14:paraId="1A4199F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6367,7</w:t>
            </w:r>
          </w:p>
        </w:tc>
      </w:tr>
      <w:tr w:rsidR="00AD6463" w:rsidRPr="003339EC" w14:paraId="0F4FA7B7"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shd w:val="solid" w:color="FFFFFF" w:fill="auto"/>
          </w:tcPr>
          <w:p w14:paraId="27965847"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2011</w:t>
            </w:r>
          </w:p>
        </w:tc>
        <w:tc>
          <w:tcPr>
            <w:tcW w:w="625" w:type="pct"/>
            <w:tcBorders>
              <w:top w:val="single" w:sz="6" w:space="0" w:color="auto"/>
              <w:left w:val="single" w:sz="6" w:space="0" w:color="auto"/>
              <w:bottom w:val="single" w:sz="6" w:space="0" w:color="auto"/>
              <w:right w:val="single" w:sz="6" w:space="0" w:color="auto"/>
            </w:tcBorders>
          </w:tcPr>
          <w:p w14:paraId="4DC570FC"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12201,2</w:t>
            </w:r>
          </w:p>
        </w:tc>
        <w:tc>
          <w:tcPr>
            <w:tcW w:w="625" w:type="pct"/>
            <w:tcBorders>
              <w:top w:val="single" w:sz="6" w:space="0" w:color="auto"/>
              <w:left w:val="single" w:sz="6" w:space="0" w:color="auto"/>
              <w:bottom w:val="single" w:sz="6" w:space="0" w:color="auto"/>
              <w:right w:val="single" w:sz="6" w:space="0" w:color="auto"/>
            </w:tcBorders>
          </w:tcPr>
          <w:p w14:paraId="2A8C618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357863,6</w:t>
            </w:r>
          </w:p>
        </w:tc>
        <w:tc>
          <w:tcPr>
            <w:tcW w:w="625" w:type="pct"/>
            <w:tcBorders>
              <w:top w:val="single" w:sz="6" w:space="0" w:color="auto"/>
              <w:left w:val="single" w:sz="6" w:space="0" w:color="auto"/>
              <w:bottom w:val="single" w:sz="6" w:space="0" w:color="auto"/>
              <w:right w:val="single" w:sz="6" w:space="0" w:color="auto"/>
            </w:tcBorders>
          </w:tcPr>
          <w:p w14:paraId="6686DDD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48920,4</w:t>
            </w:r>
          </w:p>
        </w:tc>
        <w:tc>
          <w:tcPr>
            <w:tcW w:w="625" w:type="pct"/>
            <w:tcBorders>
              <w:top w:val="single" w:sz="6" w:space="0" w:color="auto"/>
              <w:left w:val="single" w:sz="6" w:space="0" w:color="auto"/>
              <w:bottom w:val="single" w:sz="6" w:space="0" w:color="auto"/>
              <w:right w:val="single" w:sz="6" w:space="0" w:color="auto"/>
            </w:tcBorders>
          </w:tcPr>
          <w:p w14:paraId="5EF9AB3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9895,6</w:t>
            </w:r>
          </w:p>
        </w:tc>
        <w:tc>
          <w:tcPr>
            <w:tcW w:w="625" w:type="pct"/>
            <w:tcBorders>
              <w:top w:val="single" w:sz="6" w:space="0" w:color="auto"/>
              <w:left w:val="single" w:sz="6" w:space="0" w:color="auto"/>
              <w:bottom w:val="single" w:sz="6" w:space="0" w:color="auto"/>
              <w:right w:val="single" w:sz="6" w:space="0" w:color="auto"/>
            </w:tcBorders>
          </w:tcPr>
          <w:p w14:paraId="2B295D14"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677,9</w:t>
            </w:r>
          </w:p>
        </w:tc>
        <w:tc>
          <w:tcPr>
            <w:tcW w:w="625" w:type="pct"/>
            <w:tcBorders>
              <w:top w:val="single" w:sz="6" w:space="0" w:color="auto"/>
              <w:left w:val="single" w:sz="6" w:space="0" w:color="auto"/>
              <w:bottom w:val="single" w:sz="6" w:space="0" w:color="auto"/>
              <w:right w:val="single" w:sz="6" w:space="0" w:color="auto"/>
            </w:tcBorders>
          </w:tcPr>
          <w:p w14:paraId="6CE49FC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9524,4</w:t>
            </w:r>
          </w:p>
        </w:tc>
        <w:tc>
          <w:tcPr>
            <w:tcW w:w="625" w:type="pct"/>
            <w:tcBorders>
              <w:top w:val="single" w:sz="6" w:space="0" w:color="auto"/>
              <w:left w:val="single" w:sz="6" w:space="0" w:color="auto"/>
              <w:bottom w:val="single" w:sz="6" w:space="0" w:color="auto"/>
              <w:right w:val="single" w:sz="6" w:space="0" w:color="auto"/>
            </w:tcBorders>
          </w:tcPr>
          <w:p w14:paraId="19D29B7E"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4712,4</w:t>
            </w:r>
          </w:p>
        </w:tc>
      </w:tr>
      <w:tr w:rsidR="00AD6463" w:rsidRPr="003339EC" w14:paraId="67ADCED9"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shd w:val="solid" w:color="FFFFFF" w:fill="auto"/>
          </w:tcPr>
          <w:p w14:paraId="7DE1D930"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2012</w:t>
            </w:r>
          </w:p>
        </w:tc>
        <w:tc>
          <w:tcPr>
            <w:tcW w:w="625" w:type="pct"/>
            <w:tcBorders>
              <w:top w:val="single" w:sz="6" w:space="0" w:color="auto"/>
              <w:left w:val="single" w:sz="6" w:space="0" w:color="auto"/>
              <w:bottom w:val="single" w:sz="6" w:space="0" w:color="auto"/>
              <w:right w:val="single" w:sz="6" w:space="0" w:color="auto"/>
            </w:tcBorders>
          </w:tcPr>
          <w:p w14:paraId="5C56121A"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10030,4</w:t>
            </w:r>
          </w:p>
        </w:tc>
        <w:tc>
          <w:tcPr>
            <w:tcW w:w="625" w:type="pct"/>
            <w:tcBorders>
              <w:top w:val="single" w:sz="6" w:space="0" w:color="auto"/>
              <w:left w:val="single" w:sz="6" w:space="0" w:color="auto"/>
              <w:bottom w:val="single" w:sz="6" w:space="0" w:color="auto"/>
              <w:right w:val="single" w:sz="6" w:space="0" w:color="auto"/>
            </w:tcBorders>
          </w:tcPr>
          <w:p w14:paraId="6D015F76"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364964,1</w:t>
            </w:r>
          </w:p>
        </w:tc>
        <w:tc>
          <w:tcPr>
            <w:tcW w:w="625" w:type="pct"/>
            <w:tcBorders>
              <w:top w:val="single" w:sz="6" w:space="0" w:color="auto"/>
              <w:left w:val="single" w:sz="6" w:space="0" w:color="auto"/>
              <w:bottom w:val="single" w:sz="6" w:space="0" w:color="auto"/>
              <w:right w:val="single" w:sz="6" w:space="0" w:color="auto"/>
            </w:tcBorders>
          </w:tcPr>
          <w:p w14:paraId="68B820E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48709,9</w:t>
            </w:r>
          </w:p>
        </w:tc>
        <w:tc>
          <w:tcPr>
            <w:tcW w:w="625" w:type="pct"/>
            <w:tcBorders>
              <w:top w:val="single" w:sz="6" w:space="0" w:color="auto"/>
              <w:left w:val="single" w:sz="6" w:space="0" w:color="auto"/>
              <w:bottom w:val="single" w:sz="6" w:space="0" w:color="auto"/>
              <w:right w:val="single" w:sz="6" w:space="0" w:color="auto"/>
            </w:tcBorders>
          </w:tcPr>
          <w:p w14:paraId="7AD36BF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9805,5</w:t>
            </w:r>
          </w:p>
        </w:tc>
        <w:tc>
          <w:tcPr>
            <w:tcW w:w="625" w:type="pct"/>
            <w:tcBorders>
              <w:top w:val="single" w:sz="6" w:space="0" w:color="auto"/>
              <w:left w:val="single" w:sz="6" w:space="0" w:color="auto"/>
              <w:bottom w:val="single" w:sz="6" w:space="0" w:color="auto"/>
              <w:right w:val="single" w:sz="6" w:space="0" w:color="auto"/>
            </w:tcBorders>
          </w:tcPr>
          <w:p w14:paraId="1BE22DCA"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609,4</w:t>
            </w:r>
          </w:p>
        </w:tc>
        <w:tc>
          <w:tcPr>
            <w:tcW w:w="625" w:type="pct"/>
            <w:tcBorders>
              <w:top w:val="single" w:sz="6" w:space="0" w:color="auto"/>
              <w:left w:val="single" w:sz="6" w:space="0" w:color="auto"/>
              <w:bottom w:val="single" w:sz="6" w:space="0" w:color="auto"/>
              <w:right w:val="single" w:sz="6" w:space="0" w:color="auto"/>
            </w:tcBorders>
          </w:tcPr>
          <w:p w14:paraId="4F035B73"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5059,7</w:t>
            </w:r>
          </w:p>
        </w:tc>
        <w:tc>
          <w:tcPr>
            <w:tcW w:w="625" w:type="pct"/>
            <w:tcBorders>
              <w:top w:val="single" w:sz="6" w:space="0" w:color="auto"/>
              <w:left w:val="single" w:sz="6" w:space="0" w:color="auto"/>
              <w:bottom w:val="single" w:sz="6" w:space="0" w:color="auto"/>
              <w:right w:val="single" w:sz="6" w:space="0" w:color="auto"/>
            </w:tcBorders>
          </w:tcPr>
          <w:p w14:paraId="4ED8260A"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7537,9</w:t>
            </w:r>
          </w:p>
        </w:tc>
      </w:tr>
      <w:tr w:rsidR="00AD6463" w:rsidRPr="003339EC" w14:paraId="62C8339E"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11E5568B"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2013</w:t>
            </w:r>
          </w:p>
        </w:tc>
        <w:tc>
          <w:tcPr>
            <w:tcW w:w="625" w:type="pct"/>
            <w:tcBorders>
              <w:top w:val="single" w:sz="6" w:space="0" w:color="auto"/>
              <w:left w:val="single" w:sz="6" w:space="0" w:color="auto"/>
              <w:bottom w:val="single" w:sz="6" w:space="0" w:color="auto"/>
              <w:right w:val="single" w:sz="6" w:space="0" w:color="auto"/>
            </w:tcBorders>
          </w:tcPr>
          <w:p w14:paraId="2635C1B4"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10080,6</w:t>
            </w:r>
          </w:p>
        </w:tc>
        <w:tc>
          <w:tcPr>
            <w:tcW w:w="625" w:type="pct"/>
            <w:tcBorders>
              <w:top w:val="single" w:sz="6" w:space="0" w:color="auto"/>
              <w:left w:val="single" w:sz="6" w:space="0" w:color="auto"/>
              <w:bottom w:val="single" w:sz="6" w:space="0" w:color="auto"/>
              <w:right w:val="single" w:sz="6" w:space="0" w:color="auto"/>
            </w:tcBorders>
          </w:tcPr>
          <w:p w14:paraId="7754DA7F"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373042,6</w:t>
            </w:r>
          </w:p>
        </w:tc>
        <w:tc>
          <w:tcPr>
            <w:tcW w:w="625" w:type="pct"/>
            <w:tcBorders>
              <w:top w:val="single" w:sz="6" w:space="0" w:color="auto"/>
              <w:left w:val="single" w:sz="6" w:space="0" w:color="auto"/>
              <w:bottom w:val="single" w:sz="6" w:space="0" w:color="auto"/>
              <w:right w:val="single" w:sz="6" w:space="0" w:color="auto"/>
            </w:tcBorders>
          </w:tcPr>
          <w:p w14:paraId="0D4F3E9D"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40738,5</w:t>
            </w:r>
          </w:p>
        </w:tc>
        <w:tc>
          <w:tcPr>
            <w:tcW w:w="625" w:type="pct"/>
            <w:tcBorders>
              <w:top w:val="single" w:sz="6" w:space="0" w:color="auto"/>
              <w:left w:val="single" w:sz="6" w:space="0" w:color="auto"/>
              <w:bottom w:val="single" w:sz="6" w:space="0" w:color="auto"/>
              <w:right w:val="single" w:sz="6" w:space="0" w:color="auto"/>
            </w:tcBorders>
          </w:tcPr>
          <w:p w14:paraId="3421C5E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9339,2</w:t>
            </w:r>
          </w:p>
        </w:tc>
        <w:tc>
          <w:tcPr>
            <w:tcW w:w="625" w:type="pct"/>
            <w:tcBorders>
              <w:top w:val="single" w:sz="6" w:space="0" w:color="auto"/>
              <w:left w:val="single" w:sz="6" w:space="0" w:color="auto"/>
              <w:bottom w:val="single" w:sz="6" w:space="0" w:color="auto"/>
              <w:right w:val="single" w:sz="6" w:space="0" w:color="auto"/>
            </w:tcBorders>
          </w:tcPr>
          <w:p w14:paraId="0EB229F4"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737,3</w:t>
            </w:r>
          </w:p>
        </w:tc>
        <w:tc>
          <w:tcPr>
            <w:tcW w:w="625" w:type="pct"/>
            <w:tcBorders>
              <w:top w:val="single" w:sz="6" w:space="0" w:color="auto"/>
              <w:left w:val="single" w:sz="6" w:space="0" w:color="auto"/>
              <w:bottom w:val="single" w:sz="6" w:space="0" w:color="auto"/>
              <w:right w:val="single" w:sz="6" w:space="0" w:color="auto"/>
            </w:tcBorders>
          </w:tcPr>
          <w:p w14:paraId="640032D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2914,3</w:t>
            </w:r>
          </w:p>
        </w:tc>
        <w:tc>
          <w:tcPr>
            <w:tcW w:w="625" w:type="pct"/>
            <w:tcBorders>
              <w:top w:val="single" w:sz="6" w:space="0" w:color="auto"/>
              <w:left w:val="single" w:sz="6" w:space="0" w:color="auto"/>
              <w:bottom w:val="single" w:sz="6" w:space="0" w:color="auto"/>
              <w:right w:val="single" w:sz="6" w:space="0" w:color="auto"/>
            </w:tcBorders>
          </w:tcPr>
          <w:p w14:paraId="76ABE4C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8409,6</w:t>
            </w:r>
          </w:p>
        </w:tc>
      </w:tr>
      <w:tr w:rsidR="00AD6463" w:rsidRPr="003339EC" w14:paraId="725EBADE"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35713008"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2014</w:t>
            </w:r>
          </w:p>
        </w:tc>
        <w:tc>
          <w:tcPr>
            <w:tcW w:w="625" w:type="pct"/>
            <w:tcBorders>
              <w:top w:val="single" w:sz="6" w:space="0" w:color="auto"/>
              <w:left w:val="single" w:sz="6" w:space="0" w:color="auto"/>
              <w:bottom w:val="single" w:sz="6" w:space="0" w:color="auto"/>
              <w:right w:val="single" w:sz="6" w:space="0" w:color="auto"/>
            </w:tcBorders>
          </w:tcPr>
          <w:p w14:paraId="524C718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8451,4</w:t>
            </w:r>
          </w:p>
        </w:tc>
        <w:tc>
          <w:tcPr>
            <w:tcW w:w="625" w:type="pct"/>
            <w:tcBorders>
              <w:top w:val="single" w:sz="6" w:space="0" w:color="auto"/>
              <w:left w:val="single" w:sz="6" w:space="0" w:color="auto"/>
              <w:bottom w:val="single" w:sz="6" w:space="0" w:color="auto"/>
              <w:right w:val="single" w:sz="6" w:space="0" w:color="auto"/>
            </w:tcBorders>
          </w:tcPr>
          <w:p w14:paraId="59AB5075"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297290,0</w:t>
            </w:r>
          </w:p>
        </w:tc>
        <w:tc>
          <w:tcPr>
            <w:tcW w:w="625" w:type="pct"/>
            <w:tcBorders>
              <w:top w:val="single" w:sz="6" w:space="0" w:color="auto"/>
              <w:left w:val="single" w:sz="6" w:space="0" w:color="auto"/>
              <w:bottom w:val="single" w:sz="6" w:space="0" w:color="auto"/>
              <w:right w:val="single" w:sz="6" w:space="0" w:color="auto"/>
            </w:tcBorders>
          </w:tcPr>
          <w:p w14:paraId="1C3A763E"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34796,7</w:t>
            </w:r>
          </w:p>
        </w:tc>
        <w:tc>
          <w:tcPr>
            <w:tcW w:w="625" w:type="pct"/>
            <w:tcBorders>
              <w:top w:val="single" w:sz="6" w:space="0" w:color="auto"/>
              <w:left w:val="single" w:sz="6" w:space="0" w:color="auto"/>
              <w:bottom w:val="single" w:sz="6" w:space="0" w:color="auto"/>
              <w:right w:val="single" w:sz="6" w:space="0" w:color="auto"/>
            </w:tcBorders>
          </w:tcPr>
          <w:p w14:paraId="09D6E4E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5972,7</w:t>
            </w:r>
          </w:p>
        </w:tc>
        <w:tc>
          <w:tcPr>
            <w:tcW w:w="625" w:type="pct"/>
            <w:tcBorders>
              <w:top w:val="single" w:sz="6" w:space="0" w:color="auto"/>
              <w:left w:val="single" w:sz="6" w:space="0" w:color="auto"/>
              <w:bottom w:val="single" w:sz="6" w:space="0" w:color="auto"/>
              <w:right w:val="single" w:sz="6" w:space="0" w:color="auto"/>
            </w:tcBorders>
          </w:tcPr>
          <w:p w14:paraId="1418CE4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306,4</w:t>
            </w:r>
          </w:p>
        </w:tc>
        <w:tc>
          <w:tcPr>
            <w:tcW w:w="625" w:type="pct"/>
            <w:tcBorders>
              <w:top w:val="single" w:sz="6" w:space="0" w:color="auto"/>
              <w:left w:val="single" w:sz="6" w:space="0" w:color="auto"/>
              <w:bottom w:val="single" w:sz="6" w:space="0" w:color="auto"/>
              <w:right w:val="single" w:sz="6" w:space="0" w:color="auto"/>
            </w:tcBorders>
          </w:tcPr>
          <w:p w14:paraId="16AE81DE"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1868,9</w:t>
            </w:r>
          </w:p>
        </w:tc>
        <w:tc>
          <w:tcPr>
            <w:tcW w:w="625" w:type="pct"/>
            <w:tcBorders>
              <w:top w:val="single" w:sz="6" w:space="0" w:color="auto"/>
              <w:left w:val="single" w:sz="6" w:space="0" w:color="auto"/>
              <w:bottom w:val="single" w:sz="6" w:space="0" w:color="auto"/>
              <w:right w:val="single" w:sz="6" w:space="0" w:color="auto"/>
            </w:tcBorders>
          </w:tcPr>
          <w:p w14:paraId="3FB8CFB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6314,3</w:t>
            </w:r>
          </w:p>
        </w:tc>
      </w:tr>
      <w:tr w:rsidR="00AD6463" w:rsidRPr="003339EC" w14:paraId="674A47B1"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3733D6A0"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2015</w:t>
            </w:r>
          </w:p>
        </w:tc>
        <w:tc>
          <w:tcPr>
            <w:tcW w:w="625" w:type="pct"/>
            <w:tcBorders>
              <w:top w:val="single" w:sz="6" w:space="0" w:color="auto"/>
              <w:left w:val="single" w:sz="6" w:space="0" w:color="auto"/>
              <w:bottom w:val="single" w:sz="6" w:space="0" w:color="auto"/>
              <w:right w:val="single" w:sz="6" w:space="0" w:color="auto"/>
            </w:tcBorders>
          </w:tcPr>
          <w:p w14:paraId="5ABD9B4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8736,8</w:t>
            </w:r>
          </w:p>
        </w:tc>
        <w:tc>
          <w:tcPr>
            <w:tcW w:w="625" w:type="pct"/>
            <w:tcBorders>
              <w:top w:val="single" w:sz="6" w:space="0" w:color="auto"/>
              <w:left w:val="single" w:sz="6" w:space="0" w:color="auto"/>
              <w:bottom w:val="single" w:sz="6" w:space="0" w:color="auto"/>
              <w:right w:val="single" w:sz="6" w:space="0" w:color="auto"/>
            </w:tcBorders>
          </w:tcPr>
          <w:p w14:paraId="36F9F25E"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257861,9</w:t>
            </w:r>
          </w:p>
        </w:tc>
        <w:tc>
          <w:tcPr>
            <w:tcW w:w="625" w:type="pct"/>
            <w:tcBorders>
              <w:top w:val="single" w:sz="6" w:space="0" w:color="auto"/>
              <w:left w:val="single" w:sz="6" w:space="0" w:color="auto"/>
              <w:bottom w:val="single" w:sz="6" w:space="0" w:color="auto"/>
              <w:right w:val="single" w:sz="6" w:space="0" w:color="auto"/>
            </w:tcBorders>
          </w:tcPr>
          <w:p w14:paraId="2DD3CD40"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31000,5</w:t>
            </w:r>
          </w:p>
        </w:tc>
        <w:tc>
          <w:tcPr>
            <w:tcW w:w="625" w:type="pct"/>
            <w:tcBorders>
              <w:top w:val="single" w:sz="6" w:space="0" w:color="auto"/>
              <w:left w:val="single" w:sz="6" w:space="0" w:color="auto"/>
              <w:bottom w:val="single" w:sz="6" w:space="0" w:color="auto"/>
              <w:right w:val="single" w:sz="6" w:space="0" w:color="auto"/>
            </w:tcBorders>
          </w:tcPr>
          <w:p w14:paraId="3175E692"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6597,5</w:t>
            </w:r>
          </w:p>
        </w:tc>
        <w:tc>
          <w:tcPr>
            <w:tcW w:w="625" w:type="pct"/>
            <w:tcBorders>
              <w:top w:val="single" w:sz="6" w:space="0" w:color="auto"/>
              <w:left w:val="single" w:sz="6" w:space="0" w:color="auto"/>
              <w:bottom w:val="single" w:sz="6" w:space="0" w:color="auto"/>
              <w:right w:val="single" w:sz="6" w:space="0" w:color="auto"/>
            </w:tcBorders>
          </w:tcPr>
          <w:p w14:paraId="131B2C1C"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376,2</w:t>
            </w:r>
          </w:p>
        </w:tc>
        <w:tc>
          <w:tcPr>
            <w:tcW w:w="625" w:type="pct"/>
            <w:tcBorders>
              <w:top w:val="single" w:sz="6" w:space="0" w:color="auto"/>
              <w:left w:val="single" w:sz="6" w:space="0" w:color="auto"/>
              <w:bottom w:val="single" w:sz="6" w:space="0" w:color="auto"/>
              <w:right w:val="single" w:sz="6" w:space="0" w:color="auto"/>
            </w:tcBorders>
          </w:tcPr>
          <w:p w14:paraId="1477E313"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1641,4</w:t>
            </w:r>
          </w:p>
        </w:tc>
        <w:tc>
          <w:tcPr>
            <w:tcW w:w="625" w:type="pct"/>
            <w:tcBorders>
              <w:top w:val="single" w:sz="6" w:space="0" w:color="auto"/>
              <w:left w:val="single" w:sz="6" w:space="0" w:color="auto"/>
              <w:bottom w:val="single" w:sz="6" w:space="0" w:color="auto"/>
              <w:right w:val="single" w:sz="6" w:space="0" w:color="auto"/>
            </w:tcBorders>
          </w:tcPr>
          <w:p w14:paraId="564F0C85"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6053,3</w:t>
            </w:r>
          </w:p>
        </w:tc>
      </w:tr>
      <w:tr w:rsidR="00AD6463" w:rsidRPr="003339EC" w14:paraId="4D1A2097"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27AD4D3C"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2016</w:t>
            </w:r>
          </w:p>
        </w:tc>
        <w:tc>
          <w:tcPr>
            <w:tcW w:w="625" w:type="pct"/>
            <w:tcBorders>
              <w:top w:val="single" w:sz="6" w:space="0" w:color="auto"/>
              <w:left w:val="single" w:sz="6" w:space="0" w:color="auto"/>
              <w:bottom w:val="single" w:sz="6" w:space="0" w:color="auto"/>
              <w:right w:val="single" w:sz="6" w:space="0" w:color="auto"/>
            </w:tcBorders>
          </w:tcPr>
          <w:p w14:paraId="3E78BAE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8715,5</w:t>
            </w:r>
          </w:p>
        </w:tc>
        <w:tc>
          <w:tcPr>
            <w:tcW w:w="625" w:type="pct"/>
            <w:tcBorders>
              <w:top w:val="single" w:sz="6" w:space="0" w:color="auto"/>
              <w:left w:val="single" w:sz="6" w:space="0" w:color="auto"/>
              <w:bottom w:val="single" w:sz="6" w:space="0" w:color="auto"/>
              <w:right w:val="single" w:sz="6" w:space="0" w:color="auto"/>
            </w:tcBorders>
          </w:tcPr>
          <w:p w14:paraId="38A73464"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237461,4</w:t>
            </w:r>
          </w:p>
        </w:tc>
        <w:tc>
          <w:tcPr>
            <w:tcW w:w="625" w:type="pct"/>
            <w:tcBorders>
              <w:top w:val="single" w:sz="6" w:space="0" w:color="auto"/>
              <w:left w:val="single" w:sz="6" w:space="0" w:color="auto"/>
              <w:bottom w:val="single" w:sz="6" w:space="0" w:color="auto"/>
              <w:right w:val="single" w:sz="6" w:space="0" w:color="auto"/>
            </w:tcBorders>
          </w:tcPr>
          <w:p w14:paraId="0191BF9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34093,0</w:t>
            </w:r>
          </w:p>
        </w:tc>
        <w:tc>
          <w:tcPr>
            <w:tcW w:w="625" w:type="pct"/>
            <w:tcBorders>
              <w:top w:val="single" w:sz="6" w:space="0" w:color="auto"/>
              <w:left w:val="single" w:sz="6" w:space="0" w:color="auto"/>
              <w:bottom w:val="single" w:sz="6" w:space="0" w:color="auto"/>
              <w:right w:val="single" w:sz="6" w:space="0" w:color="auto"/>
            </w:tcBorders>
          </w:tcPr>
          <w:p w14:paraId="4F6ECBF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7511,5</w:t>
            </w:r>
          </w:p>
        </w:tc>
        <w:tc>
          <w:tcPr>
            <w:tcW w:w="625" w:type="pct"/>
            <w:tcBorders>
              <w:top w:val="single" w:sz="6" w:space="0" w:color="auto"/>
              <w:left w:val="single" w:sz="6" w:space="0" w:color="auto"/>
              <w:bottom w:val="single" w:sz="6" w:space="0" w:color="auto"/>
              <w:right w:val="single" w:sz="6" w:space="0" w:color="auto"/>
            </w:tcBorders>
          </w:tcPr>
          <w:p w14:paraId="68943FC3"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300,2</w:t>
            </w:r>
          </w:p>
        </w:tc>
        <w:tc>
          <w:tcPr>
            <w:tcW w:w="625" w:type="pct"/>
            <w:tcBorders>
              <w:top w:val="single" w:sz="6" w:space="0" w:color="auto"/>
              <w:left w:val="single" w:sz="6" w:space="0" w:color="auto"/>
              <w:bottom w:val="single" w:sz="6" w:space="0" w:color="auto"/>
              <w:right w:val="single" w:sz="6" w:space="0" w:color="auto"/>
            </w:tcBorders>
          </w:tcPr>
          <w:p w14:paraId="1A5F108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1442,0</w:t>
            </w:r>
          </w:p>
        </w:tc>
        <w:tc>
          <w:tcPr>
            <w:tcW w:w="625" w:type="pct"/>
            <w:tcBorders>
              <w:top w:val="single" w:sz="6" w:space="0" w:color="auto"/>
              <w:left w:val="single" w:sz="6" w:space="0" w:color="auto"/>
              <w:bottom w:val="single" w:sz="6" w:space="0" w:color="auto"/>
              <w:right w:val="single" w:sz="6" w:space="0" w:color="auto"/>
            </w:tcBorders>
          </w:tcPr>
          <w:p w14:paraId="4C08F795"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6346,5</w:t>
            </w:r>
          </w:p>
        </w:tc>
      </w:tr>
      <w:tr w:rsidR="00AD6463" w:rsidRPr="003339EC" w14:paraId="598E3C62"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7E6111D9"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2017</w:t>
            </w:r>
          </w:p>
        </w:tc>
        <w:tc>
          <w:tcPr>
            <w:tcW w:w="625" w:type="pct"/>
            <w:tcBorders>
              <w:top w:val="single" w:sz="6" w:space="0" w:color="auto"/>
              <w:left w:val="single" w:sz="6" w:space="0" w:color="auto"/>
              <w:bottom w:val="single" w:sz="6" w:space="0" w:color="auto"/>
              <w:right w:val="single" w:sz="6" w:space="0" w:color="auto"/>
            </w:tcBorders>
          </w:tcPr>
          <w:p w14:paraId="6CF6BF9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6188,2</w:t>
            </w:r>
          </w:p>
        </w:tc>
        <w:tc>
          <w:tcPr>
            <w:tcW w:w="625" w:type="pct"/>
            <w:tcBorders>
              <w:top w:val="single" w:sz="6" w:space="0" w:color="auto"/>
              <w:left w:val="single" w:sz="6" w:space="0" w:color="auto"/>
              <w:bottom w:val="single" w:sz="6" w:space="0" w:color="auto"/>
              <w:right w:val="single" w:sz="6" w:space="0" w:color="auto"/>
            </w:tcBorders>
          </w:tcPr>
          <w:p w14:paraId="51211D8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313738,2</w:t>
            </w:r>
          </w:p>
        </w:tc>
        <w:tc>
          <w:tcPr>
            <w:tcW w:w="625" w:type="pct"/>
            <w:tcBorders>
              <w:top w:val="single" w:sz="6" w:space="0" w:color="auto"/>
              <w:left w:val="single" w:sz="6" w:space="0" w:color="auto"/>
              <w:bottom w:val="single" w:sz="6" w:space="0" w:color="auto"/>
              <w:right w:val="single" w:sz="6" w:space="0" w:color="auto"/>
            </w:tcBorders>
          </w:tcPr>
          <w:p w14:paraId="7E76D93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32176,7</w:t>
            </w:r>
          </w:p>
        </w:tc>
        <w:tc>
          <w:tcPr>
            <w:tcW w:w="625" w:type="pct"/>
            <w:tcBorders>
              <w:top w:val="single" w:sz="6" w:space="0" w:color="auto"/>
              <w:left w:val="single" w:sz="6" w:space="0" w:color="auto"/>
              <w:bottom w:val="single" w:sz="6" w:space="0" w:color="auto"/>
              <w:right w:val="single" w:sz="6" w:space="0" w:color="auto"/>
            </w:tcBorders>
          </w:tcPr>
          <w:p w14:paraId="3078525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6191,7</w:t>
            </w:r>
          </w:p>
        </w:tc>
        <w:tc>
          <w:tcPr>
            <w:tcW w:w="625" w:type="pct"/>
            <w:tcBorders>
              <w:top w:val="single" w:sz="6" w:space="0" w:color="auto"/>
              <w:left w:val="single" w:sz="6" w:space="0" w:color="auto"/>
              <w:bottom w:val="single" w:sz="6" w:space="0" w:color="auto"/>
              <w:right w:val="single" w:sz="6" w:space="0" w:color="auto"/>
            </w:tcBorders>
          </w:tcPr>
          <w:p w14:paraId="12FBF6E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493,8</w:t>
            </w:r>
          </w:p>
        </w:tc>
        <w:tc>
          <w:tcPr>
            <w:tcW w:w="625" w:type="pct"/>
            <w:tcBorders>
              <w:top w:val="single" w:sz="6" w:space="0" w:color="auto"/>
              <w:left w:val="single" w:sz="6" w:space="0" w:color="auto"/>
              <w:bottom w:val="single" w:sz="6" w:space="0" w:color="auto"/>
              <w:right w:val="single" w:sz="6" w:space="0" w:color="auto"/>
            </w:tcBorders>
          </w:tcPr>
          <w:p w14:paraId="673AC15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1407,4</w:t>
            </w:r>
          </w:p>
        </w:tc>
        <w:tc>
          <w:tcPr>
            <w:tcW w:w="625" w:type="pct"/>
            <w:tcBorders>
              <w:top w:val="single" w:sz="6" w:space="0" w:color="auto"/>
              <w:left w:val="single" w:sz="6" w:space="0" w:color="auto"/>
              <w:bottom w:val="single" w:sz="6" w:space="0" w:color="auto"/>
              <w:right w:val="single" w:sz="6" w:space="0" w:color="auto"/>
            </w:tcBorders>
          </w:tcPr>
          <w:p w14:paraId="5418423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5858,0</w:t>
            </w:r>
          </w:p>
        </w:tc>
      </w:tr>
      <w:tr w:rsidR="00AD6463" w:rsidRPr="003339EC" w14:paraId="40692AEF"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40AF5FDB"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2018</w:t>
            </w:r>
          </w:p>
        </w:tc>
        <w:tc>
          <w:tcPr>
            <w:tcW w:w="625" w:type="pct"/>
            <w:tcBorders>
              <w:top w:val="single" w:sz="6" w:space="0" w:color="auto"/>
              <w:left w:val="single" w:sz="6" w:space="0" w:color="auto"/>
              <w:bottom w:val="single" w:sz="6" w:space="0" w:color="auto"/>
              <w:right w:val="single" w:sz="6" w:space="0" w:color="auto"/>
            </w:tcBorders>
          </w:tcPr>
          <w:p w14:paraId="22FD2FC0"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5968,1</w:t>
            </w:r>
          </w:p>
        </w:tc>
        <w:tc>
          <w:tcPr>
            <w:tcW w:w="625" w:type="pct"/>
            <w:tcBorders>
              <w:top w:val="single" w:sz="6" w:space="0" w:color="auto"/>
              <w:left w:val="single" w:sz="6" w:space="0" w:color="auto"/>
              <w:bottom w:val="single" w:sz="6" w:space="0" w:color="auto"/>
              <w:right w:val="single" w:sz="6" w:space="0" w:color="auto"/>
            </w:tcBorders>
          </w:tcPr>
          <w:p w14:paraId="661D8E66"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301448,9</w:t>
            </w:r>
          </w:p>
        </w:tc>
        <w:tc>
          <w:tcPr>
            <w:tcW w:w="625" w:type="pct"/>
            <w:tcBorders>
              <w:top w:val="single" w:sz="6" w:space="0" w:color="auto"/>
              <w:left w:val="single" w:sz="6" w:space="0" w:color="auto"/>
              <w:bottom w:val="single" w:sz="6" w:space="0" w:color="auto"/>
              <w:right w:val="single" w:sz="6" w:space="0" w:color="auto"/>
            </w:tcBorders>
          </w:tcPr>
          <w:p w14:paraId="16ECBAFF"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31523,2</w:t>
            </w:r>
          </w:p>
        </w:tc>
        <w:tc>
          <w:tcPr>
            <w:tcW w:w="625" w:type="pct"/>
            <w:tcBorders>
              <w:top w:val="single" w:sz="6" w:space="0" w:color="auto"/>
              <w:left w:val="single" w:sz="6" w:space="0" w:color="auto"/>
              <w:bottom w:val="single" w:sz="6" w:space="0" w:color="auto"/>
              <w:right w:val="single" w:sz="6" w:space="0" w:color="auto"/>
            </w:tcBorders>
          </w:tcPr>
          <w:p w14:paraId="12CE773F"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6322,7</w:t>
            </w:r>
          </w:p>
        </w:tc>
        <w:tc>
          <w:tcPr>
            <w:tcW w:w="625" w:type="pct"/>
            <w:tcBorders>
              <w:top w:val="single" w:sz="6" w:space="0" w:color="auto"/>
              <w:left w:val="single" w:sz="6" w:space="0" w:color="auto"/>
              <w:bottom w:val="single" w:sz="6" w:space="0" w:color="auto"/>
              <w:right w:val="single" w:sz="6" w:space="0" w:color="auto"/>
            </w:tcBorders>
          </w:tcPr>
          <w:p w14:paraId="15C15E9E"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378,8</w:t>
            </w:r>
          </w:p>
        </w:tc>
        <w:tc>
          <w:tcPr>
            <w:tcW w:w="625" w:type="pct"/>
            <w:tcBorders>
              <w:top w:val="single" w:sz="6" w:space="0" w:color="auto"/>
              <w:left w:val="single" w:sz="6" w:space="0" w:color="auto"/>
              <w:bottom w:val="single" w:sz="6" w:space="0" w:color="auto"/>
              <w:right w:val="single" w:sz="6" w:space="0" w:color="auto"/>
            </w:tcBorders>
          </w:tcPr>
          <w:p w14:paraId="365785C0"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1148,7</w:t>
            </w:r>
          </w:p>
        </w:tc>
        <w:tc>
          <w:tcPr>
            <w:tcW w:w="625" w:type="pct"/>
            <w:tcBorders>
              <w:top w:val="single" w:sz="6" w:space="0" w:color="auto"/>
              <w:left w:val="single" w:sz="6" w:space="0" w:color="auto"/>
              <w:bottom w:val="single" w:sz="6" w:space="0" w:color="auto"/>
              <w:right w:val="single" w:sz="6" w:space="0" w:color="auto"/>
            </w:tcBorders>
          </w:tcPr>
          <w:p w14:paraId="56B2F2FC"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5543,5</w:t>
            </w:r>
          </w:p>
        </w:tc>
      </w:tr>
      <w:tr w:rsidR="00AD6463" w:rsidRPr="003339EC" w14:paraId="32B6150B"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1DA0ED0A"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2019</w:t>
            </w:r>
          </w:p>
        </w:tc>
        <w:tc>
          <w:tcPr>
            <w:tcW w:w="625" w:type="pct"/>
            <w:tcBorders>
              <w:top w:val="single" w:sz="6" w:space="0" w:color="auto"/>
              <w:left w:val="single" w:sz="6" w:space="0" w:color="auto"/>
              <w:bottom w:val="single" w:sz="6" w:space="0" w:color="auto"/>
              <w:right w:val="single" w:sz="6" w:space="0" w:color="auto"/>
            </w:tcBorders>
          </w:tcPr>
          <w:p w14:paraId="41B266C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6750,5</w:t>
            </w:r>
          </w:p>
        </w:tc>
        <w:tc>
          <w:tcPr>
            <w:tcW w:w="625" w:type="pct"/>
            <w:tcBorders>
              <w:top w:val="single" w:sz="6" w:space="0" w:color="auto"/>
              <w:left w:val="single" w:sz="6" w:space="0" w:color="auto"/>
              <w:bottom w:val="single" w:sz="6" w:space="0" w:color="auto"/>
              <w:right w:val="single" w:sz="6" w:space="0" w:color="auto"/>
            </w:tcBorders>
          </w:tcPr>
          <w:p w14:paraId="741DF1CD"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390563,8</w:t>
            </w:r>
          </w:p>
        </w:tc>
        <w:tc>
          <w:tcPr>
            <w:tcW w:w="625" w:type="pct"/>
            <w:tcBorders>
              <w:top w:val="single" w:sz="6" w:space="0" w:color="auto"/>
              <w:left w:val="single" w:sz="6" w:space="0" w:color="auto"/>
              <w:bottom w:val="single" w:sz="6" w:space="0" w:color="auto"/>
              <w:right w:val="single" w:sz="6" w:space="0" w:color="auto"/>
            </w:tcBorders>
          </w:tcPr>
          <w:p w14:paraId="3BD23BEF"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30751,8</w:t>
            </w:r>
          </w:p>
        </w:tc>
        <w:tc>
          <w:tcPr>
            <w:tcW w:w="625" w:type="pct"/>
            <w:tcBorders>
              <w:top w:val="single" w:sz="6" w:space="0" w:color="auto"/>
              <w:left w:val="single" w:sz="6" w:space="0" w:color="auto"/>
              <w:bottom w:val="single" w:sz="6" w:space="0" w:color="auto"/>
              <w:right w:val="single" w:sz="6" w:space="0" w:color="auto"/>
            </w:tcBorders>
          </w:tcPr>
          <w:p w14:paraId="0B52206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5959,2</w:t>
            </w:r>
          </w:p>
        </w:tc>
        <w:tc>
          <w:tcPr>
            <w:tcW w:w="625" w:type="pct"/>
            <w:tcBorders>
              <w:top w:val="single" w:sz="6" w:space="0" w:color="auto"/>
              <w:left w:val="single" w:sz="6" w:space="0" w:color="auto"/>
              <w:bottom w:val="single" w:sz="6" w:space="0" w:color="auto"/>
              <w:right w:val="single" w:sz="6" w:space="0" w:color="auto"/>
            </w:tcBorders>
          </w:tcPr>
          <w:p w14:paraId="68B214CA"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188,7</w:t>
            </w:r>
          </w:p>
        </w:tc>
        <w:tc>
          <w:tcPr>
            <w:tcW w:w="625" w:type="pct"/>
            <w:tcBorders>
              <w:top w:val="single" w:sz="6" w:space="0" w:color="auto"/>
              <w:left w:val="single" w:sz="6" w:space="0" w:color="auto"/>
              <w:bottom w:val="single" w:sz="6" w:space="0" w:color="auto"/>
              <w:right w:val="single" w:sz="6" w:space="0" w:color="auto"/>
            </w:tcBorders>
          </w:tcPr>
          <w:p w14:paraId="12D46F83"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1405,8</w:t>
            </w:r>
          </w:p>
        </w:tc>
        <w:tc>
          <w:tcPr>
            <w:tcW w:w="625" w:type="pct"/>
            <w:tcBorders>
              <w:top w:val="single" w:sz="6" w:space="0" w:color="auto"/>
              <w:left w:val="single" w:sz="6" w:space="0" w:color="auto"/>
              <w:bottom w:val="single" w:sz="6" w:space="0" w:color="auto"/>
              <w:right w:val="single" w:sz="6" w:space="0" w:color="auto"/>
            </w:tcBorders>
          </w:tcPr>
          <w:p w14:paraId="7AC6BE2B"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5896,7</w:t>
            </w:r>
          </w:p>
        </w:tc>
      </w:tr>
      <w:tr w:rsidR="00AD6463" w:rsidRPr="003339EC" w14:paraId="5AF7AF00" w14:textId="77777777" w:rsidTr="00AD6463">
        <w:trPr>
          <w:trHeight w:val="314"/>
        </w:trPr>
        <w:tc>
          <w:tcPr>
            <w:tcW w:w="625" w:type="pct"/>
            <w:tcBorders>
              <w:top w:val="single" w:sz="6" w:space="0" w:color="auto"/>
              <w:left w:val="single" w:sz="6" w:space="0" w:color="auto"/>
              <w:bottom w:val="single" w:sz="6" w:space="0" w:color="auto"/>
              <w:right w:val="single" w:sz="6" w:space="0" w:color="auto"/>
            </w:tcBorders>
          </w:tcPr>
          <w:p w14:paraId="0E52179F" w14:textId="77777777" w:rsidR="00AD6463" w:rsidRPr="003339EC" w:rsidRDefault="00AD6463">
            <w:pPr>
              <w:tabs>
                <w:tab w:val="clear" w:pos="284"/>
                <w:tab w:val="clear" w:pos="1985"/>
              </w:tabs>
              <w:autoSpaceDE w:val="0"/>
              <w:autoSpaceDN w:val="0"/>
              <w:adjustRightInd w:val="0"/>
              <w:spacing w:before="0" w:after="0" w:line="240" w:lineRule="auto"/>
              <w:jc w:val="center"/>
              <w:rPr>
                <w:rFonts w:cs="Times New Roman"/>
                <w:color w:val="000000"/>
                <w:sz w:val="20"/>
              </w:rPr>
            </w:pPr>
            <w:r w:rsidRPr="003339EC">
              <w:rPr>
                <w:rFonts w:cs="Times New Roman"/>
                <w:color w:val="000000"/>
                <w:sz w:val="20"/>
              </w:rPr>
              <w:t>2020</w:t>
            </w:r>
          </w:p>
        </w:tc>
        <w:tc>
          <w:tcPr>
            <w:tcW w:w="625" w:type="pct"/>
            <w:tcBorders>
              <w:top w:val="single" w:sz="6" w:space="0" w:color="auto"/>
              <w:left w:val="single" w:sz="6" w:space="0" w:color="auto"/>
              <w:bottom w:val="single" w:sz="6" w:space="0" w:color="auto"/>
              <w:right w:val="single" w:sz="6" w:space="0" w:color="auto"/>
            </w:tcBorders>
          </w:tcPr>
          <w:p w14:paraId="7E60F351"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5315,4</w:t>
            </w:r>
          </w:p>
        </w:tc>
        <w:tc>
          <w:tcPr>
            <w:tcW w:w="625" w:type="pct"/>
            <w:tcBorders>
              <w:top w:val="single" w:sz="6" w:space="0" w:color="auto"/>
              <w:left w:val="single" w:sz="6" w:space="0" w:color="auto"/>
              <w:bottom w:val="single" w:sz="6" w:space="0" w:color="auto"/>
              <w:right w:val="single" w:sz="6" w:space="0" w:color="auto"/>
            </w:tcBorders>
          </w:tcPr>
          <w:p w14:paraId="68637258"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391077,9</w:t>
            </w:r>
          </w:p>
        </w:tc>
        <w:tc>
          <w:tcPr>
            <w:tcW w:w="625" w:type="pct"/>
            <w:tcBorders>
              <w:top w:val="single" w:sz="6" w:space="0" w:color="auto"/>
              <w:left w:val="single" w:sz="6" w:space="0" w:color="auto"/>
              <w:bottom w:val="single" w:sz="6" w:space="0" w:color="auto"/>
              <w:right w:val="single" w:sz="6" w:space="0" w:color="auto"/>
            </w:tcBorders>
          </w:tcPr>
          <w:p w14:paraId="4A2686FD"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52311,0</w:t>
            </w:r>
          </w:p>
        </w:tc>
        <w:tc>
          <w:tcPr>
            <w:tcW w:w="625" w:type="pct"/>
            <w:tcBorders>
              <w:top w:val="single" w:sz="6" w:space="0" w:color="auto"/>
              <w:left w:val="single" w:sz="6" w:space="0" w:color="auto"/>
              <w:bottom w:val="single" w:sz="6" w:space="0" w:color="auto"/>
              <w:right w:val="single" w:sz="6" w:space="0" w:color="auto"/>
            </w:tcBorders>
          </w:tcPr>
          <w:p w14:paraId="43157CC4"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5333,7</w:t>
            </w:r>
          </w:p>
        </w:tc>
        <w:tc>
          <w:tcPr>
            <w:tcW w:w="625" w:type="pct"/>
            <w:tcBorders>
              <w:top w:val="single" w:sz="6" w:space="0" w:color="auto"/>
              <w:left w:val="single" w:sz="6" w:space="0" w:color="auto"/>
              <w:bottom w:val="single" w:sz="6" w:space="0" w:color="auto"/>
              <w:right w:val="single" w:sz="6" w:space="0" w:color="auto"/>
            </w:tcBorders>
          </w:tcPr>
          <w:p w14:paraId="2A60316A"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14,5</w:t>
            </w:r>
          </w:p>
        </w:tc>
        <w:tc>
          <w:tcPr>
            <w:tcW w:w="625" w:type="pct"/>
            <w:tcBorders>
              <w:top w:val="single" w:sz="6" w:space="0" w:color="auto"/>
              <w:left w:val="single" w:sz="6" w:space="0" w:color="auto"/>
              <w:bottom w:val="single" w:sz="6" w:space="0" w:color="auto"/>
              <w:right w:val="single" w:sz="6" w:space="0" w:color="auto"/>
            </w:tcBorders>
          </w:tcPr>
          <w:p w14:paraId="47546A8D"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2371,3</w:t>
            </w:r>
          </w:p>
        </w:tc>
        <w:tc>
          <w:tcPr>
            <w:tcW w:w="625" w:type="pct"/>
            <w:tcBorders>
              <w:top w:val="single" w:sz="6" w:space="0" w:color="auto"/>
              <w:left w:val="single" w:sz="6" w:space="0" w:color="auto"/>
              <w:bottom w:val="single" w:sz="6" w:space="0" w:color="auto"/>
              <w:right w:val="single" w:sz="6" w:space="0" w:color="auto"/>
            </w:tcBorders>
          </w:tcPr>
          <w:p w14:paraId="0C888229" w14:textId="77777777" w:rsidR="00AD6463" w:rsidRPr="003339EC" w:rsidRDefault="00AD6463">
            <w:pPr>
              <w:tabs>
                <w:tab w:val="clear" w:pos="284"/>
                <w:tab w:val="clear" w:pos="1985"/>
              </w:tabs>
              <w:autoSpaceDE w:val="0"/>
              <w:autoSpaceDN w:val="0"/>
              <w:adjustRightInd w:val="0"/>
              <w:spacing w:before="0" w:after="0" w:line="240" w:lineRule="auto"/>
              <w:jc w:val="right"/>
              <w:rPr>
                <w:rFonts w:cs="Times New Roman"/>
                <w:color w:val="000000"/>
                <w:sz w:val="20"/>
              </w:rPr>
            </w:pPr>
            <w:r w:rsidRPr="003339EC">
              <w:rPr>
                <w:rFonts w:cs="Times New Roman"/>
                <w:color w:val="000000"/>
                <w:sz w:val="20"/>
              </w:rPr>
              <w:t>5949,7</w:t>
            </w:r>
          </w:p>
        </w:tc>
      </w:tr>
    </w:tbl>
    <w:p w14:paraId="4B0C4274" w14:textId="77777777" w:rsidR="00990432" w:rsidRPr="00C22C49" w:rsidRDefault="00990432" w:rsidP="007777F9"/>
    <w:p w14:paraId="0896B613" w14:textId="1D99C7F8" w:rsidR="000B7681" w:rsidRPr="00C22C49" w:rsidRDefault="000B7681" w:rsidP="00236C1E">
      <w:pPr>
        <w:jc w:val="left"/>
      </w:pPr>
    </w:p>
    <w:p w14:paraId="0896B615" w14:textId="77777777" w:rsidR="008163FD" w:rsidRDefault="00A55541" w:rsidP="007777F9">
      <w:r w:rsidRPr="00C22C49">
        <w:t>Середній показник утилізації відходів в період 2010-2020</w:t>
      </w:r>
      <w:r w:rsidR="00170EAA" w:rsidRPr="00C22C49">
        <w:t xml:space="preserve"> </w:t>
      </w:r>
      <w:r w:rsidRPr="00C22C49">
        <w:t>рр. становив 30%</w:t>
      </w:r>
      <w:r w:rsidR="009F2861" w:rsidRPr="00C22C49">
        <w:t xml:space="preserve">, </w:t>
      </w:r>
      <w:r w:rsidR="005A30AB" w:rsidRPr="00C22C49">
        <w:t>спалюван</w:t>
      </w:r>
      <w:r w:rsidR="00136C30" w:rsidRPr="00C22C49">
        <w:t>ня – 0,3%</w:t>
      </w:r>
      <w:r w:rsidR="00170EAA" w:rsidRPr="00C22C49">
        <w:t>, решта відходів</w:t>
      </w:r>
      <w:r w:rsidR="006B27C4" w:rsidRPr="00C22C49">
        <w:t xml:space="preserve"> піддавалась операціям видалення</w:t>
      </w:r>
      <w:r w:rsidR="006951AF" w:rsidRPr="00C22C49">
        <w:t xml:space="preserve"> або тимчасового зберігання</w:t>
      </w:r>
      <w:r w:rsidR="00136C30" w:rsidRPr="00C22C49">
        <w:t>.</w:t>
      </w:r>
      <w:r w:rsidR="00013BB0" w:rsidRPr="00C22C49">
        <w:t xml:space="preserve"> </w:t>
      </w:r>
      <w:r w:rsidR="00170EAA" w:rsidRPr="00C22C49">
        <w:t>Станом на 2020 рік, з</w:t>
      </w:r>
      <w:r w:rsidR="00013BB0" w:rsidRPr="00C22C49">
        <w:t>агальний обсяг відходів, накопичених протягом експлуатації, у спеціально відведених місцях та об’єктах</w:t>
      </w:r>
      <w:r w:rsidR="00170EAA" w:rsidRPr="00C22C49">
        <w:t xml:space="preserve"> становить 15635259,6 тис.т.</w:t>
      </w:r>
    </w:p>
    <w:p w14:paraId="032E8764" w14:textId="6644F1A3" w:rsidR="005E791B" w:rsidRPr="003339EC" w:rsidRDefault="005E791B" w:rsidP="003339EC">
      <w:pPr>
        <w:jc w:val="center"/>
        <w:rPr>
          <w:b/>
          <w:bCs/>
        </w:rPr>
      </w:pPr>
      <w:r w:rsidRPr="003339EC">
        <w:rPr>
          <w:b/>
          <w:bCs/>
        </w:rPr>
        <w:t>Таблиця. Поводження з відходами за джерелами за 2010-2020 роки, %</w:t>
      </w:r>
    </w:p>
    <w:tbl>
      <w:tblPr>
        <w:tblStyle w:val="TableGrid"/>
        <w:tblW w:w="0" w:type="auto"/>
        <w:tblInd w:w="0" w:type="dxa"/>
        <w:tblLayout w:type="fixed"/>
        <w:tblLook w:val="0000" w:firstRow="0" w:lastRow="0" w:firstColumn="0" w:lastColumn="0" w:noHBand="0" w:noVBand="0"/>
      </w:tblPr>
      <w:tblGrid>
        <w:gridCol w:w="1366"/>
        <w:gridCol w:w="1358"/>
        <w:gridCol w:w="1275"/>
        <w:gridCol w:w="3604"/>
      </w:tblGrid>
      <w:tr w:rsidR="005E791B" w:rsidRPr="00AE1244" w14:paraId="71947E17" w14:textId="77777777" w:rsidTr="003339EC">
        <w:trPr>
          <w:trHeight w:val="394"/>
        </w:trPr>
        <w:tc>
          <w:tcPr>
            <w:tcW w:w="1366" w:type="dxa"/>
            <w:vAlign w:val="center"/>
          </w:tcPr>
          <w:p w14:paraId="0297B52E" w14:textId="35DB53ED" w:rsidR="005E791B" w:rsidRPr="00AE1244" w:rsidRDefault="00AE1244"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Pr>
                <w:rFonts w:cs="Times New Roman"/>
                <w:color w:val="000000"/>
                <w:szCs w:val="24"/>
              </w:rPr>
              <w:t>Рік</w:t>
            </w:r>
          </w:p>
        </w:tc>
        <w:tc>
          <w:tcPr>
            <w:tcW w:w="1358" w:type="dxa"/>
            <w:vAlign w:val="center"/>
          </w:tcPr>
          <w:p w14:paraId="110E639B" w14:textId="7F06018F"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утилізація</w:t>
            </w:r>
          </w:p>
        </w:tc>
        <w:tc>
          <w:tcPr>
            <w:tcW w:w="1275" w:type="dxa"/>
            <w:vAlign w:val="center"/>
          </w:tcPr>
          <w:p w14:paraId="700FE622"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спалювання</w:t>
            </w:r>
          </w:p>
        </w:tc>
        <w:tc>
          <w:tcPr>
            <w:tcW w:w="3604" w:type="dxa"/>
            <w:vAlign w:val="center"/>
          </w:tcPr>
          <w:p w14:paraId="2CFC995E" w14:textId="2476D45F"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видалення відходів у спеціально відведені місця та об'єкти</w:t>
            </w:r>
          </w:p>
        </w:tc>
      </w:tr>
      <w:tr w:rsidR="005E791B" w:rsidRPr="00AE1244" w14:paraId="3853743E" w14:textId="77777777" w:rsidTr="003339EC">
        <w:trPr>
          <w:trHeight w:val="290"/>
        </w:trPr>
        <w:tc>
          <w:tcPr>
            <w:tcW w:w="1366" w:type="dxa"/>
            <w:vAlign w:val="center"/>
          </w:tcPr>
          <w:p w14:paraId="68B63B7A"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2010</w:t>
            </w:r>
          </w:p>
        </w:tc>
        <w:tc>
          <w:tcPr>
            <w:tcW w:w="1358" w:type="dxa"/>
            <w:vAlign w:val="center"/>
          </w:tcPr>
          <w:p w14:paraId="3214B2BA"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144867</w:t>
            </w:r>
          </w:p>
        </w:tc>
        <w:tc>
          <w:tcPr>
            <w:tcW w:w="1275" w:type="dxa"/>
            <w:vAlign w:val="center"/>
          </w:tcPr>
          <w:p w14:paraId="5F1969A0"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1056,8</w:t>
            </w:r>
          </w:p>
        </w:tc>
        <w:tc>
          <w:tcPr>
            <w:tcW w:w="3604" w:type="dxa"/>
            <w:vAlign w:val="center"/>
          </w:tcPr>
          <w:p w14:paraId="6CF61A14"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311649</w:t>
            </w:r>
          </w:p>
        </w:tc>
      </w:tr>
      <w:tr w:rsidR="005E791B" w:rsidRPr="00AE1244" w14:paraId="34D4A06B" w14:textId="77777777" w:rsidTr="003339EC">
        <w:trPr>
          <w:trHeight w:val="290"/>
        </w:trPr>
        <w:tc>
          <w:tcPr>
            <w:tcW w:w="1366" w:type="dxa"/>
            <w:vAlign w:val="center"/>
          </w:tcPr>
          <w:p w14:paraId="749F357A"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2011</w:t>
            </w:r>
          </w:p>
        </w:tc>
        <w:tc>
          <w:tcPr>
            <w:tcW w:w="1358" w:type="dxa"/>
            <w:vAlign w:val="center"/>
          </w:tcPr>
          <w:p w14:paraId="1AD38A0D"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153368</w:t>
            </w:r>
          </w:p>
        </w:tc>
        <w:tc>
          <w:tcPr>
            <w:tcW w:w="1275" w:type="dxa"/>
            <w:vAlign w:val="center"/>
          </w:tcPr>
          <w:p w14:paraId="4063CA99"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1039,2</w:t>
            </w:r>
          </w:p>
        </w:tc>
        <w:tc>
          <w:tcPr>
            <w:tcW w:w="3604" w:type="dxa"/>
            <w:vAlign w:val="center"/>
          </w:tcPr>
          <w:p w14:paraId="4F601A0F"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251352</w:t>
            </w:r>
          </w:p>
        </w:tc>
      </w:tr>
      <w:tr w:rsidR="005E791B" w:rsidRPr="00AE1244" w14:paraId="135CF422" w14:textId="77777777" w:rsidTr="003339EC">
        <w:trPr>
          <w:trHeight w:val="290"/>
        </w:trPr>
        <w:tc>
          <w:tcPr>
            <w:tcW w:w="1366" w:type="dxa"/>
            <w:vAlign w:val="center"/>
          </w:tcPr>
          <w:p w14:paraId="5C1B0315"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2012</w:t>
            </w:r>
          </w:p>
        </w:tc>
        <w:tc>
          <w:tcPr>
            <w:tcW w:w="1358" w:type="dxa"/>
            <w:vAlign w:val="center"/>
          </w:tcPr>
          <w:p w14:paraId="13523125"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143110</w:t>
            </w:r>
          </w:p>
        </w:tc>
        <w:tc>
          <w:tcPr>
            <w:tcW w:w="1275" w:type="dxa"/>
            <w:vAlign w:val="center"/>
          </w:tcPr>
          <w:p w14:paraId="53341D3A"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1201,1</w:t>
            </w:r>
          </w:p>
        </w:tc>
        <w:tc>
          <w:tcPr>
            <w:tcW w:w="3604" w:type="dxa"/>
            <w:vAlign w:val="center"/>
          </w:tcPr>
          <w:p w14:paraId="11520A2C"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263562,6</w:t>
            </w:r>
          </w:p>
        </w:tc>
      </w:tr>
      <w:tr w:rsidR="005E791B" w:rsidRPr="00AE1244" w14:paraId="6D176992" w14:textId="77777777" w:rsidTr="003339EC">
        <w:trPr>
          <w:trHeight w:val="290"/>
        </w:trPr>
        <w:tc>
          <w:tcPr>
            <w:tcW w:w="1366" w:type="dxa"/>
            <w:vAlign w:val="center"/>
          </w:tcPr>
          <w:p w14:paraId="700E6E07"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2013</w:t>
            </w:r>
          </w:p>
        </w:tc>
        <w:tc>
          <w:tcPr>
            <w:tcW w:w="1358" w:type="dxa"/>
            <w:vAlign w:val="center"/>
          </w:tcPr>
          <w:p w14:paraId="749FECCA"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146733</w:t>
            </w:r>
          </w:p>
        </w:tc>
        <w:tc>
          <w:tcPr>
            <w:tcW w:w="1275" w:type="dxa"/>
            <w:vAlign w:val="center"/>
          </w:tcPr>
          <w:p w14:paraId="364BF11A"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917,9</w:t>
            </w:r>
          </w:p>
        </w:tc>
        <w:tc>
          <w:tcPr>
            <w:tcW w:w="3604" w:type="dxa"/>
            <w:vAlign w:val="center"/>
          </w:tcPr>
          <w:p w14:paraId="1A6D45B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264665,6</w:t>
            </w:r>
          </w:p>
        </w:tc>
      </w:tr>
      <w:tr w:rsidR="005E791B" w:rsidRPr="00AE1244" w14:paraId="10920E10" w14:textId="77777777" w:rsidTr="003339EC">
        <w:trPr>
          <w:trHeight w:val="290"/>
        </w:trPr>
        <w:tc>
          <w:tcPr>
            <w:tcW w:w="1366" w:type="dxa"/>
            <w:vAlign w:val="center"/>
          </w:tcPr>
          <w:p w14:paraId="3639F0D0"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2014</w:t>
            </w:r>
          </w:p>
        </w:tc>
        <w:tc>
          <w:tcPr>
            <w:tcW w:w="1358" w:type="dxa"/>
            <w:vAlign w:val="center"/>
          </w:tcPr>
          <w:p w14:paraId="67D82F4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109280</w:t>
            </w:r>
          </w:p>
        </w:tc>
        <w:tc>
          <w:tcPr>
            <w:tcW w:w="1275" w:type="dxa"/>
            <w:vAlign w:val="center"/>
          </w:tcPr>
          <w:p w14:paraId="6B99CCB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944,7</w:t>
            </w:r>
          </w:p>
        </w:tc>
        <w:tc>
          <w:tcPr>
            <w:tcW w:w="3604" w:type="dxa"/>
            <w:vAlign w:val="center"/>
          </w:tcPr>
          <w:p w14:paraId="064E9AB7"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203698,0</w:t>
            </w:r>
          </w:p>
        </w:tc>
      </w:tr>
      <w:tr w:rsidR="005E791B" w:rsidRPr="00AE1244" w14:paraId="2E86E9B0" w14:textId="77777777" w:rsidTr="003339EC">
        <w:trPr>
          <w:trHeight w:val="290"/>
        </w:trPr>
        <w:tc>
          <w:tcPr>
            <w:tcW w:w="1366" w:type="dxa"/>
            <w:vAlign w:val="center"/>
          </w:tcPr>
          <w:p w14:paraId="4E323C66"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2015</w:t>
            </w:r>
          </w:p>
        </w:tc>
        <w:tc>
          <w:tcPr>
            <w:tcW w:w="1358" w:type="dxa"/>
            <w:vAlign w:val="center"/>
          </w:tcPr>
          <w:p w14:paraId="784404EB"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92463,7</w:t>
            </w:r>
          </w:p>
        </w:tc>
        <w:tc>
          <w:tcPr>
            <w:tcW w:w="1275" w:type="dxa"/>
            <w:vAlign w:val="center"/>
          </w:tcPr>
          <w:p w14:paraId="647DB2D7"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1134,7</w:t>
            </w:r>
          </w:p>
        </w:tc>
        <w:tc>
          <w:tcPr>
            <w:tcW w:w="3604" w:type="dxa"/>
            <w:vAlign w:val="center"/>
          </w:tcPr>
          <w:p w14:paraId="4542CB88"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152295,0</w:t>
            </w:r>
          </w:p>
        </w:tc>
      </w:tr>
      <w:tr w:rsidR="005E791B" w:rsidRPr="00AE1244" w14:paraId="25A22302" w14:textId="77777777" w:rsidTr="003339EC">
        <w:trPr>
          <w:trHeight w:val="290"/>
        </w:trPr>
        <w:tc>
          <w:tcPr>
            <w:tcW w:w="1366" w:type="dxa"/>
            <w:vAlign w:val="center"/>
          </w:tcPr>
          <w:p w14:paraId="08BFD125"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2016</w:t>
            </w:r>
          </w:p>
        </w:tc>
        <w:tc>
          <w:tcPr>
            <w:tcW w:w="1358" w:type="dxa"/>
            <w:vAlign w:val="center"/>
          </w:tcPr>
          <w:p w14:paraId="41C7218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84630,3</w:t>
            </w:r>
          </w:p>
        </w:tc>
        <w:tc>
          <w:tcPr>
            <w:tcW w:w="1275" w:type="dxa"/>
            <w:vAlign w:val="center"/>
          </w:tcPr>
          <w:p w14:paraId="0F5D1A06"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1106,1</w:t>
            </w:r>
          </w:p>
        </w:tc>
        <w:tc>
          <w:tcPr>
            <w:tcW w:w="3604" w:type="dxa"/>
            <w:vAlign w:val="center"/>
          </w:tcPr>
          <w:p w14:paraId="01BC0896"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157379,3</w:t>
            </w:r>
          </w:p>
        </w:tc>
      </w:tr>
      <w:tr w:rsidR="005E791B" w:rsidRPr="00AE1244" w14:paraId="4D221391" w14:textId="77777777" w:rsidTr="003339EC">
        <w:trPr>
          <w:trHeight w:val="290"/>
        </w:trPr>
        <w:tc>
          <w:tcPr>
            <w:tcW w:w="1366" w:type="dxa"/>
            <w:vAlign w:val="center"/>
          </w:tcPr>
          <w:p w14:paraId="5825C644"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2017</w:t>
            </w:r>
          </w:p>
        </w:tc>
        <w:tc>
          <w:tcPr>
            <w:tcW w:w="1358" w:type="dxa"/>
            <w:vAlign w:val="center"/>
          </w:tcPr>
          <w:p w14:paraId="3C33F492"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100056</w:t>
            </w:r>
          </w:p>
        </w:tc>
        <w:tc>
          <w:tcPr>
            <w:tcW w:w="1275" w:type="dxa"/>
            <w:vAlign w:val="center"/>
          </w:tcPr>
          <w:p w14:paraId="303A6506"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1064,3</w:t>
            </w:r>
          </w:p>
        </w:tc>
        <w:tc>
          <w:tcPr>
            <w:tcW w:w="3604" w:type="dxa"/>
            <w:vAlign w:val="center"/>
          </w:tcPr>
          <w:p w14:paraId="4B4264CE"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169801,6</w:t>
            </w:r>
          </w:p>
        </w:tc>
      </w:tr>
      <w:tr w:rsidR="005E791B" w:rsidRPr="00AE1244" w14:paraId="5686D6F1" w14:textId="77777777" w:rsidTr="003339EC">
        <w:trPr>
          <w:trHeight w:val="290"/>
        </w:trPr>
        <w:tc>
          <w:tcPr>
            <w:tcW w:w="1366" w:type="dxa"/>
            <w:vAlign w:val="center"/>
          </w:tcPr>
          <w:p w14:paraId="2F558E9F"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2018</w:t>
            </w:r>
          </w:p>
        </w:tc>
        <w:tc>
          <w:tcPr>
            <w:tcW w:w="1358" w:type="dxa"/>
            <w:vAlign w:val="center"/>
          </w:tcPr>
          <w:p w14:paraId="004D47A7"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103658</w:t>
            </w:r>
          </w:p>
        </w:tc>
        <w:tc>
          <w:tcPr>
            <w:tcW w:w="1275" w:type="dxa"/>
            <w:vAlign w:val="center"/>
          </w:tcPr>
          <w:p w14:paraId="2FC275A3"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1028,6</w:t>
            </w:r>
          </w:p>
        </w:tc>
        <w:tc>
          <w:tcPr>
            <w:tcW w:w="3604" w:type="dxa"/>
            <w:vAlign w:val="center"/>
          </w:tcPr>
          <w:p w14:paraId="5227A8E2"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169523,8</w:t>
            </w:r>
          </w:p>
        </w:tc>
      </w:tr>
      <w:tr w:rsidR="005E791B" w:rsidRPr="00AE1244" w14:paraId="6680DF65" w14:textId="77777777" w:rsidTr="003339EC">
        <w:trPr>
          <w:trHeight w:val="290"/>
        </w:trPr>
        <w:tc>
          <w:tcPr>
            <w:tcW w:w="1366" w:type="dxa"/>
            <w:vAlign w:val="center"/>
          </w:tcPr>
          <w:p w14:paraId="0DF0CA86"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2019</w:t>
            </w:r>
          </w:p>
        </w:tc>
        <w:tc>
          <w:tcPr>
            <w:tcW w:w="1358" w:type="dxa"/>
            <w:vAlign w:val="center"/>
          </w:tcPr>
          <w:p w14:paraId="69962A87"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108024</w:t>
            </w:r>
          </w:p>
        </w:tc>
        <w:tc>
          <w:tcPr>
            <w:tcW w:w="1275" w:type="dxa"/>
            <w:vAlign w:val="center"/>
          </w:tcPr>
          <w:p w14:paraId="40EA718F"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1059,0</w:t>
            </w:r>
          </w:p>
        </w:tc>
        <w:tc>
          <w:tcPr>
            <w:tcW w:w="3604" w:type="dxa"/>
            <w:vAlign w:val="center"/>
          </w:tcPr>
          <w:p w14:paraId="7D133FBB"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238997,2</w:t>
            </w:r>
          </w:p>
        </w:tc>
      </w:tr>
      <w:tr w:rsidR="005E791B" w:rsidRPr="00AE1244" w14:paraId="09665BF1" w14:textId="77777777" w:rsidTr="003339EC">
        <w:trPr>
          <w:trHeight w:val="290"/>
        </w:trPr>
        <w:tc>
          <w:tcPr>
            <w:tcW w:w="1366" w:type="dxa"/>
            <w:vAlign w:val="center"/>
          </w:tcPr>
          <w:p w14:paraId="79070645"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2020</w:t>
            </w:r>
          </w:p>
        </w:tc>
        <w:tc>
          <w:tcPr>
            <w:tcW w:w="1358" w:type="dxa"/>
            <w:vAlign w:val="center"/>
          </w:tcPr>
          <w:p w14:paraId="1D888A7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100525</w:t>
            </w:r>
          </w:p>
        </w:tc>
        <w:tc>
          <w:tcPr>
            <w:tcW w:w="1275" w:type="dxa"/>
            <w:vAlign w:val="center"/>
          </w:tcPr>
          <w:p w14:paraId="1A33D0D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1008,0</w:t>
            </w:r>
          </w:p>
        </w:tc>
        <w:tc>
          <w:tcPr>
            <w:tcW w:w="3604" w:type="dxa"/>
            <w:vAlign w:val="center"/>
          </w:tcPr>
          <w:p w14:paraId="50DEAB81" w14:textId="77777777" w:rsidR="005E791B" w:rsidRPr="00AE1244" w:rsidRDefault="005E791B" w:rsidP="003339EC">
            <w:pPr>
              <w:tabs>
                <w:tab w:val="clear" w:pos="284"/>
                <w:tab w:val="clear" w:pos="1985"/>
              </w:tabs>
              <w:autoSpaceDE w:val="0"/>
              <w:autoSpaceDN w:val="0"/>
              <w:adjustRightInd w:val="0"/>
              <w:spacing w:before="0" w:after="0" w:line="240" w:lineRule="auto"/>
              <w:jc w:val="center"/>
              <w:rPr>
                <w:rFonts w:cs="Times New Roman"/>
                <w:color w:val="000000"/>
                <w:sz w:val="24"/>
                <w:szCs w:val="24"/>
              </w:rPr>
            </w:pPr>
            <w:r w:rsidRPr="00AE1244">
              <w:rPr>
                <w:rFonts w:cs="Times New Roman"/>
                <w:color w:val="000000"/>
                <w:sz w:val="24"/>
                <w:szCs w:val="24"/>
              </w:rPr>
              <w:t>275985,3</w:t>
            </w:r>
          </w:p>
        </w:tc>
      </w:tr>
    </w:tbl>
    <w:p w14:paraId="0896B619" w14:textId="77777777" w:rsidR="00D61E8A" w:rsidRPr="00C22C49" w:rsidRDefault="0081110A" w:rsidP="007777F9">
      <w:r w:rsidRPr="00C22C49">
        <w:t>Високий рівень утворення відходів та низькі показники їх використання в якості вторинної сировини призвели до того, що в Україні в промисловому та комунальному секторах більшість відходів, які накопичуються щороку, вивозяться на місця видалення відходів.</w:t>
      </w:r>
    </w:p>
    <w:p w14:paraId="0896B61A" w14:textId="77777777" w:rsidR="000A433D" w:rsidRPr="00C22C49" w:rsidRDefault="0058773D" w:rsidP="006E3164">
      <w:pPr>
        <w:pStyle w:val="Heading4boldRED"/>
        <w:rPr>
          <w:lang w:val="uk-UA"/>
        </w:rPr>
      </w:pPr>
      <w:r w:rsidRPr="00C22C49">
        <w:rPr>
          <w:lang w:val="uk-UA"/>
        </w:rPr>
        <w:t>Фінансування</w:t>
      </w:r>
    </w:p>
    <w:p w14:paraId="0896B61B" w14:textId="77777777" w:rsidR="00B52F9A" w:rsidRPr="00C22C49" w:rsidRDefault="00B52F9A" w:rsidP="0078411F">
      <w:r w:rsidRPr="00C22C49">
        <w:t>Види фінансування управління відходами.</w:t>
      </w:r>
    </w:p>
    <w:p w14:paraId="0896B61C" w14:textId="77777777" w:rsidR="0078411F" w:rsidRPr="00C22C49" w:rsidRDefault="0078411F" w:rsidP="006E3164">
      <w:pPr>
        <w:pStyle w:val="REDBoldonly"/>
      </w:pPr>
      <w:r w:rsidRPr="00C22C49">
        <w:t>Бюджетне фінансування:</w:t>
      </w:r>
    </w:p>
    <w:p w14:paraId="0896B61D" w14:textId="77777777" w:rsidR="0078411F" w:rsidRPr="00C22C49" w:rsidRDefault="0078411F" w:rsidP="00B52F9A">
      <w:pPr>
        <w:pStyle w:val="BulletRED"/>
      </w:pPr>
      <w:r w:rsidRPr="00C22C49">
        <w:t>державний бюджет: державний фонд охорони навколишнього природного середовища</w:t>
      </w:r>
      <w:r w:rsidR="007B5BAA" w:rsidRPr="00C22C49">
        <w:t xml:space="preserve"> </w:t>
      </w:r>
      <w:r w:rsidR="00606E29" w:rsidRPr="00C22C49">
        <w:t>(ОНПС)</w:t>
      </w:r>
      <w:r w:rsidRPr="00C22C49">
        <w:t>, державний фонд регіонального розвитку, інші кошти державного бюджету.</w:t>
      </w:r>
    </w:p>
    <w:p w14:paraId="0896B61E" w14:textId="77777777" w:rsidR="00B52F9A" w:rsidRPr="00C22C49" w:rsidRDefault="0078411F" w:rsidP="00B52F9A">
      <w:pPr>
        <w:pStyle w:val="BulletRED"/>
      </w:pPr>
      <w:r w:rsidRPr="00C22C49">
        <w:t>місцеві бюджети: обласний бюджет і бюджети сільських, селищних, міських рівнів, зокрема у їх складі спеціальні фонди (фонди охорони навколишнього природного середовища</w:t>
      </w:r>
      <w:r w:rsidR="007B5BAA" w:rsidRPr="00C22C49">
        <w:t>)</w:t>
      </w:r>
      <w:r w:rsidRPr="00C22C49">
        <w:t>.</w:t>
      </w:r>
    </w:p>
    <w:p w14:paraId="0896B61F" w14:textId="77777777" w:rsidR="00B52F9A" w:rsidRPr="00C22C49" w:rsidRDefault="00B52F9A" w:rsidP="00B52F9A">
      <w:r w:rsidRPr="00C22C49">
        <w:t xml:space="preserve">Фонд ОНПС формується з екологічного податку, стягнень за шкоду заподіяну порушенням законодавства про охорону навколишнього природного середовища, цільових та інших добровільних внесків підприємств, установ, організацій та громадян. </w:t>
      </w:r>
      <w:r w:rsidR="00125C57" w:rsidRPr="00C22C49">
        <w:t xml:space="preserve">Ставки екологічного податку </w:t>
      </w:r>
      <w:r w:rsidR="005449E7" w:rsidRPr="00C22C49">
        <w:t>за розміщення відходів встановлюються залежно від класу небезпеки (</w:t>
      </w:r>
      <w:r w:rsidR="008E3FBF" w:rsidRPr="00C22C49">
        <w:t>за розміщення 1 т відходів І класу небезпеки стягується 1546,22</w:t>
      </w:r>
      <w:r w:rsidR="006B7E97" w:rsidRPr="00C22C49">
        <w:t xml:space="preserve"> </w:t>
      </w:r>
      <w:r w:rsidR="008E3FBF" w:rsidRPr="00C22C49">
        <w:t xml:space="preserve">грн, </w:t>
      </w:r>
      <w:r w:rsidR="00D61AAA" w:rsidRPr="00C22C49">
        <w:t>ІІ класу - 56,32</w:t>
      </w:r>
      <w:r w:rsidR="006B7E97" w:rsidRPr="00C22C49">
        <w:t xml:space="preserve"> грн</w:t>
      </w:r>
      <w:r w:rsidR="00D61AAA" w:rsidRPr="00C22C49">
        <w:t>, ІІІ класу</w:t>
      </w:r>
      <w:r w:rsidR="00C2061C" w:rsidRPr="00C22C49">
        <w:t xml:space="preserve"> </w:t>
      </w:r>
      <w:r w:rsidR="006B7E97" w:rsidRPr="00C22C49">
        <w:t>- 14,12 грн</w:t>
      </w:r>
      <w:r w:rsidR="00D61AAA" w:rsidRPr="00C22C49">
        <w:t xml:space="preserve">, ІV класу - </w:t>
      </w:r>
      <w:r w:rsidR="006B7E97" w:rsidRPr="00C22C49">
        <w:t>5,50 грн</w:t>
      </w:r>
      <w:r w:rsidR="005A7A23" w:rsidRPr="00C22C49">
        <w:t>, малонебезпечн</w:t>
      </w:r>
      <w:r w:rsidR="005D1C15" w:rsidRPr="00C22C49">
        <w:t>их</w:t>
      </w:r>
      <w:r w:rsidR="005A7A23" w:rsidRPr="00C22C49">
        <w:t xml:space="preserve"> нетоксичн</w:t>
      </w:r>
      <w:r w:rsidR="005D1C15" w:rsidRPr="00C22C49">
        <w:t>их</w:t>
      </w:r>
      <w:r w:rsidR="005A7A23" w:rsidRPr="00C22C49">
        <w:t xml:space="preserve"> відход</w:t>
      </w:r>
      <w:r w:rsidR="005D1C15" w:rsidRPr="00C22C49">
        <w:t xml:space="preserve">ів </w:t>
      </w:r>
      <w:r w:rsidR="005A7A23" w:rsidRPr="00C22C49">
        <w:t>гірничої промисловості</w:t>
      </w:r>
      <w:r w:rsidR="005D1C15" w:rsidRPr="00C22C49">
        <w:t xml:space="preserve"> – 0,54 грн</w:t>
      </w:r>
      <w:r w:rsidR="006B7E97" w:rsidRPr="00C22C49">
        <w:t>)</w:t>
      </w:r>
      <w:r w:rsidR="006B1B80" w:rsidRPr="00C22C49">
        <w:t>.</w:t>
      </w:r>
    </w:p>
    <w:p w14:paraId="0896B620" w14:textId="77777777" w:rsidR="0078411F" w:rsidRPr="00C22C49" w:rsidRDefault="0078411F" w:rsidP="006E3164">
      <w:pPr>
        <w:pStyle w:val="REDBoldonly"/>
      </w:pPr>
      <w:r w:rsidRPr="00C22C49">
        <w:t>Кошти небюджетних джерел:</w:t>
      </w:r>
    </w:p>
    <w:p w14:paraId="0896B621" w14:textId="77777777" w:rsidR="0078411F" w:rsidRPr="00C22C49" w:rsidRDefault="0078411F" w:rsidP="0078411F">
      <w:pPr>
        <w:pStyle w:val="BulletRED"/>
      </w:pPr>
      <w:r w:rsidRPr="00C22C49">
        <w:t xml:space="preserve">власні кошти суб’єктів господарювання, </w:t>
      </w:r>
    </w:p>
    <w:p w14:paraId="0896B622" w14:textId="77777777" w:rsidR="0078411F" w:rsidRPr="00C22C49" w:rsidRDefault="0078411F" w:rsidP="0078411F">
      <w:pPr>
        <w:pStyle w:val="BulletRED"/>
      </w:pPr>
      <w:r w:rsidRPr="00C22C49">
        <w:t xml:space="preserve">благодійна допомога, </w:t>
      </w:r>
    </w:p>
    <w:p w14:paraId="0896B623" w14:textId="77777777" w:rsidR="0078411F" w:rsidRPr="00C22C49" w:rsidRDefault="0078411F" w:rsidP="0078411F">
      <w:pPr>
        <w:pStyle w:val="BulletRED"/>
      </w:pPr>
      <w:r w:rsidRPr="00C22C49">
        <w:t>добровільні цільові внески підприємців і громадян</w:t>
      </w:r>
      <w:r w:rsidR="00606E29" w:rsidRPr="00C22C49">
        <w:t>,</w:t>
      </w:r>
    </w:p>
    <w:p w14:paraId="0896B624" w14:textId="77777777" w:rsidR="0078411F" w:rsidRPr="00C22C49" w:rsidRDefault="0078411F" w:rsidP="0078411F">
      <w:pPr>
        <w:pStyle w:val="BulletRED"/>
      </w:pPr>
      <w:r w:rsidRPr="00C22C49">
        <w:t>інвестиційні кошти</w:t>
      </w:r>
      <w:r w:rsidR="00606E29" w:rsidRPr="00C22C49">
        <w:t>,</w:t>
      </w:r>
    </w:p>
    <w:p w14:paraId="0896B625" w14:textId="77777777" w:rsidR="0078411F" w:rsidRPr="00C22C49" w:rsidRDefault="0078411F" w:rsidP="0078411F">
      <w:pPr>
        <w:pStyle w:val="BulletRED"/>
      </w:pPr>
      <w:r w:rsidRPr="00C22C49">
        <w:t>кредити</w:t>
      </w:r>
      <w:r w:rsidR="00606E29" w:rsidRPr="00C22C49">
        <w:t>,</w:t>
      </w:r>
    </w:p>
    <w:p w14:paraId="0896B626" w14:textId="77777777" w:rsidR="0078411F" w:rsidRPr="00C22C49" w:rsidRDefault="0078411F" w:rsidP="0078411F">
      <w:pPr>
        <w:pStyle w:val="BulletRED"/>
      </w:pPr>
      <w:r w:rsidRPr="00C22C49">
        <w:t>міжнародна фінансова допомога.</w:t>
      </w:r>
    </w:p>
    <w:p w14:paraId="0896B627" w14:textId="77777777" w:rsidR="00492FEF" w:rsidRPr="00C22C49" w:rsidRDefault="00492FEF" w:rsidP="005A5354">
      <w:r w:rsidRPr="00C22C49">
        <w:t>Однак, незважаючи на це, принцип "забруднювач платить" не є повністю сформованим та впровадженим в Україні, і, фактично, все ще існує значний дисбаланс між стягнутими коштами за забруднення та витратами, які дійсно необхідні для ліквідації його негативних наслідків.</w:t>
      </w:r>
    </w:p>
    <w:p w14:paraId="0896B628" w14:textId="3C4E7567" w:rsidR="003E16F6" w:rsidRPr="00C22C49" w:rsidRDefault="00AE04EC" w:rsidP="00581F2A">
      <w:r w:rsidRPr="00C22C49">
        <w:rPr>
          <w:b/>
          <w:bCs/>
        </w:rPr>
        <w:t xml:space="preserve">Тарифи на послуги поводження з побутовими відходами встановлюються </w:t>
      </w:r>
      <w:r w:rsidR="004B410B">
        <w:rPr>
          <w:b/>
          <w:bCs/>
        </w:rPr>
        <w:t>о</w:t>
      </w:r>
      <w:r w:rsidR="004B410B" w:rsidRPr="004B410B">
        <w:rPr>
          <w:b/>
          <w:bCs/>
        </w:rPr>
        <w:t>рган</w:t>
      </w:r>
      <w:r w:rsidR="004B410B">
        <w:rPr>
          <w:b/>
          <w:bCs/>
        </w:rPr>
        <w:t>ами</w:t>
      </w:r>
      <w:r w:rsidR="004B410B" w:rsidRPr="004B410B">
        <w:rPr>
          <w:b/>
          <w:bCs/>
        </w:rPr>
        <w:t xml:space="preserve"> місцевого самоврядування </w:t>
      </w:r>
      <w:r w:rsidR="004B410B">
        <w:rPr>
          <w:b/>
          <w:bCs/>
        </w:rPr>
        <w:t>(</w:t>
      </w:r>
      <w:r w:rsidRPr="00C22C49">
        <w:rPr>
          <w:b/>
          <w:bCs/>
        </w:rPr>
        <w:t>ОМС</w:t>
      </w:r>
      <w:r w:rsidR="004B410B">
        <w:rPr>
          <w:b/>
          <w:bCs/>
        </w:rPr>
        <w:t>)</w:t>
      </w:r>
      <w:r w:rsidRPr="00C22C49">
        <w:rPr>
          <w:b/>
          <w:bCs/>
        </w:rPr>
        <w:t>.</w:t>
      </w:r>
      <w:r w:rsidRPr="00C22C49">
        <w:t xml:space="preserve"> </w:t>
      </w:r>
      <w:r w:rsidR="00B20276" w:rsidRPr="00C22C49">
        <w:t>За даними Мінінфраструктури, у</w:t>
      </w:r>
      <w:r w:rsidR="00AD587E" w:rsidRPr="00C22C49">
        <w:t xml:space="preserve"> 2022 році с</w:t>
      </w:r>
      <w:r w:rsidR="003E16F6" w:rsidRPr="00C22C49">
        <w:t xml:space="preserve">ередній тариф на </w:t>
      </w:r>
      <w:r w:rsidR="003E16F6" w:rsidRPr="00C22C49">
        <w:rPr>
          <w:b/>
          <w:bCs/>
        </w:rPr>
        <w:t>поводження з побутовими відходами в країні станов</w:t>
      </w:r>
      <w:r w:rsidRPr="00C22C49">
        <w:rPr>
          <w:b/>
          <w:bCs/>
        </w:rPr>
        <w:t>ив</w:t>
      </w:r>
      <w:r w:rsidR="003E16F6" w:rsidRPr="00C22C49">
        <w:rPr>
          <w:b/>
          <w:bCs/>
        </w:rPr>
        <w:t xml:space="preserve"> 167 грн./м3,</w:t>
      </w:r>
      <w:r w:rsidR="003E16F6" w:rsidRPr="00C22C49">
        <w:t xml:space="preserve"> у тому числі за </w:t>
      </w:r>
      <w:r w:rsidR="003E16F6" w:rsidRPr="00C22C49">
        <w:rPr>
          <w:b/>
          <w:bCs/>
        </w:rPr>
        <w:t>захоронення – 68 грн./м3.</w:t>
      </w:r>
      <w:r w:rsidR="003E16F6" w:rsidRPr="00C22C49">
        <w:t xml:space="preserve"> </w:t>
      </w:r>
    </w:p>
    <w:p w14:paraId="0896B629" w14:textId="77777777" w:rsidR="003E16F6" w:rsidRPr="00C22C49" w:rsidRDefault="003E16F6" w:rsidP="003E16F6">
      <w:r w:rsidRPr="00C22C49">
        <w:t>За експертними оцінками обсяг реалізацій послуг з вивезення побутових відходів у 2022 році склада</w:t>
      </w:r>
      <w:r w:rsidR="00AD587E" w:rsidRPr="00C22C49">
        <w:t>в</w:t>
      </w:r>
      <w:r w:rsidRPr="00C22C49">
        <w:t xml:space="preserve"> понад 5,9 млрд. грн.</w:t>
      </w:r>
      <w:r w:rsidR="00AE04EC" w:rsidRPr="00C22C49">
        <w:t xml:space="preserve"> </w:t>
      </w:r>
      <w:r w:rsidRPr="00C22C49">
        <w:t>Обсяг сплачених послуг склада</w:t>
      </w:r>
      <w:r w:rsidR="00AD587E" w:rsidRPr="00C22C49">
        <w:t>в</w:t>
      </w:r>
      <w:r w:rsidRPr="00C22C49">
        <w:t xml:space="preserve"> 5,4 млрд. грн. </w:t>
      </w:r>
    </w:p>
    <w:p w14:paraId="0896B62A" w14:textId="77777777" w:rsidR="00BB7453" w:rsidRPr="00C22C49" w:rsidRDefault="003E16F6" w:rsidP="003E16F6">
      <w:r w:rsidRPr="00C22C49">
        <w:t>Сума пільг населенню у наданні послуг з вивезення побутових відходів за розрахунками підприємств склала 82 млн. грн., а фактично відшкодовано 77 млн. грн. (95%).</w:t>
      </w:r>
      <w:r w:rsidR="00AE04EC" w:rsidRPr="00C22C49">
        <w:t xml:space="preserve"> </w:t>
      </w:r>
      <w:r w:rsidRPr="00C22C49">
        <w:t>На дотаційне фінансування розвитку та утримання санітарно</w:t>
      </w:r>
      <w:r w:rsidR="00AD587E" w:rsidRPr="00C22C49">
        <w:t>го</w:t>
      </w:r>
      <w:r w:rsidRPr="00C22C49">
        <w:t xml:space="preserve"> оч</w:t>
      </w:r>
      <w:r w:rsidR="00AD587E" w:rsidRPr="00C22C49">
        <w:t>ищення</w:t>
      </w:r>
      <w:r w:rsidRPr="00C22C49">
        <w:t xml:space="preserve"> у 2022 році було виділено майже 940 млн. гривень. Кредиторська заборгованість у сфері поводження з побутовими відходами в 2022 році склала 821 млн. грн., з них з оплати праці понад 42 млн. грн.</w:t>
      </w:r>
      <w:r w:rsidR="00AE04EC" w:rsidRPr="00C22C49">
        <w:t xml:space="preserve"> </w:t>
      </w:r>
      <w:r w:rsidRPr="00C22C49">
        <w:t>Дебіторська заборгованість у 2022 році складає 2,3 млрд. грн., з них заборгованість населення понад 1,8 млрд. грн., бюджетних організацій – 0,069 млрд. грн.</w:t>
      </w:r>
    </w:p>
    <w:p w14:paraId="0896B62B" w14:textId="53F7353C" w:rsidR="00AF440F" w:rsidRPr="00C22C49" w:rsidRDefault="00AF440F" w:rsidP="00AF440F">
      <w:pPr>
        <w:pStyle w:val="ad"/>
        <w:rPr>
          <w:rFonts w:cs="Times New Roman"/>
          <w:b w:val="0"/>
          <w:bCs/>
          <w:szCs w:val="24"/>
          <w:lang w:val="uk-UA"/>
        </w:rPr>
      </w:pPr>
      <w:bookmarkStart w:id="14" w:name="_Toc142262250"/>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3</w:t>
      </w:r>
      <w:r w:rsidR="005E0A06" w:rsidRPr="00C22C49">
        <w:rPr>
          <w:lang w:val="uk-UA"/>
        </w:rPr>
        <w:fldChar w:fldCharType="end"/>
      </w:r>
      <w:r w:rsidRPr="00C22C49">
        <w:rPr>
          <w:lang w:val="uk-UA"/>
        </w:rPr>
        <w:t xml:space="preserve">. </w:t>
      </w:r>
      <w:r w:rsidRPr="00C22C49">
        <w:rPr>
          <w:rFonts w:cs="Times New Roman"/>
          <w:bCs/>
          <w:szCs w:val="24"/>
          <w:lang w:val="uk-UA"/>
        </w:rPr>
        <w:t>Фінансове забезпечення системи управління побутовими відходами, тис.грн (дані - Мінінфраструктури)</w:t>
      </w:r>
      <w:bookmarkEnd w:id="14"/>
    </w:p>
    <w:tbl>
      <w:tblPr>
        <w:tblStyle w:val="-711"/>
        <w:tblW w:w="0" w:type="auto"/>
        <w:tblLook w:val="04A0" w:firstRow="1" w:lastRow="0" w:firstColumn="1" w:lastColumn="0" w:noHBand="0" w:noVBand="1"/>
      </w:tblPr>
      <w:tblGrid>
        <w:gridCol w:w="3045"/>
        <w:gridCol w:w="1093"/>
        <w:gridCol w:w="1166"/>
        <w:gridCol w:w="1167"/>
        <w:gridCol w:w="1167"/>
        <w:gridCol w:w="1167"/>
        <w:gridCol w:w="1151"/>
      </w:tblGrid>
      <w:tr w:rsidR="00FB76A8" w:rsidRPr="00C22C49" w14:paraId="0896B633" w14:textId="77777777" w:rsidTr="00642A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5" w:type="dxa"/>
          </w:tcPr>
          <w:p w14:paraId="0896B62C" w14:textId="77777777" w:rsidR="00AF440F" w:rsidRPr="00C22C49" w:rsidRDefault="00AF440F" w:rsidP="00AF440F">
            <w:pPr>
              <w:pStyle w:val="Table"/>
              <w:rPr>
                <w:color w:val="auto"/>
                <w:lang w:val="uk-UA"/>
              </w:rPr>
            </w:pPr>
            <w:r w:rsidRPr="00C22C49">
              <w:rPr>
                <w:color w:val="auto"/>
                <w:lang w:val="uk-UA"/>
              </w:rPr>
              <w:t>Найменування показників</w:t>
            </w:r>
          </w:p>
        </w:tc>
        <w:tc>
          <w:tcPr>
            <w:tcW w:w="1093" w:type="dxa"/>
          </w:tcPr>
          <w:p w14:paraId="0896B62D" w14:textId="77777777" w:rsidR="00AF440F" w:rsidRPr="00C22C49" w:rsidRDefault="00AF440F" w:rsidP="00AF440F">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2017</w:t>
            </w:r>
          </w:p>
        </w:tc>
        <w:tc>
          <w:tcPr>
            <w:tcW w:w="1166" w:type="dxa"/>
          </w:tcPr>
          <w:p w14:paraId="0896B62E" w14:textId="77777777" w:rsidR="00AF440F" w:rsidRPr="00C22C49" w:rsidRDefault="00AF440F" w:rsidP="00AF440F">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2018</w:t>
            </w:r>
          </w:p>
        </w:tc>
        <w:tc>
          <w:tcPr>
            <w:tcW w:w="1167" w:type="dxa"/>
          </w:tcPr>
          <w:p w14:paraId="0896B62F" w14:textId="77777777" w:rsidR="00AF440F" w:rsidRPr="00C22C49" w:rsidRDefault="00AF440F" w:rsidP="00AF440F">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2019</w:t>
            </w:r>
          </w:p>
        </w:tc>
        <w:tc>
          <w:tcPr>
            <w:tcW w:w="1167" w:type="dxa"/>
          </w:tcPr>
          <w:p w14:paraId="0896B630" w14:textId="77777777" w:rsidR="00AF440F" w:rsidRPr="00C22C49" w:rsidRDefault="00AF440F" w:rsidP="00AF440F">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2020</w:t>
            </w:r>
          </w:p>
        </w:tc>
        <w:tc>
          <w:tcPr>
            <w:tcW w:w="1167" w:type="dxa"/>
          </w:tcPr>
          <w:p w14:paraId="0896B631" w14:textId="77777777" w:rsidR="00AF440F" w:rsidRPr="00C22C49" w:rsidRDefault="00AF440F" w:rsidP="00AF440F">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2021</w:t>
            </w:r>
          </w:p>
        </w:tc>
        <w:tc>
          <w:tcPr>
            <w:tcW w:w="1151" w:type="dxa"/>
          </w:tcPr>
          <w:p w14:paraId="0896B632" w14:textId="77777777" w:rsidR="00AF440F" w:rsidRPr="00C22C49" w:rsidRDefault="00AF440F" w:rsidP="00AF440F">
            <w:pPr>
              <w:pStyle w:val="Table"/>
              <w:cnfStyle w:val="100000000000" w:firstRow="1" w:lastRow="0" w:firstColumn="0" w:lastColumn="0" w:oddVBand="0" w:evenVBand="0" w:oddHBand="0" w:evenHBand="0" w:firstRowFirstColumn="0" w:firstRowLastColumn="0" w:lastRowFirstColumn="0" w:lastRowLastColumn="0"/>
              <w:rPr>
                <w:color w:val="auto"/>
                <w:lang w:val="uk-UA"/>
              </w:rPr>
            </w:pPr>
            <w:r w:rsidRPr="00C22C49">
              <w:rPr>
                <w:color w:val="auto"/>
                <w:lang w:val="uk-UA"/>
              </w:rPr>
              <w:t>2022</w:t>
            </w:r>
          </w:p>
        </w:tc>
      </w:tr>
      <w:tr w:rsidR="00FB76A8" w:rsidRPr="00C22C49" w14:paraId="0896B63B" w14:textId="77777777" w:rsidTr="0064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0896B634" w14:textId="18B92E05" w:rsidR="00AF440F" w:rsidRPr="00C22C49" w:rsidRDefault="00AF440F" w:rsidP="00AF440F">
            <w:pPr>
              <w:pStyle w:val="Table"/>
              <w:rPr>
                <w:color w:val="auto"/>
                <w:lang w:val="uk-UA"/>
              </w:rPr>
            </w:pPr>
            <w:r w:rsidRPr="00C22C49">
              <w:rPr>
                <w:color w:val="auto"/>
                <w:lang w:val="uk-UA"/>
              </w:rPr>
              <w:t xml:space="preserve">Кошти спрямовані на розвиток сфери поводження з </w:t>
            </w:r>
            <w:r w:rsidR="003018BC">
              <w:rPr>
                <w:color w:val="auto"/>
                <w:lang w:val="uk-UA"/>
              </w:rPr>
              <w:t>п</w:t>
            </w:r>
            <w:r w:rsidR="003018BC" w:rsidRPr="003018BC">
              <w:rPr>
                <w:color w:val="auto"/>
                <w:lang w:val="uk-UA"/>
              </w:rPr>
              <w:t>обутов</w:t>
            </w:r>
            <w:r w:rsidR="003018BC">
              <w:rPr>
                <w:color w:val="auto"/>
                <w:lang w:val="uk-UA"/>
              </w:rPr>
              <w:t>ими</w:t>
            </w:r>
            <w:r w:rsidR="003018BC" w:rsidRPr="003018BC">
              <w:rPr>
                <w:color w:val="auto"/>
                <w:lang w:val="uk-UA"/>
              </w:rPr>
              <w:t xml:space="preserve"> відход</w:t>
            </w:r>
            <w:r w:rsidR="003018BC">
              <w:rPr>
                <w:color w:val="auto"/>
                <w:lang w:val="uk-UA"/>
              </w:rPr>
              <w:t>ами</w:t>
            </w:r>
            <w:r w:rsidR="003018BC" w:rsidRPr="003018BC" w:rsidDel="003018BC">
              <w:rPr>
                <w:color w:val="auto"/>
                <w:lang w:val="uk-UA"/>
              </w:rPr>
              <w:t xml:space="preserve"> </w:t>
            </w:r>
            <w:r w:rsidR="003018BC">
              <w:rPr>
                <w:color w:val="auto"/>
                <w:lang w:val="uk-UA"/>
              </w:rPr>
              <w:t>(</w:t>
            </w:r>
            <w:r w:rsidRPr="00C22C49">
              <w:rPr>
                <w:color w:val="auto"/>
                <w:lang w:val="uk-UA"/>
              </w:rPr>
              <w:t>ПВ</w:t>
            </w:r>
            <w:r w:rsidR="003018BC">
              <w:rPr>
                <w:color w:val="auto"/>
                <w:lang w:val="uk-UA"/>
              </w:rPr>
              <w:t>)</w:t>
            </w:r>
            <w:r w:rsidRPr="00C22C49">
              <w:rPr>
                <w:color w:val="auto"/>
                <w:lang w:val="uk-UA"/>
              </w:rPr>
              <w:t>:</w:t>
            </w:r>
          </w:p>
        </w:tc>
        <w:tc>
          <w:tcPr>
            <w:tcW w:w="1093" w:type="dxa"/>
          </w:tcPr>
          <w:p w14:paraId="0896B635"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981643</w:t>
            </w:r>
          </w:p>
        </w:tc>
        <w:tc>
          <w:tcPr>
            <w:tcW w:w="1166" w:type="dxa"/>
          </w:tcPr>
          <w:p w14:paraId="0896B636"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1004675</w:t>
            </w:r>
          </w:p>
        </w:tc>
        <w:tc>
          <w:tcPr>
            <w:tcW w:w="1167" w:type="dxa"/>
          </w:tcPr>
          <w:p w14:paraId="0896B637"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1106153</w:t>
            </w:r>
          </w:p>
        </w:tc>
        <w:tc>
          <w:tcPr>
            <w:tcW w:w="1167" w:type="dxa"/>
          </w:tcPr>
          <w:p w14:paraId="0896B638"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1072797</w:t>
            </w:r>
          </w:p>
        </w:tc>
        <w:tc>
          <w:tcPr>
            <w:tcW w:w="1167" w:type="dxa"/>
          </w:tcPr>
          <w:p w14:paraId="0896B639"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1842022</w:t>
            </w:r>
          </w:p>
        </w:tc>
        <w:tc>
          <w:tcPr>
            <w:tcW w:w="1151" w:type="dxa"/>
          </w:tcPr>
          <w:p w14:paraId="0896B63A"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939092,93</w:t>
            </w:r>
          </w:p>
        </w:tc>
      </w:tr>
      <w:tr w:rsidR="00FB76A8" w:rsidRPr="00C22C49" w14:paraId="0896B643" w14:textId="77777777" w:rsidTr="00642A24">
        <w:tc>
          <w:tcPr>
            <w:cnfStyle w:val="001000000000" w:firstRow="0" w:lastRow="0" w:firstColumn="1" w:lastColumn="0" w:oddVBand="0" w:evenVBand="0" w:oddHBand="0" w:evenHBand="0" w:firstRowFirstColumn="0" w:firstRowLastColumn="0" w:lastRowFirstColumn="0" w:lastRowLastColumn="0"/>
            <w:tcW w:w="3045" w:type="dxa"/>
          </w:tcPr>
          <w:p w14:paraId="0896B63C" w14:textId="77777777" w:rsidR="00AF440F" w:rsidRPr="00C22C49" w:rsidRDefault="00AF440F" w:rsidP="00AF440F">
            <w:pPr>
              <w:pStyle w:val="Table"/>
              <w:rPr>
                <w:color w:val="auto"/>
                <w:lang w:val="uk-UA"/>
              </w:rPr>
            </w:pPr>
            <w:r w:rsidRPr="00C22C49">
              <w:rPr>
                <w:color w:val="auto"/>
                <w:lang w:val="uk-UA"/>
              </w:rPr>
              <w:t>будівництво нових полігонів</w:t>
            </w:r>
          </w:p>
        </w:tc>
        <w:tc>
          <w:tcPr>
            <w:tcW w:w="1093" w:type="dxa"/>
          </w:tcPr>
          <w:p w14:paraId="0896B63D"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147650</w:t>
            </w:r>
          </w:p>
        </w:tc>
        <w:tc>
          <w:tcPr>
            <w:tcW w:w="1166" w:type="dxa"/>
          </w:tcPr>
          <w:p w14:paraId="0896B63E"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126577</w:t>
            </w:r>
          </w:p>
        </w:tc>
        <w:tc>
          <w:tcPr>
            <w:tcW w:w="1167" w:type="dxa"/>
          </w:tcPr>
          <w:p w14:paraId="0896B63F"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180965</w:t>
            </w:r>
          </w:p>
        </w:tc>
        <w:tc>
          <w:tcPr>
            <w:tcW w:w="1167" w:type="dxa"/>
          </w:tcPr>
          <w:p w14:paraId="0896B640"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259432</w:t>
            </w:r>
          </w:p>
        </w:tc>
        <w:tc>
          <w:tcPr>
            <w:tcW w:w="1167" w:type="dxa"/>
          </w:tcPr>
          <w:p w14:paraId="0896B641"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243530</w:t>
            </w:r>
          </w:p>
        </w:tc>
        <w:tc>
          <w:tcPr>
            <w:tcW w:w="1151" w:type="dxa"/>
          </w:tcPr>
          <w:p w14:paraId="0896B642"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0</w:t>
            </w:r>
          </w:p>
        </w:tc>
      </w:tr>
      <w:tr w:rsidR="00FB76A8" w:rsidRPr="00C22C49" w14:paraId="0896B64B" w14:textId="77777777" w:rsidTr="0064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0896B644" w14:textId="77777777" w:rsidR="00AF440F" w:rsidRPr="00C22C49" w:rsidRDefault="00AF440F" w:rsidP="00AF440F">
            <w:pPr>
              <w:pStyle w:val="Table"/>
              <w:rPr>
                <w:color w:val="auto"/>
                <w:lang w:val="uk-UA"/>
              </w:rPr>
            </w:pPr>
            <w:r w:rsidRPr="00C22C49">
              <w:rPr>
                <w:color w:val="auto"/>
                <w:lang w:val="uk-UA"/>
              </w:rPr>
              <w:t>реконструкцію полігонів</w:t>
            </w:r>
          </w:p>
        </w:tc>
        <w:tc>
          <w:tcPr>
            <w:tcW w:w="1093" w:type="dxa"/>
          </w:tcPr>
          <w:p w14:paraId="0896B645"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68826</w:t>
            </w:r>
          </w:p>
        </w:tc>
        <w:tc>
          <w:tcPr>
            <w:tcW w:w="1166" w:type="dxa"/>
          </w:tcPr>
          <w:p w14:paraId="0896B646"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53858</w:t>
            </w:r>
          </w:p>
        </w:tc>
        <w:tc>
          <w:tcPr>
            <w:tcW w:w="1167" w:type="dxa"/>
          </w:tcPr>
          <w:p w14:paraId="0896B647"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129989</w:t>
            </w:r>
          </w:p>
        </w:tc>
        <w:tc>
          <w:tcPr>
            <w:tcW w:w="1167" w:type="dxa"/>
          </w:tcPr>
          <w:p w14:paraId="0896B648"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126111</w:t>
            </w:r>
          </w:p>
        </w:tc>
        <w:tc>
          <w:tcPr>
            <w:tcW w:w="1167" w:type="dxa"/>
          </w:tcPr>
          <w:p w14:paraId="0896B649"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632522</w:t>
            </w:r>
          </w:p>
        </w:tc>
        <w:tc>
          <w:tcPr>
            <w:tcW w:w="1151" w:type="dxa"/>
          </w:tcPr>
          <w:p w14:paraId="0896B64A"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161655</w:t>
            </w:r>
          </w:p>
        </w:tc>
      </w:tr>
      <w:tr w:rsidR="00FB76A8" w:rsidRPr="00C22C49" w14:paraId="0896B653" w14:textId="77777777" w:rsidTr="00642A24">
        <w:tc>
          <w:tcPr>
            <w:cnfStyle w:val="001000000000" w:firstRow="0" w:lastRow="0" w:firstColumn="1" w:lastColumn="0" w:oddVBand="0" w:evenVBand="0" w:oddHBand="0" w:evenHBand="0" w:firstRowFirstColumn="0" w:firstRowLastColumn="0" w:lastRowFirstColumn="0" w:lastRowLastColumn="0"/>
            <w:tcW w:w="3045" w:type="dxa"/>
          </w:tcPr>
          <w:p w14:paraId="0896B64C" w14:textId="77777777" w:rsidR="00AF440F" w:rsidRPr="00C22C49" w:rsidRDefault="00AF440F" w:rsidP="00AF440F">
            <w:pPr>
              <w:pStyle w:val="Table"/>
              <w:rPr>
                <w:color w:val="auto"/>
                <w:lang w:val="uk-UA"/>
              </w:rPr>
            </w:pPr>
            <w:r w:rsidRPr="00C22C49">
              <w:rPr>
                <w:color w:val="auto"/>
                <w:lang w:val="uk-UA"/>
              </w:rPr>
              <w:t>оновлення парку спецавтотранспорту</w:t>
            </w:r>
          </w:p>
        </w:tc>
        <w:tc>
          <w:tcPr>
            <w:tcW w:w="1093" w:type="dxa"/>
          </w:tcPr>
          <w:p w14:paraId="0896B64D"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501040</w:t>
            </w:r>
          </w:p>
        </w:tc>
        <w:tc>
          <w:tcPr>
            <w:tcW w:w="1166" w:type="dxa"/>
          </w:tcPr>
          <w:p w14:paraId="0896B64E"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458375</w:t>
            </w:r>
          </w:p>
        </w:tc>
        <w:tc>
          <w:tcPr>
            <w:tcW w:w="1167" w:type="dxa"/>
          </w:tcPr>
          <w:p w14:paraId="0896B64F"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470064</w:t>
            </w:r>
          </w:p>
        </w:tc>
        <w:tc>
          <w:tcPr>
            <w:tcW w:w="1167" w:type="dxa"/>
          </w:tcPr>
          <w:p w14:paraId="0896B650"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328330</w:t>
            </w:r>
          </w:p>
        </w:tc>
        <w:tc>
          <w:tcPr>
            <w:tcW w:w="1167" w:type="dxa"/>
          </w:tcPr>
          <w:p w14:paraId="0896B651"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502717</w:t>
            </w:r>
          </w:p>
        </w:tc>
        <w:tc>
          <w:tcPr>
            <w:tcW w:w="1151" w:type="dxa"/>
          </w:tcPr>
          <w:p w14:paraId="0896B652"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257511,4</w:t>
            </w:r>
          </w:p>
        </w:tc>
      </w:tr>
      <w:tr w:rsidR="00FB76A8" w:rsidRPr="00C22C49" w14:paraId="0896B65B" w14:textId="77777777" w:rsidTr="0064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0896B654" w14:textId="77777777" w:rsidR="00AF440F" w:rsidRPr="00C22C49" w:rsidRDefault="00AF440F" w:rsidP="00AF440F">
            <w:pPr>
              <w:pStyle w:val="Table"/>
              <w:rPr>
                <w:color w:val="auto"/>
                <w:lang w:val="uk-UA"/>
              </w:rPr>
            </w:pPr>
            <w:r w:rsidRPr="00C22C49">
              <w:rPr>
                <w:color w:val="auto"/>
                <w:lang w:val="uk-UA"/>
              </w:rPr>
              <w:t>оновлення контейнерного парку</w:t>
            </w:r>
          </w:p>
        </w:tc>
        <w:tc>
          <w:tcPr>
            <w:tcW w:w="1093" w:type="dxa"/>
          </w:tcPr>
          <w:p w14:paraId="0896B655"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139650</w:t>
            </w:r>
          </w:p>
        </w:tc>
        <w:tc>
          <w:tcPr>
            <w:tcW w:w="1166" w:type="dxa"/>
          </w:tcPr>
          <w:p w14:paraId="0896B656"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110710</w:t>
            </w:r>
          </w:p>
        </w:tc>
        <w:tc>
          <w:tcPr>
            <w:tcW w:w="1167" w:type="dxa"/>
          </w:tcPr>
          <w:p w14:paraId="0896B657"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142131</w:t>
            </w:r>
          </w:p>
        </w:tc>
        <w:tc>
          <w:tcPr>
            <w:tcW w:w="1167" w:type="dxa"/>
          </w:tcPr>
          <w:p w14:paraId="0896B658"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157426</w:t>
            </w:r>
          </w:p>
        </w:tc>
        <w:tc>
          <w:tcPr>
            <w:tcW w:w="1167" w:type="dxa"/>
          </w:tcPr>
          <w:p w14:paraId="0896B659"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171155</w:t>
            </w:r>
          </w:p>
        </w:tc>
        <w:tc>
          <w:tcPr>
            <w:tcW w:w="1151" w:type="dxa"/>
          </w:tcPr>
          <w:p w14:paraId="0896B65A"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139426,53</w:t>
            </w:r>
          </w:p>
        </w:tc>
      </w:tr>
      <w:tr w:rsidR="00FB76A8" w:rsidRPr="00C22C49" w14:paraId="0896B663" w14:textId="77777777" w:rsidTr="00642A24">
        <w:tc>
          <w:tcPr>
            <w:cnfStyle w:val="001000000000" w:firstRow="0" w:lastRow="0" w:firstColumn="1" w:lastColumn="0" w:oddVBand="0" w:evenVBand="0" w:oddHBand="0" w:evenHBand="0" w:firstRowFirstColumn="0" w:firstRowLastColumn="0" w:lastRowFirstColumn="0" w:lastRowLastColumn="0"/>
            <w:tcW w:w="3045" w:type="dxa"/>
          </w:tcPr>
          <w:p w14:paraId="0896B65C" w14:textId="77777777" w:rsidR="00AF440F" w:rsidRPr="00C22C49" w:rsidRDefault="00AF440F" w:rsidP="00AF440F">
            <w:pPr>
              <w:pStyle w:val="Table"/>
              <w:rPr>
                <w:color w:val="auto"/>
                <w:lang w:val="uk-UA"/>
              </w:rPr>
            </w:pPr>
            <w:r w:rsidRPr="00C22C49">
              <w:rPr>
                <w:color w:val="auto"/>
                <w:lang w:val="uk-UA"/>
              </w:rPr>
              <w:t>інші витрати</w:t>
            </w:r>
          </w:p>
        </w:tc>
        <w:tc>
          <w:tcPr>
            <w:tcW w:w="1093" w:type="dxa"/>
          </w:tcPr>
          <w:p w14:paraId="0896B65D"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124476</w:t>
            </w:r>
          </w:p>
        </w:tc>
        <w:tc>
          <w:tcPr>
            <w:tcW w:w="1166" w:type="dxa"/>
          </w:tcPr>
          <w:p w14:paraId="0896B65E"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255155</w:t>
            </w:r>
          </w:p>
        </w:tc>
        <w:tc>
          <w:tcPr>
            <w:tcW w:w="1167" w:type="dxa"/>
          </w:tcPr>
          <w:p w14:paraId="0896B65F"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183004</w:t>
            </w:r>
          </w:p>
        </w:tc>
        <w:tc>
          <w:tcPr>
            <w:tcW w:w="1167" w:type="dxa"/>
          </w:tcPr>
          <w:p w14:paraId="0896B660"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201498</w:t>
            </w:r>
          </w:p>
        </w:tc>
        <w:tc>
          <w:tcPr>
            <w:tcW w:w="1167" w:type="dxa"/>
          </w:tcPr>
          <w:p w14:paraId="0896B661"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292098</w:t>
            </w:r>
          </w:p>
        </w:tc>
        <w:tc>
          <w:tcPr>
            <w:tcW w:w="1151" w:type="dxa"/>
          </w:tcPr>
          <w:p w14:paraId="0896B662"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380500</w:t>
            </w:r>
          </w:p>
        </w:tc>
      </w:tr>
      <w:tr w:rsidR="00FB76A8" w:rsidRPr="00C22C49" w14:paraId="0896B66B" w14:textId="77777777" w:rsidTr="0064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0896B664" w14:textId="13274398" w:rsidR="00AF440F" w:rsidRPr="00C22C49" w:rsidRDefault="00AF440F" w:rsidP="00AF440F">
            <w:pPr>
              <w:pStyle w:val="Table"/>
              <w:rPr>
                <w:color w:val="auto"/>
                <w:lang w:val="uk-UA"/>
              </w:rPr>
            </w:pPr>
            <w:r w:rsidRPr="00C22C49">
              <w:rPr>
                <w:color w:val="auto"/>
                <w:lang w:val="uk-UA"/>
              </w:rPr>
              <w:t>Джерела фінансування, спрямовані на розвиток сфери поводження з ПВ:</w:t>
            </w:r>
          </w:p>
        </w:tc>
        <w:tc>
          <w:tcPr>
            <w:tcW w:w="1093" w:type="dxa"/>
          </w:tcPr>
          <w:p w14:paraId="0896B665"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981642</w:t>
            </w:r>
          </w:p>
        </w:tc>
        <w:tc>
          <w:tcPr>
            <w:tcW w:w="1166" w:type="dxa"/>
          </w:tcPr>
          <w:p w14:paraId="0896B666"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1004674</w:t>
            </w:r>
          </w:p>
        </w:tc>
        <w:tc>
          <w:tcPr>
            <w:tcW w:w="1167" w:type="dxa"/>
          </w:tcPr>
          <w:p w14:paraId="0896B667"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1106153</w:t>
            </w:r>
          </w:p>
        </w:tc>
        <w:tc>
          <w:tcPr>
            <w:tcW w:w="1167" w:type="dxa"/>
          </w:tcPr>
          <w:p w14:paraId="0896B668"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1072796</w:t>
            </w:r>
          </w:p>
        </w:tc>
        <w:tc>
          <w:tcPr>
            <w:tcW w:w="1167" w:type="dxa"/>
          </w:tcPr>
          <w:p w14:paraId="0896B669"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1842021</w:t>
            </w:r>
          </w:p>
        </w:tc>
        <w:tc>
          <w:tcPr>
            <w:tcW w:w="1151" w:type="dxa"/>
          </w:tcPr>
          <w:p w14:paraId="0896B66A"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939092,93</w:t>
            </w:r>
          </w:p>
        </w:tc>
      </w:tr>
      <w:tr w:rsidR="00FB76A8" w:rsidRPr="00C22C49" w14:paraId="0896B673" w14:textId="77777777" w:rsidTr="00642A24">
        <w:tc>
          <w:tcPr>
            <w:cnfStyle w:val="001000000000" w:firstRow="0" w:lastRow="0" w:firstColumn="1" w:lastColumn="0" w:oddVBand="0" w:evenVBand="0" w:oddHBand="0" w:evenHBand="0" w:firstRowFirstColumn="0" w:firstRowLastColumn="0" w:lastRowFirstColumn="0" w:lastRowLastColumn="0"/>
            <w:tcW w:w="3045" w:type="dxa"/>
          </w:tcPr>
          <w:p w14:paraId="0896B66C" w14:textId="77777777" w:rsidR="00AF440F" w:rsidRPr="00C22C49" w:rsidRDefault="00AF440F" w:rsidP="00AF440F">
            <w:pPr>
              <w:pStyle w:val="Table"/>
              <w:rPr>
                <w:color w:val="auto"/>
                <w:lang w:val="uk-UA"/>
              </w:rPr>
            </w:pPr>
            <w:r w:rsidRPr="00C22C49">
              <w:rPr>
                <w:color w:val="auto"/>
                <w:lang w:val="uk-UA"/>
              </w:rPr>
              <w:t>державний бюджет</w:t>
            </w:r>
          </w:p>
        </w:tc>
        <w:tc>
          <w:tcPr>
            <w:tcW w:w="1093" w:type="dxa"/>
          </w:tcPr>
          <w:p w14:paraId="0896B66D"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103456</w:t>
            </w:r>
          </w:p>
        </w:tc>
        <w:tc>
          <w:tcPr>
            <w:tcW w:w="1166" w:type="dxa"/>
          </w:tcPr>
          <w:p w14:paraId="0896B66E"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141330</w:t>
            </w:r>
          </w:p>
        </w:tc>
        <w:tc>
          <w:tcPr>
            <w:tcW w:w="1167" w:type="dxa"/>
          </w:tcPr>
          <w:p w14:paraId="0896B66F"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153577</w:t>
            </w:r>
          </w:p>
        </w:tc>
        <w:tc>
          <w:tcPr>
            <w:tcW w:w="1167" w:type="dxa"/>
          </w:tcPr>
          <w:p w14:paraId="0896B670"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5815</w:t>
            </w:r>
          </w:p>
        </w:tc>
        <w:tc>
          <w:tcPr>
            <w:tcW w:w="1167" w:type="dxa"/>
          </w:tcPr>
          <w:p w14:paraId="0896B671"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84456</w:t>
            </w:r>
          </w:p>
        </w:tc>
        <w:tc>
          <w:tcPr>
            <w:tcW w:w="1151" w:type="dxa"/>
          </w:tcPr>
          <w:p w14:paraId="0896B672"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6408</w:t>
            </w:r>
          </w:p>
        </w:tc>
      </w:tr>
      <w:tr w:rsidR="00FB76A8" w:rsidRPr="00C22C49" w14:paraId="0896B67B" w14:textId="77777777" w:rsidTr="0064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0896B674" w14:textId="77777777" w:rsidR="00AF440F" w:rsidRPr="00C22C49" w:rsidRDefault="00AF440F" w:rsidP="00AF440F">
            <w:pPr>
              <w:pStyle w:val="Table"/>
              <w:rPr>
                <w:color w:val="auto"/>
                <w:lang w:val="uk-UA"/>
              </w:rPr>
            </w:pPr>
            <w:r w:rsidRPr="00C22C49">
              <w:rPr>
                <w:color w:val="auto"/>
                <w:lang w:val="uk-UA"/>
              </w:rPr>
              <w:t>місцевий бюджет</w:t>
            </w:r>
          </w:p>
        </w:tc>
        <w:tc>
          <w:tcPr>
            <w:tcW w:w="1093" w:type="dxa"/>
          </w:tcPr>
          <w:p w14:paraId="0896B675"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739163</w:t>
            </w:r>
          </w:p>
        </w:tc>
        <w:tc>
          <w:tcPr>
            <w:tcW w:w="1166" w:type="dxa"/>
          </w:tcPr>
          <w:p w14:paraId="0896B676"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696017</w:t>
            </w:r>
          </w:p>
        </w:tc>
        <w:tc>
          <w:tcPr>
            <w:tcW w:w="1167" w:type="dxa"/>
          </w:tcPr>
          <w:p w14:paraId="0896B677"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515435</w:t>
            </w:r>
          </w:p>
        </w:tc>
        <w:tc>
          <w:tcPr>
            <w:tcW w:w="1167" w:type="dxa"/>
          </w:tcPr>
          <w:p w14:paraId="0896B678"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572059</w:t>
            </w:r>
          </w:p>
        </w:tc>
        <w:tc>
          <w:tcPr>
            <w:tcW w:w="1167" w:type="dxa"/>
          </w:tcPr>
          <w:p w14:paraId="0896B679"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923838</w:t>
            </w:r>
          </w:p>
        </w:tc>
        <w:tc>
          <w:tcPr>
            <w:tcW w:w="1151" w:type="dxa"/>
          </w:tcPr>
          <w:p w14:paraId="0896B67A"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572380,5</w:t>
            </w:r>
          </w:p>
        </w:tc>
      </w:tr>
      <w:tr w:rsidR="00FB76A8" w:rsidRPr="00C22C49" w14:paraId="0896B683" w14:textId="77777777" w:rsidTr="00642A24">
        <w:tc>
          <w:tcPr>
            <w:cnfStyle w:val="001000000000" w:firstRow="0" w:lastRow="0" w:firstColumn="1" w:lastColumn="0" w:oddVBand="0" w:evenVBand="0" w:oddHBand="0" w:evenHBand="0" w:firstRowFirstColumn="0" w:firstRowLastColumn="0" w:lastRowFirstColumn="0" w:lastRowLastColumn="0"/>
            <w:tcW w:w="3045" w:type="dxa"/>
          </w:tcPr>
          <w:p w14:paraId="0896B67C" w14:textId="77777777" w:rsidR="00AF440F" w:rsidRPr="00C22C49" w:rsidRDefault="00AF440F" w:rsidP="00AF440F">
            <w:pPr>
              <w:pStyle w:val="Table"/>
              <w:rPr>
                <w:color w:val="auto"/>
                <w:lang w:val="uk-UA"/>
              </w:rPr>
            </w:pPr>
            <w:r w:rsidRPr="00C22C49">
              <w:rPr>
                <w:color w:val="auto"/>
                <w:lang w:val="uk-UA"/>
              </w:rPr>
              <w:t>кредити</w:t>
            </w:r>
          </w:p>
        </w:tc>
        <w:tc>
          <w:tcPr>
            <w:tcW w:w="1093" w:type="dxa"/>
          </w:tcPr>
          <w:p w14:paraId="0896B67D"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15054</w:t>
            </w:r>
          </w:p>
        </w:tc>
        <w:tc>
          <w:tcPr>
            <w:tcW w:w="1166" w:type="dxa"/>
          </w:tcPr>
          <w:p w14:paraId="0896B67E"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59260</w:t>
            </w:r>
          </w:p>
        </w:tc>
        <w:tc>
          <w:tcPr>
            <w:tcW w:w="1167" w:type="dxa"/>
          </w:tcPr>
          <w:p w14:paraId="0896B67F"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254454</w:t>
            </w:r>
          </w:p>
        </w:tc>
        <w:tc>
          <w:tcPr>
            <w:tcW w:w="1167" w:type="dxa"/>
          </w:tcPr>
          <w:p w14:paraId="0896B680"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275716</w:t>
            </w:r>
          </w:p>
        </w:tc>
        <w:tc>
          <w:tcPr>
            <w:tcW w:w="1167" w:type="dxa"/>
          </w:tcPr>
          <w:p w14:paraId="0896B681"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489151</w:t>
            </w:r>
          </w:p>
        </w:tc>
        <w:tc>
          <w:tcPr>
            <w:tcW w:w="1151" w:type="dxa"/>
          </w:tcPr>
          <w:p w14:paraId="0896B682" w14:textId="77777777" w:rsidR="00AF440F" w:rsidRPr="00C22C49" w:rsidRDefault="00AF440F" w:rsidP="00AF440F">
            <w:pPr>
              <w:pStyle w:val="Table"/>
              <w:cnfStyle w:val="000000000000" w:firstRow="0" w:lastRow="0" w:firstColumn="0" w:lastColumn="0" w:oddVBand="0" w:evenVBand="0" w:oddHBand="0" w:evenHBand="0" w:firstRowFirstColumn="0" w:firstRowLastColumn="0" w:lastRowFirstColumn="0" w:lastRowLastColumn="0"/>
              <w:rPr>
                <w:color w:val="auto"/>
                <w:lang w:val="uk-UA"/>
              </w:rPr>
            </w:pPr>
            <w:r w:rsidRPr="00C22C49">
              <w:rPr>
                <w:color w:val="auto"/>
                <w:lang w:val="uk-UA"/>
              </w:rPr>
              <w:t>15940</w:t>
            </w:r>
          </w:p>
        </w:tc>
      </w:tr>
      <w:tr w:rsidR="00FB76A8" w:rsidRPr="00C22C49" w14:paraId="0896B68B" w14:textId="77777777" w:rsidTr="0064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0896B684" w14:textId="77777777" w:rsidR="00AF440F" w:rsidRPr="00C22C49" w:rsidRDefault="00AF440F" w:rsidP="00AF440F">
            <w:pPr>
              <w:pStyle w:val="Table"/>
              <w:rPr>
                <w:color w:val="auto"/>
                <w:lang w:val="uk-UA"/>
              </w:rPr>
            </w:pPr>
            <w:r w:rsidRPr="00C22C49">
              <w:rPr>
                <w:color w:val="auto"/>
                <w:lang w:val="uk-UA"/>
              </w:rPr>
              <w:t>інші джерела фінансування</w:t>
            </w:r>
          </w:p>
        </w:tc>
        <w:tc>
          <w:tcPr>
            <w:tcW w:w="1093" w:type="dxa"/>
          </w:tcPr>
          <w:p w14:paraId="0896B685"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123970</w:t>
            </w:r>
          </w:p>
        </w:tc>
        <w:tc>
          <w:tcPr>
            <w:tcW w:w="1166" w:type="dxa"/>
          </w:tcPr>
          <w:p w14:paraId="0896B686"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108067</w:t>
            </w:r>
          </w:p>
        </w:tc>
        <w:tc>
          <w:tcPr>
            <w:tcW w:w="1167" w:type="dxa"/>
          </w:tcPr>
          <w:p w14:paraId="0896B687"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182687</w:t>
            </w:r>
          </w:p>
        </w:tc>
        <w:tc>
          <w:tcPr>
            <w:tcW w:w="1167" w:type="dxa"/>
          </w:tcPr>
          <w:p w14:paraId="0896B688"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219206</w:t>
            </w:r>
          </w:p>
        </w:tc>
        <w:tc>
          <w:tcPr>
            <w:tcW w:w="1167" w:type="dxa"/>
          </w:tcPr>
          <w:p w14:paraId="0896B689"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344576</w:t>
            </w:r>
          </w:p>
        </w:tc>
        <w:tc>
          <w:tcPr>
            <w:tcW w:w="1151" w:type="dxa"/>
          </w:tcPr>
          <w:p w14:paraId="0896B68A" w14:textId="77777777" w:rsidR="00AF440F" w:rsidRPr="00C22C49" w:rsidRDefault="00AF440F" w:rsidP="00AF440F">
            <w:pPr>
              <w:pStyle w:val="Table"/>
              <w:cnfStyle w:val="000000100000" w:firstRow="0" w:lastRow="0" w:firstColumn="0" w:lastColumn="0" w:oddVBand="0" w:evenVBand="0" w:oddHBand="1" w:evenHBand="0" w:firstRowFirstColumn="0" w:firstRowLastColumn="0" w:lastRowFirstColumn="0" w:lastRowLastColumn="0"/>
              <w:rPr>
                <w:color w:val="auto"/>
                <w:lang w:val="uk-UA"/>
              </w:rPr>
            </w:pPr>
            <w:r w:rsidRPr="00C22C49">
              <w:rPr>
                <w:color w:val="auto"/>
                <w:lang w:val="uk-UA"/>
              </w:rPr>
              <w:t>344364,43</w:t>
            </w:r>
          </w:p>
        </w:tc>
      </w:tr>
    </w:tbl>
    <w:p w14:paraId="0896B68C" w14:textId="77777777" w:rsidR="00AF440F" w:rsidRPr="00C22C49" w:rsidRDefault="00642A24" w:rsidP="00AF440F">
      <w:pPr>
        <w:rPr>
          <w:rFonts w:cs="Times New Roman"/>
          <w:szCs w:val="24"/>
        </w:rPr>
      </w:pPr>
      <w:r w:rsidRPr="00C22C49">
        <w:rPr>
          <w:rFonts w:cs="Times New Roman"/>
          <w:szCs w:val="24"/>
        </w:rPr>
        <w:t xml:space="preserve">Основними чинниками, що сприяють такому стану сфери </w:t>
      </w:r>
      <w:r w:rsidR="00FA0078" w:rsidRPr="00C22C49">
        <w:rPr>
          <w:rFonts w:cs="Times New Roman"/>
          <w:szCs w:val="24"/>
        </w:rPr>
        <w:t>управління</w:t>
      </w:r>
      <w:r w:rsidRPr="00C22C49">
        <w:rPr>
          <w:rFonts w:cs="Times New Roman"/>
          <w:szCs w:val="24"/>
        </w:rPr>
        <w:t xml:space="preserve"> побутовими відходами, стримують впровадження сучасних методів та технологій є недостатність фінансування, яке здійснюється загалом за рахунок коштів споживачів послуг та витрат з місцевих бюджетів на ліквідацію несанкціонованих сміттєзвалищ.</w:t>
      </w:r>
      <w:r w:rsidR="009661B2" w:rsidRPr="00C22C49">
        <w:rPr>
          <w:rFonts w:cs="Times New Roman"/>
          <w:szCs w:val="24"/>
        </w:rPr>
        <w:t xml:space="preserve"> </w:t>
      </w:r>
      <w:r w:rsidR="00FA0078" w:rsidRPr="00C22C49">
        <w:rPr>
          <w:rFonts w:cs="Times New Roman"/>
          <w:szCs w:val="24"/>
        </w:rPr>
        <w:t xml:space="preserve">Прийняті </w:t>
      </w:r>
      <w:r w:rsidR="009661B2" w:rsidRPr="00C22C49">
        <w:rPr>
          <w:rFonts w:cs="Times New Roman"/>
          <w:szCs w:val="24"/>
        </w:rPr>
        <w:t>тарифи на місцях занижені через заполітизованість галузі.</w:t>
      </w:r>
    </w:p>
    <w:p w14:paraId="0896B68D" w14:textId="77777777" w:rsidR="002A622B" w:rsidRPr="00C22C49" w:rsidRDefault="002A622B" w:rsidP="002A622B">
      <w:pPr>
        <w:pStyle w:val="30"/>
      </w:pPr>
      <w:bookmarkStart w:id="15" w:name="_Toc151583264"/>
      <w:r w:rsidRPr="00C22C49">
        <w:t>Основні проблеми</w:t>
      </w:r>
      <w:bookmarkEnd w:id="15"/>
    </w:p>
    <w:p w14:paraId="0896B68E" w14:textId="77777777" w:rsidR="00B728CA" w:rsidRPr="00C22C49" w:rsidRDefault="00B728CA" w:rsidP="00B728CA">
      <w:pPr>
        <w:rPr>
          <w:rFonts w:cs="Times New Roman"/>
          <w:szCs w:val="24"/>
        </w:rPr>
      </w:pPr>
      <w:r w:rsidRPr="00C22C49">
        <w:rPr>
          <w:rFonts w:cs="Times New Roman"/>
          <w:szCs w:val="24"/>
        </w:rPr>
        <w:t>На даний момент в Україні інструменти політики (регулятивні, економічні, інформаційні, моніторингові, правозастосування) на основі стандартів ЄС не широко використовуються для досягнення стратегічних цілей і цільових показників управління відходами. У багатьох випадках існуючі інструменти політики є неефективними.</w:t>
      </w:r>
    </w:p>
    <w:p w14:paraId="0896B68F" w14:textId="77777777" w:rsidR="00B728CA" w:rsidRPr="00C22C49" w:rsidRDefault="00B728CA" w:rsidP="00B728CA">
      <w:pPr>
        <w:rPr>
          <w:rFonts w:cs="Times New Roman"/>
          <w:szCs w:val="24"/>
        </w:rPr>
      </w:pPr>
      <w:r w:rsidRPr="00C22C49">
        <w:rPr>
          <w:rFonts w:cs="Times New Roman"/>
          <w:szCs w:val="24"/>
        </w:rPr>
        <w:t xml:space="preserve">Загалом правозастосування політичних інструментів є слабким через відсутність відповідних юридично </w:t>
      </w:r>
      <w:r w:rsidR="006E42B9" w:rsidRPr="00C22C49">
        <w:rPr>
          <w:rFonts w:cs="Times New Roman"/>
          <w:szCs w:val="24"/>
        </w:rPr>
        <w:t>з</w:t>
      </w:r>
      <w:r w:rsidRPr="00C22C49">
        <w:rPr>
          <w:rFonts w:cs="Times New Roman"/>
          <w:szCs w:val="24"/>
        </w:rPr>
        <w:t>обов’яз</w:t>
      </w:r>
      <w:r w:rsidR="006E42B9" w:rsidRPr="00C22C49">
        <w:rPr>
          <w:rFonts w:cs="Times New Roman"/>
          <w:szCs w:val="24"/>
        </w:rPr>
        <w:t>уючих</w:t>
      </w:r>
      <w:r w:rsidRPr="00C22C49">
        <w:rPr>
          <w:rFonts w:cs="Times New Roman"/>
          <w:szCs w:val="24"/>
        </w:rPr>
        <w:t xml:space="preserve"> механізмів примусового виконання, низьку спроможність реалізації, особливо на місцевому рівні та політичну відмову правоохоронних органів проводити адміністративні дії та застосовувати штрафи у випадках порушення законодавства фізичними особами.</w:t>
      </w:r>
    </w:p>
    <w:p w14:paraId="0896B690" w14:textId="77777777" w:rsidR="007D5BEF" w:rsidRPr="00C22C49" w:rsidRDefault="007D5BEF" w:rsidP="007D5BEF">
      <w:pPr>
        <w:pStyle w:val="REDBoldonly"/>
      </w:pPr>
      <w:r w:rsidRPr="00C22C49">
        <w:t>Причини екологічних проблем в Україні включають:</w:t>
      </w:r>
    </w:p>
    <w:p w14:paraId="0896B691" w14:textId="77777777" w:rsidR="007D5BEF" w:rsidRPr="00C22C49" w:rsidRDefault="007D5BEF" w:rsidP="007D5BEF">
      <w:pPr>
        <w:pStyle w:val="BulletRED"/>
      </w:pPr>
      <w:r w:rsidRPr="00C22C49">
        <w:t>Залежність екологічних пріоритетів від економічної діяльності;</w:t>
      </w:r>
    </w:p>
    <w:p w14:paraId="0896B692" w14:textId="77777777" w:rsidR="007D5BEF" w:rsidRPr="00C22C49" w:rsidRDefault="007D5BEF" w:rsidP="007D5BEF">
      <w:pPr>
        <w:pStyle w:val="BulletRED"/>
      </w:pPr>
      <w:r w:rsidRPr="00C22C49">
        <w:t>Переважання ресурсо- та енергоємних галузей у структурі економіки з переважно негативним впливом на довкілля;</w:t>
      </w:r>
    </w:p>
    <w:p w14:paraId="0896B693" w14:textId="77777777" w:rsidR="007D5BEF" w:rsidRPr="00C22C49" w:rsidRDefault="007D5BEF" w:rsidP="007D5BEF">
      <w:pPr>
        <w:pStyle w:val="BulletRED"/>
      </w:pPr>
      <w:r w:rsidRPr="00C22C49">
        <w:t>Погіршення стану основних фондів у всіх галузях економіки держави;</w:t>
      </w:r>
    </w:p>
    <w:p w14:paraId="0896B694" w14:textId="77777777" w:rsidR="007D5BEF" w:rsidRPr="00C22C49" w:rsidRDefault="007D5BEF" w:rsidP="007D5BEF">
      <w:pPr>
        <w:pStyle w:val="BulletRED"/>
      </w:pPr>
      <w:r w:rsidRPr="00C22C49">
        <w:t>Неефективна система державного управління в галузі охорони довкілля та регулювання використання природних ресурсів, зокрема непослідовність дій центральних та місцевих органів виконавчої влади та органів місцевого самоврядування;</w:t>
      </w:r>
    </w:p>
    <w:p w14:paraId="0896B695" w14:textId="77777777" w:rsidR="007D5BEF" w:rsidRPr="00C22C49" w:rsidRDefault="007D5BEF" w:rsidP="007D5BEF">
      <w:pPr>
        <w:pStyle w:val="BulletRED"/>
      </w:pPr>
      <w:r w:rsidRPr="00C22C49">
        <w:t>Незадовільний стан державної системи моніторингу довкілля;</w:t>
      </w:r>
    </w:p>
    <w:p w14:paraId="0896B696" w14:textId="77777777" w:rsidR="007D5BEF" w:rsidRPr="00C22C49" w:rsidRDefault="007D5BEF" w:rsidP="007D5BEF">
      <w:pPr>
        <w:pStyle w:val="BulletRED"/>
      </w:pPr>
      <w:r w:rsidRPr="00C22C49">
        <w:t>Низький рівень розуміння екологічних пріоритетів та переваг сталого розвитку в суспільстві, недосконалість екологічної освіти та системи освіти взагалі;</w:t>
      </w:r>
    </w:p>
    <w:p w14:paraId="0896B697" w14:textId="77777777" w:rsidR="007D5BEF" w:rsidRPr="00C22C49" w:rsidRDefault="007D5BEF" w:rsidP="007D5BEF">
      <w:pPr>
        <w:pStyle w:val="BulletRED"/>
      </w:pPr>
      <w:r w:rsidRPr="00C22C49">
        <w:t>Незадовільний рівень дотримання екологічного законодавства та екологічних прав та обов’язків громадян.</w:t>
      </w:r>
    </w:p>
    <w:p w14:paraId="0896B698" w14:textId="77777777" w:rsidR="00B728CA" w:rsidRPr="00C22C49" w:rsidRDefault="00B728CA" w:rsidP="00B728CA">
      <w:pPr>
        <w:rPr>
          <w:rFonts w:cs="Times New Roman"/>
          <w:szCs w:val="24"/>
        </w:rPr>
      </w:pPr>
      <w:r w:rsidRPr="00C22C49">
        <w:rPr>
          <w:rFonts w:cs="Times New Roman"/>
          <w:szCs w:val="24"/>
        </w:rPr>
        <w:t>Оцінка виявила наступні ключові прогалини, пов’язані із застосуванням інструментів політики:</w:t>
      </w:r>
    </w:p>
    <w:p w14:paraId="0896B699" w14:textId="77777777" w:rsidR="005E0DFC" w:rsidRPr="00C22C49" w:rsidRDefault="005E0DFC" w:rsidP="00DA3854">
      <w:pPr>
        <w:pStyle w:val="Heading4boldRED"/>
        <w:rPr>
          <w:lang w:val="uk-UA"/>
        </w:rPr>
      </w:pPr>
      <w:r w:rsidRPr="00C22C49">
        <w:rPr>
          <w:lang w:val="uk-UA"/>
        </w:rPr>
        <w:t>Прогалини політики та нормативно-правового забезпечення</w:t>
      </w:r>
    </w:p>
    <w:p w14:paraId="0896B69A" w14:textId="77777777" w:rsidR="00AC2F82" w:rsidRPr="00C22C49" w:rsidRDefault="00AC2F82" w:rsidP="00AC2F82">
      <w:pPr>
        <w:pStyle w:val="BulletRED"/>
        <w:numPr>
          <w:ilvl w:val="0"/>
          <w:numId w:val="0"/>
        </w:numPr>
      </w:pPr>
      <w:r w:rsidRPr="00C22C49">
        <w:t>1. Відсутність практичн</w:t>
      </w:r>
      <w:r w:rsidR="00DA3854" w:rsidRPr="00C22C49">
        <w:t>ої</w:t>
      </w:r>
      <w:r w:rsidRPr="00C22C49">
        <w:t xml:space="preserve"> реалізаці</w:t>
      </w:r>
      <w:r w:rsidR="00DA3854" w:rsidRPr="00C22C49">
        <w:t>ї</w:t>
      </w:r>
      <w:r w:rsidRPr="00C22C49">
        <w:t xml:space="preserve"> інструментів стратегічного планування;</w:t>
      </w:r>
    </w:p>
    <w:p w14:paraId="0896B69B" w14:textId="3985409E" w:rsidR="00B728CA" w:rsidRPr="004B0018" w:rsidRDefault="00B52D5B" w:rsidP="00B728CA">
      <w:r w:rsidRPr="00C22C49">
        <w:t>2</w:t>
      </w:r>
      <w:r w:rsidR="00B728CA" w:rsidRPr="00C22C49">
        <w:t xml:space="preserve">. Відсутність спеціального регулювання. Відсутні секторальні закони, які регулюють управління відходами упаковки, будівництва та знесення, шин та мастил. Затягування з прийняттям секторальних </w:t>
      </w:r>
      <w:r w:rsidR="00DA3854" w:rsidRPr="00C22C49">
        <w:t>законопроєкті</w:t>
      </w:r>
      <w:r w:rsidR="00B728CA" w:rsidRPr="00C22C49">
        <w:t xml:space="preserve"> про відходи батарей і акумуляторів та ВЕЕО, які розроблені кілька років та знаходились в порядку денному ВР до березня 2023. відповідних технічних регламентів</w:t>
      </w:r>
      <w:r w:rsidR="00AC2F82" w:rsidRPr="00C22C49">
        <w:t xml:space="preserve"> та </w:t>
      </w:r>
      <w:r w:rsidR="00AC2F82" w:rsidRPr="004B0018">
        <w:t xml:space="preserve">підзаконних </w:t>
      </w:r>
      <w:r w:rsidR="007B608D" w:rsidRPr="004B0018">
        <w:t>нормативно-правових документів</w:t>
      </w:r>
      <w:r w:rsidR="00AC2F82" w:rsidRPr="004B0018">
        <w:t xml:space="preserve">. </w:t>
      </w:r>
    </w:p>
    <w:p w14:paraId="0896B69C" w14:textId="77777777" w:rsidR="00AC2F82" w:rsidRPr="004B0018" w:rsidRDefault="00AC2F82" w:rsidP="00AC2F82">
      <w:pPr>
        <w:rPr>
          <w:rFonts w:cs="Times New Roman"/>
          <w:szCs w:val="24"/>
        </w:rPr>
      </w:pPr>
      <w:r w:rsidRPr="004B0018">
        <w:rPr>
          <w:rFonts w:cs="Times New Roman"/>
          <w:szCs w:val="24"/>
        </w:rPr>
        <w:t>Відсутність інтегрованого дозволу на промислову діяльність разом зі стандартами продуктів щодо вмісту перероблених матеріалів та забороною/обмеженням вмісту певних небезпечних хімічних речовин у певних продуктах;</w:t>
      </w:r>
    </w:p>
    <w:p w14:paraId="0896B69D" w14:textId="49A2159A" w:rsidR="00AC2F82" w:rsidRPr="004B0018" w:rsidRDefault="00AC2F82" w:rsidP="00AC2F82">
      <w:pPr>
        <w:rPr>
          <w:rFonts w:cs="Times New Roman"/>
          <w:szCs w:val="24"/>
        </w:rPr>
      </w:pPr>
      <w:r w:rsidRPr="004B0018">
        <w:rPr>
          <w:rFonts w:cs="Times New Roman"/>
          <w:szCs w:val="24"/>
        </w:rPr>
        <w:t xml:space="preserve">Відсутність узгодженості нормативних обмежень як поточних граничних значень викидів з відповідними директивами та правилами ЄС, а також відсутність застосування </w:t>
      </w:r>
      <w:r w:rsidR="0060681B" w:rsidRPr="004B0018">
        <w:rPr>
          <w:rFonts w:cs="Times New Roman"/>
          <w:szCs w:val="24"/>
        </w:rPr>
        <w:t>найкращих практик управління навколишнім середовищем та найкращих доступних технологій та методів управління</w:t>
      </w:r>
      <w:r w:rsidR="007B608D" w:rsidRPr="004B0018">
        <w:rPr>
          <w:rFonts w:cs="Times New Roman"/>
          <w:szCs w:val="24"/>
        </w:rPr>
        <w:t>.</w:t>
      </w:r>
    </w:p>
    <w:p w14:paraId="0896B69E" w14:textId="77777777" w:rsidR="00B728CA" w:rsidRPr="00C22C49" w:rsidRDefault="00C345B3" w:rsidP="00B728CA">
      <w:r w:rsidRPr="004B0018">
        <w:t>3</w:t>
      </w:r>
      <w:r w:rsidR="00B728CA" w:rsidRPr="004B0018">
        <w:t>. Законодавство про відходи не стимулювало попередження утворення відходів та дотримання ієрархії управління</w:t>
      </w:r>
      <w:r w:rsidR="00B728CA" w:rsidRPr="00C22C49">
        <w:t xml:space="preserve"> відходами через брак інструментів стимулів та заохочень</w:t>
      </w:r>
      <w:r w:rsidR="00EB38B6" w:rsidRPr="00C22C49">
        <w:t>, н</w:t>
      </w:r>
      <w:r w:rsidR="00B728CA" w:rsidRPr="00C22C49">
        <w:t>изькі тарифи на захоронення відходів та низький податок на розміщення відходів. Норма про заборону захоронення необроблених відходів мала подвійне трактування та не виконувалась.</w:t>
      </w:r>
    </w:p>
    <w:p w14:paraId="0896B69F" w14:textId="77777777" w:rsidR="00B728CA" w:rsidRPr="00C22C49" w:rsidRDefault="00C345B3" w:rsidP="00B728CA">
      <w:r w:rsidRPr="00C22C49">
        <w:t>4</w:t>
      </w:r>
      <w:r w:rsidR="00B728CA" w:rsidRPr="00C22C49">
        <w:t>. Невідповідність із європейськими цільовими показниками. Відсутні цільові показники зменшення видалення побутових відходів та відходів, що біологічно розкладаються, цільові показники щодо повторного використання та рециклінгу компонентів побутових відходів (скла, пластику, паперу та металу)., цільові показники рециклінгу та відновлення відходів продукції, яка підпадає під розширену відповідальність виробника, цільові показники щодо відновлення відходів будівництва та знесення.</w:t>
      </w:r>
    </w:p>
    <w:p w14:paraId="0896B6A0" w14:textId="77777777" w:rsidR="00B728CA" w:rsidRPr="00C22C49" w:rsidRDefault="00C345B3" w:rsidP="00B728CA">
      <w:r w:rsidRPr="00C22C49">
        <w:t>5</w:t>
      </w:r>
      <w:r w:rsidR="00B728CA" w:rsidRPr="00C22C49">
        <w:t xml:space="preserve"> Низький контроль за дотриманням законодавства про відходи. Відсутність механізмів притягнення до відповідальності за недотримання законодавства. Обмеженні повноваження екологічних інспекторів у здійсненні перевірки. Відсутні механізми контролю за наявністю технічної бази поводження з відходами, зокрема з небезпечними.</w:t>
      </w:r>
    </w:p>
    <w:p w14:paraId="0896B6A1" w14:textId="77777777" w:rsidR="00B728CA" w:rsidRPr="00C22C49" w:rsidRDefault="00C345B3" w:rsidP="00B728CA">
      <w:r w:rsidRPr="00C22C49">
        <w:t>6</w:t>
      </w:r>
      <w:r w:rsidR="00B728CA" w:rsidRPr="00C22C49">
        <w:t>. Відсутність механізмів фінансування управління відходами. Не застосування принципу «забруднювач платить». Низькі тарифи, на послуги поводження з побутовими відходами. Відсутність обов’язку та механізму організації схем РВВ для потоків відходів продукції. Низькі ставки екологічного податку не стимулювали інвестиції в технічну модернізацію виробництва.</w:t>
      </w:r>
    </w:p>
    <w:p w14:paraId="0896B6A2" w14:textId="77777777" w:rsidR="00D43B78" w:rsidRPr="00C22C49" w:rsidRDefault="007D5BEF" w:rsidP="007D5BEF">
      <w:pPr>
        <w:pStyle w:val="Heading4boldRED"/>
        <w:rPr>
          <w:lang w:val="uk-UA"/>
        </w:rPr>
      </w:pPr>
      <w:r w:rsidRPr="00C22C49">
        <w:rPr>
          <w:lang w:val="uk-UA"/>
        </w:rPr>
        <w:t>Інституційні прогалини</w:t>
      </w:r>
    </w:p>
    <w:p w14:paraId="0896B6A3" w14:textId="73E485AE" w:rsidR="00AC2F82" w:rsidRPr="00C22C49" w:rsidRDefault="00AC2F82" w:rsidP="00AC2F82">
      <w:r w:rsidRPr="00C22C49">
        <w:t xml:space="preserve">Інституційна структура управління відходами потребує злагодженості дій та координації відповідальних </w:t>
      </w:r>
      <w:r w:rsidR="00CA4B6F">
        <w:t>центральних органів виконавчої влади</w:t>
      </w:r>
      <w:r w:rsidRPr="00C22C49">
        <w:t xml:space="preserve"> між собою. Помітна нестача </w:t>
      </w:r>
      <w:r w:rsidR="00EB38B6" w:rsidRPr="00C22C49">
        <w:t>фахівців</w:t>
      </w:r>
      <w:r w:rsidRPr="00C22C49">
        <w:t xml:space="preserve">, які займаються управлінням відходами. Загальна кількість спеціалістів, які займаються управлінням відходами у двох ключових міністерствах Міндовкіллі та Мінінфраструктури складає менше 5 осіб. </w:t>
      </w:r>
    </w:p>
    <w:p w14:paraId="0896B6A4" w14:textId="77777777" w:rsidR="00AC2F82" w:rsidRPr="00C22C49" w:rsidRDefault="00AC2F82" w:rsidP="00AC2F82">
      <w:pPr>
        <w:pStyle w:val="BulletRED"/>
        <w:ind w:left="924" w:hanging="357"/>
        <w:rPr>
          <w:rStyle w:val="affe"/>
          <w:b/>
          <w:color w:val="auto"/>
        </w:rPr>
      </w:pPr>
      <w:r w:rsidRPr="00C22C49">
        <w:rPr>
          <w:rStyle w:val="affe"/>
          <w:b/>
          <w:color w:val="auto"/>
        </w:rPr>
        <w:t>Дефіцит адміністративного та технічного експертного потенціалу та спроможності:</w:t>
      </w:r>
    </w:p>
    <w:p w14:paraId="0896B6A5" w14:textId="77777777" w:rsidR="00AC2F82" w:rsidRPr="00C22C49" w:rsidRDefault="00AC2F82" w:rsidP="00AC2F82">
      <w:pPr>
        <w:pStyle w:val="BulletPointRED"/>
        <w:rPr>
          <w:rStyle w:val="affe"/>
          <w:rFonts w:cstheme="minorHAnsi"/>
          <w:color w:val="auto"/>
        </w:rPr>
      </w:pPr>
      <w:r w:rsidRPr="00C22C49">
        <w:rPr>
          <w:rStyle w:val="affe"/>
          <w:rFonts w:cstheme="minorHAnsi"/>
          <w:color w:val="auto"/>
        </w:rPr>
        <w:t>Недостатні знання, спроможність та кваліфікація кадрів в галузі екологічної інженерії та інженері</w:t>
      </w:r>
      <w:r w:rsidR="00A06165" w:rsidRPr="00C22C49">
        <w:rPr>
          <w:rStyle w:val="affe"/>
          <w:rFonts w:cstheme="minorHAnsi"/>
          <w:color w:val="auto"/>
        </w:rPr>
        <w:t>ї</w:t>
      </w:r>
      <w:r w:rsidRPr="00C22C49">
        <w:rPr>
          <w:rStyle w:val="affe"/>
          <w:rFonts w:cstheme="minorHAnsi"/>
          <w:color w:val="auto"/>
        </w:rPr>
        <w:t xml:space="preserve"> управління відходами, обліку відходів, статистики, управління базами даних, фінансування, бізнес-комунікацій, відстеження/моніторингу прогресу і т.д.</w:t>
      </w:r>
    </w:p>
    <w:p w14:paraId="0896B6A6" w14:textId="77777777" w:rsidR="00AC2F82" w:rsidRPr="00C22C49" w:rsidRDefault="00AC2F82" w:rsidP="00AC2F82">
      <w:pPr>
        <w:pStyle w:val="BulletPointRED"/>
        <w:rPr>
          <w:rStyle w:val="affe"/>
          <w:rFonts w:cstheme="minorHAnsi"/>
          <w:color w:val="auto"/>
        </w:rPr>
      </w:pPr>
      <w:r w:rsidRPr="00C22C49">
        <w:rPr>
          <w:rStyle w:val="affe"/>
          <w:rFonts w:cstheme="minorHAnsi"/>
          <w:color w:val="auto"/>
        </w:rPr>
        <w:t>Недостатній досвід та адміністративно-технічний потенціал для ефективної оцінки та управління ризиками, пов'язаними з відходами.</w:t>
      </w:r>
    </w:p>
    <w:p w14:paraId="0896B6A7" w14:textId="77777777" w:rsidR="00AC2F82" w:rsidRPr="00C22C49" w:rsidRDefault="00A7370B" w:rsidP="00AC2F82">
      <w:pPr>
        <w:pStyle w:val="BulletPointRED"/>
        <w:rPr>
          <w:rStyle w:val="affe"/>
          <w:rFonts w:cstheme="minorHAnsi"/>
          <w:color w:val="auto"/>
        </w:rPr>
      </w:pPr>
      <w:r w:rsidRPr="00C22C49">
        <w:rPr>
          <w:rStyle w:val="affe"/>
          <w:rFonts w:cstheme="minorHAnsi"/>
          <w:color w:val="auto"/>
        </w:rPr>
        <w:t>Відсутність або недостатність інформаційних, моніторингових, звітних та правозастосовних інструментів.</w:t>
      </w:r>
    </w:p>
    <w:p w14:paraId="0896B6A8" w14:textId="77777777" w:rsidR="00AC2F82" w:rsidRPr="00C22C49" w:rsidRDefault="008659B0" w:rsidP="00AC2F82">
      <w:pPr>
        <w:pStyle w:val="BulletPointRED"/>
        <w:rPr>
          <w:rStyle w:val="affe"/>
          <w:rFonts w:cstheme="minorHAnsi"/>
          <w:color w:val="auto"/>
        </w:rPr>
      </w:pPr>
      <w:r w:rsidRPr="00C22C49">
        <w:rPr>
          <w:rStyle w:val="affe"/>
          <w:rFonts w:cstheme="minorHAnsi"/>
          <w:color w:val="auto"/>
        </w:rPr>
        <w:t>Відсутня інтегрована всеохоплююча та зручна для користувача інформаційна система управління відходами, бракує даних щодо багатьох потоків відходів та управління ними;</w:t>
      </w:r>
    </w:p>
    <w:p w14:paraId="0896B6A9" w14:textId="77777777" w:rsidR="00AC2F82" w:rsidRPr="00C22C49" w:rsidRDefault="001F04D1" w:rsidP="00AC2F82">
      <w:pPr>
        <w:pStyle w:val="BulletPointRED"/>
        <w:rPr>
          <w:rStyle w:val="affe"/>
          <w:rFonts w:cstheme="minorHAnsi"/>
          <w:color w:val="auto"/>
        </w:rPr>
      </w:pPr>
      <w:r w:rsidRPr="00C22C49">
        <w:rPr>
          <w:rStyle w:val="affe"/>
          <w:rFonts w:cstheme="minorHAnsi"/>
          <w:color w:val="auto"/>
        </w:rPr>
        <w:t>Слабке застосування існуючих правових механізмів або, в крайньому випадку, їх відсутність взагалі;</w:t>
      </w:r>
    </w:p>
    <w:p w14:paraId="0896B6AA" w14:textId="77777777" w:rsidR="00AC2F82" w:rsidRDefault="009E0EA3" w:rsidP="009E0EA3">
      <w:pPr>
        <w:pStyle w:val="BulletRED"/>
        <w:rPr>
          <w:rStyle w:val="affe"/>
          <w:b/>
          <w:bCs/>
          <w:color w:val="auto"/>
        </w:rPr>
      </w:pPr>
      <w:r w:rsidRPr="00C22C49">
        <w:rPr>
          <w:rStyle w:val="affe"/>
          <w:b/>
          <w:bCs/>
          <w:color w:val="auto"/>
        </w:rPr>
        <w:t>Недостатня поінформованість громадськості та відсутність регулярних і систематизованих освітніх та просвітницьких програм</w:t>
      </w:r>
      <w:r w:rsidR="00AC2F82" w:rsidRPr="00C22C49">
        <w:rPr>
          <w:rStyle w:val="affe"/>
          <w:b/>
          <w:bCs/>
          <w:color w:val="auto"/>
        </w:rPr>
        <w:t>.</w:t>
      </w:r>
    </w:p>
    <w:p w14:paraId="5135D670" w14:textId="77777777" w:rsidR="00D22201" w:rsidRPr="00C22C49" w:rsidRDefault="00D22201" w:rsidP="00D22201">
      <w:pPr>
        <w:pStyle w:val="BulletRED"/>
        <w:numPr>
          <w:ilvl w:val="0"/>
          <w:numId w:val="0"/>
        </w:numPr>
        <w:ind w:left="927"/>
        <w:rPr>
          <w:rStyle w:val="affe"/>
          <w:b/>
          <w:bCs/>
          <w:color w:val="auto"/>
        </w:rPr>
      </w:pPr>
    </w:p>
    <w:p w14:paraId="0896B6AB" w14:textId="77777777" w:rsidR="00D43B78" w:rsidRPr="00C22C49" w:rsidRDefault="00644597" w:rsidP="00644597">
      <w:pPr>
        <w:pStyle w:val="Heading4boldRED"/>
        <w:rPr>
          <w:rStyle w:val="rynqvb"/>
          <w:lang w:val="uk-UA"/>
        </w:rPr>
      </w:pPr>
      <w:r w:rsidRPr="00C22C49">
        <w:rPr>
          <w:rStyle w:val="rynqvb"/>
          <w:lang w:val="uk-UA"/>
        </w:rPr>
        <w:t>Прогалини, пов’язані із застосуванням політичних інструментів і фінансових механізмів</w:t>
      </w:r>
    </w:p>
    <w:p w14:paraId="0896B6AD" w14:textId="77777777" w:rsidR="00AC2F82" w:rsidRPr="00C22C49" w:rsidRDefault="00A00A12" w:rsidP="00A00A12">
      <w:r w:rsidRPr="00C22C49">
        <w:t>Наразі однією з найбільших фінансових проблем/прогалин у сфері управління відходами є надзвичайно низький рівень відшкодування витрат і висока залежність від державних субсидій. Джерела фінансування недостатньо диверсифіковані, а додаткове фінансування, наприклад, приватні інвестиції, державно-приватне партнерство (ДПП), донорське фінансування, включаючи зелене фінансування, використовується недостатньо. Крім того, існують значні недоліки у функціонуванні системи управління відходами, які у разі їх усунення можуть суттєво зменшити фінансові ресурси, що витрачаються на функціонування системи.</w:t>
      </w:r>
    </w:p>
    <w:p w14:paraId="0896B6AE" w14:textId="77777777" w:rsidR="00A57A16" w:rsidRPr="00C22C49" w:rsidRDefault="00A57A16" w:rsidP="00A57A16">
      <w:pPr>
        <w:pStyle w:val="BulletPointRED"/>
        <w:rPr>
          <w:rStyle w:val="affe"/>
          <w:rFonts w:cstheme="minorHAnsi"/>
          <w:color w:val="auto"/>
        </w:rPr>
      </w:pPr>
      <w:r w:rsidRPr="00C22C49">
        <w:rPr>
          <w:rStyle w:val="affe"/>
          <w:rFonts w:cstheme="minorHAnsi"/>
          <w:color w:val="auto"/>
        </w:rPr>
        <w:t xml:space="preserve">Недостатнє фінансування, ресурси та </w:t>
      </w:r>
      <w:r w:rsidR="00A00A12" w:rsidRPr="00C22C49">
        <w:rPr>
          <w:rStyle w:val="affe"/>
          <w:rFonts w:cstheme="minorHAnsi"/>
          <w:color w:val="auto"/>
        </w:rPr>
        <w:t>кадровий потенціал</w:t>
      </w:r>
      <w:r w:rsidRPr="00C22C49">
        <w:rPr>
          <w:rStyle w:val="affe"/>
          <w:rFonts w:cstheme="minorHAnsi"/>
          <w:color w:val="auto"/>
        </w:rPr>
        <w:t xml:space="preserve"> для ефективного впровадження та забезпечення дотримання норм і стандартів, пов'язаних з управлінням відходами, включаючи можливості лабораторного аналізу.</w:t>
      </w:r>
    </w:p>
    <w:p w14:paraId="0896B6AF" w14:textId="77777777" w:rsidR="00A57A16" w:rsidRPr="00C22C49" w:rsidRDefault="00A57A16" w:rsidP="00A57A16">
      <w:pPr>
        <w:pStyle w:val="BulletPointRED"/>
        <w:rPr>
          <w:rStyle w:val="affe"/>
          <w:rFonts w:cstheme="minorHAnsi"/>
          <w:color w:val="auto"/>
        </w:rPr>
      </w:pPr>
      <w:r w:rsidRPr="00C22C49">
        <w:rPr>
          <w:rStyle w:val="affe"/>
          <w:rFonts w:cstheme="minorHAnsi"/>
          <w:color w:val="auto"/>
        </w:rPr>
        <w:t>Обмежена спроможність розслідувати та реагувати на інциденти та надзвичайні ситуації, пов'язані з відходами.</w:t>
      </w:r>
    </w:p>
    <w:p w14:paraId="0896B6B0" w14:textId="77777777" w:rsidR="00A57A16" w:rsidRPr="00C22C49" w:rsidRDefault="00A57A16" w:rsidP="00A57A16">
      <w:pPr>
        <w:pStyle w:val="BulletPointRED"/>
      </w:pPr>
      <w:r w:rsidRPr="00C22C49">
        <w:rPr>
          <w:rStyle w:val="affe"/>
          <w:rFonts w:cstheme="minorHAnsi"/>
          <w:color w:val="auto"/>
        </w:rPr>
        <w:t>Недостатність наявних людських ресурсів з точки зору кількості та кваліфікації персоналу для задоволення поточного навантаження та очікуваного збільшення обов'язків, пов'язаних з наближенням до ЄС.</w:t>
      </w:r>
    </w:p>
    <w:p w14:paraId="0896B6B1" w14:textId="77777777" w:rsidR="00A57A16" w:rsidRPr="00C22C49" w:rsidRDefault="00A57A16" w:rsidP="006E3164">
      <w:pPr>
        <w:pStyle w:val="BulletRED"/>
        <w:numPr>
          <w:ilvl w:val="0"/>
          <w:numId w:val="0"/>
        </w:numPr>
        <w:ind w:left="927" w:hanging="360"/>
      </w:pPr>
    </w:p>
    <w:p w14:paraId="0896B6B2" w14:textId="77777777" w:rsidR="007F62E6" w:rsidRPr="00C22C49" w:rsidRDefault="00022B6E" w:rsidP="00782438">
      <w:pPr>
        <w:pStyle w:val="30"/>
      </w:pPr>
      <w:bookmarkStart w:id="16" w:name="_Toc151583265"/>
      <w:r w:rsidRPr="00C22C49">
        <w:t>Аналіз у</w:t>
      </w:r>
      <w:r w:rsidR="007F62E6" w:rsidRPr="00C22C49">
        <w:t>творення</w:t>
      </w:r>
      <w:r w:rsidRPr="00C22C49">
        <w:t xml:space="preserve"> та управління</w:t>
      </w:r>
      <w:r w:rsidR="00A23E1A" w:rsidRPr="00C22C49">
        <w:t xml:space="preserve"> (поводження)</w:t>
      </w:r>
      <w:r w:rsidR="007F62E6" w:rsidRPr="00C22C49">
        <w:t xml:space="preserve"> відход</w:t>
      </w:r>
      <w:r w:rsidRPr="00C22C49">
        <w:t>ами</w:t>
      </w:r>
      <w:r w:rsidR="007F62E6" w:rsidRPr="00C22C49">
        <w:t xml:space="preserve"> за </w:t>
      </w:r>
      <w:r w:rsidRPr="00C22C49">
        <w:t>категоріями</w:t>
      </w:r>
      <w:bookmarkEnd w:id="16"/>
    </w:p>
    <w:p w14:paraId="0896B6B3" w14:textId="77777777" w:rsidR="005C2E1F" w:rsidRPr="00C22C49" w:rsidRDefault="005C2E1F" w:rsidP="005C2E1F">
      <w:r w:rsidRPr="00C22C49">
        <w:t xml:space="preserve">Опис </w:t>
      </w:r>
      <w:r w:rsidR="002B0621" w:rsidRPr="00C22C49">
        <w:t xml:space="preserve">наявної </w:t>
      </w:r>
      <w:r w:rsidRPr="00C22C49">
        <w:t>системи збирання та оброблення відходів дає змогу отримати повне уявлення про потоки відходів. Далі цей опис слугує основою для визначення потенційних сфер для вдосконалення та допомагає планувати майбутні процеси та об'єкти оброблення відходів, необхідні для досягнення поставлених цілей.</w:t>
      </w:r>
    </w:p>
    <w:p w14:paraId="0896B6B4" w14:textId="77777777" w:rsidR="00A6091A" w:rsidRPr="00C22C49" w:rsidRDefault="00BF5CC7" w:rsidP="00A6091A">
      <w:r w:rsidRPr="00C22C49">
        <w:t>Інформація подана за потоками відходів, із зазначенням джерел відходів та основних показників управління відходами (утворення, збирання, перевезення, відновлення та видалення)</w:t>
      </w:r>
      <w:r w:rsidR="002B0621" w:rsidRPr="00C22C49">
        <w:t xml:space="preserve"> та вия</w:t>
      </w:r>
      <w:r w:rsidR="00595C46" w:rsidRPr="00C22C49">
        <w:t>в</w:t>
      </w:r>
      <w:r w:rsidR="002B0621" w:rsidRPr="00C22C49">
        <w:t xml:space="preserve">лених в процесі аналізу </w:t>
      </w:r>
      <w:r w:rsidR="00595C46" w:rsidRPr="00C22C49">
        <w:t>проблем</w:t>
      </w:r>
      <w:r w:rsidRPr="00C22C49">
        <w:t>.</w:t>
      </w:r>
    </w:p>
    <w:p w14:paraId="0896B6B5" w14:textId="77777777" w:rsidR="00FD1A3A" w:rsidRPr="00C22C49" w:rsidRDefault="0058773D" w:rsidP="0009065A">
      <w:pPr>
        <w:pStyle w:val="Heading4boldRED"/>
        <w:rPr>
          <w:rStyle w:val="affe"/>
          <w:iCs w:val="0"/>
          <w:sz w:val="26"/>
          <w:lang w:val="uk-UA"/>
        </w:rPr>
      </w:pPr>
      <w:r w:rsidRPr="00C22C49">
        <w:rPr>
          <w:rStyle w:val="affe"/>
          <w:iCs w:val="0"/>
          <w:sz w:val="26"/>
          <w:lang w:val="uk-UA"/>
        </w:rPr>
        <w:t>Побутові відходи</w:t>
      </w:r>
    </w:p>
    <w:p w14:paraId="0896B6B6" w14:textId="77777777" w:rsidR="00F5188F" w:rsidRPr="00C22C49" w:rsidRDefault="00F5188F" w:rsidP="00266E1E">
      <w:pPr>
        <w:pStyle w:val="REDBoldonly"/>
      </w:pPr>
      <w:r w:rsidRPr="00C22C49">
        <w:t>Основні утворювачі відходів</w:t>
      </w:r>
    </w:p>
    <w:p w14:paraId="0896B6B7" w14:textId="77777777" w:rsidR="005C2E1F" w:rsidRPr="00C22C49" w:rsidRDefault="00273F7E" w:rsidP="00FD1A3A">
      <w:r w:rsidRPr="00C22C49">
        <w:t xml:space="preserve">Джерела утворення побутових відходів </w:t>
      </w:r>
      <w:r w:rsidR="0071682B" w:rsidRPr="00C22C49">
        <w:t>умовно поділяються на два види: домогосподарства та інші (такі як адміністративні органи, органи державного управління, комерційний сектор, промисловість, дитячі садки, школи, лікарні, підприємства, тощо якщо утворенні ними відходи подібні за своїм складом до відходів домогосподарств.</w:t>
      </w:r>
    </w:p>
    <w:p w14:paraId="0896B6B8" w14:textId="77777777" w:rsidR="00BF41F8" w:rsidRPr="00C22C49" w:rsidRDefault="00BF41F8" w:rsidP="00266E1E">
      <w:pPr>
        <w:pStyle w:val="REDBoldonly"/>
        <w:rPr>
          <w:szCs w:val="24"/>
        </w:rPr>
      </w:pPr>
      <w:r w:rsidRPr="00C22C49">
        <w:rPr>
          <w:szCs w:val="24"/>
        </w:rPr>
        <w:t>Склад відходів</w:t>
      </w:r>
    </w:p>
    <w:p w14:paraId="3A98A75F" w14:textId="77777777" w:rsidR="005E791B" w:rsidRDefault="00074440" w:rsidP="00074440">
      <w:pPr>
        <w:pStyle w:val="a7"/>
        <w:ind w:left="0"/>
        <w:rPr>
          <w:rFonts w:cs="Times New Roman"/>
          <w:szCs w:val="24"/>
        </w:rPr>
      </w:pPr>
      <w:r w:rsidRPr="00C22C49">
        <w:rPr>
          <w:rFonts w:cs="Times New Roman"/>
          <w:szCs w:val="24"/>
        </w:rPr>
        <w:t xml:space="preserve">В Україні не існує систематичних досліджень з офіційними даними про морфологічний склад побутових відходів, а точкові дослідження часто суперечливі за своєю природою. </w:t>
      </w:r>
      <w:r w:rsidR="00304857" w:rsidRPr="00C22C49">
        <w:rPr>
          <w:rFonts w:cs="Times New Roman"/>
          <w:szCs w:val="24"/>
        </w:rPr>
        <w:t xml:space="preserve">На основі </w:t>
      </w:r>
      <w:r w:rsidR="00AE1A29" w:rsidRPr="00C22C49">
        <w:rPr>
          <w:rFonts w:cs="Times New Roman"/>
          <w:szCs w:val="24"/>
        </w:rPr>
        <w:t xml:space="preserve">наявних проведених вимірювань </w:t>
      </w:r>
      <w:r w:rsidR="00092274" w:rsidRPr="00C22C49">
        <w:rPr>
          <w:rFonts w:cs="Times New Roman"/>
          <w:szCs w:val="24"/>
        </w:rPr>
        <w:t>складу відходів у різних містах України прийнято усереднений морфологічний склад відходів</w:t>
      </w:r>
      <w:r w:rsidR="00255BC3" w:rsidRPr="00C22C49">
        <w:rPr>
          <w:rFonts w:cs="Times New Roman"/>
          <w:szCs w:val="24"/>
        </w:rPr>
        <w:t xml:space="preserve"> </w:t>
      </w:r>
      <w:r w:rsidR="00011D4C" w:rsidRPr="00C22C49">
        <w:rPr>
          <w:rFonts w:cs="Times New Roman"/>
          <w:szCs w:val="24"/>
        </w:rPr>
        <w:t>(</w:t>
      </w:r>
      <w:r w:rsidR="007E5760" w:rsidRPr="00C22C49">
        <w:rPr>
          <w:rFonts w:cs="Times New Roman"/>
          <w:szCs w:val="24"/>
        </w:rPr>
        <w:t>органічні відходи складають 20,3%, папір та картон</w:t>
      </w:r>
      <w:r w:rsidR="008B3D61" w:rsidRPr="00C22C49">
        <w:rPr>
          <w:rFonts w:cs="Times New Roman"/>
          <w:szCs w:val="24"/>
        </w:rPr>
        <w:t xml:space="preserve"> -</w:t>
      </w:r>
      <w:r w:rsidR="00047175" w:rsidRPr="00C22C49">
        <w:rPr>
          <w:rFonts w:cs="Times New Roman"/>
          <w:szCs w:val="24"/>
        </w:rPr>
        <w:t xml:space="preserve"> </w:t>
      </w:r>
      <w:r w:rsidR="008B3D61" w:rsidRPr="00C22C49">
        <w:rPr>
          <w:rFonts w:cs="Times New Roman"/>
          <w:szCs w:val="24"/>
        </w:rPr>
        <w:t>6,4%, пластик</w:t>
      </w:r>
      <w:r w:rsidR="00047175" w:rsidRPr="00C22C49">
        <w:rPr>
          <w:rFonts w:cs="Times New Roman"/>
          <w:szCs w:val="24"/>
        </w:rPr>
        <w:t xml:space="preserve"> – </w:t>
      </w:r>
      <w:r w:rsidR="008B3D61" w:rsidRPr="00C22C49">
        <w:rPr>
          <w:rFonts w:cs="Times New Roman"/>
          <w:szCs w:val="24"/>
        </w:rPr>
        <w:t>11,5%, скло – 19,</w:t>
      </w:r>
      <w:r w:rsidR="000C6793" w:rsidRPr="00C22C49">
        <w:rPr>
          <w:rFonts w:cs="Times New Roman"/>
          <w:szCs w:val="24"/>
        </w:rPr>
        <w:t xml:space="preserve">3%, метал – </w:t>
      </w:r>
      <w:r w:rsidR="00BF41F8" w:rsidRPr="00C22C49">
        <w:rPr>
          <w:rFonts w:cs="Times New Roman"/>
          <w:szCs w:val="24"/>
        </w:rPr>
        <w:t>1,9</w:t>
      </w:r>
      <w:r w:rsidR="000C6793" w:rsidRPr="00C22C49">
        <w:rPr>
          <w:rFonts w:cs="Times New Roman"/>
          <w:szCs w:val="24"/>
        </w:rPr>
        <w:t>%, текстиль – 3,8%,</w:t>
      </w:r>
      <w:r w:rsidR="00BF41F8" w:rsidRPr="00C22C49">
        <w:rPr>
          <w:rFonts w:cs="Times New Roman"/>
          <w:szCs w:val="24"/>
        </w:rPr>
        <w:t xml:space="preserve"> деревина – 1,4%,</w:t>
      </w:r>
      <w:r w:rsidR="000C6793" w:rsidRPr="00C22C49">
        <w:rPr>
          <w:rFonts w:cs="Times New Roman"/>
          <w:szCs w:val="24"/>
        </w:rPr>
        <w:t xml:space="preserve"> небезпечні відходи – 0,7%</w:t>
      </w:r>
      <w:r w:rsidR="00E92629" w:rsidRPr="00C22C49">
        <w:rPr>
          <w:rFonts w:cs="Times New Roman"/>
          <w:szCs w:val="24"/>
        </w:rPr>
        <w:t>%</w:t>
      </w:r>
      <w:r w:rsidR="000C6793" w:rsidRPr="00C22C49">
        <w:rPr>
          <w:rFonts w:cs="Times New Roman"/>
          <w:szCs w:val="24"/>
        </w:rPr>
        <w:t>,</w:t>
      </w:r>
      <w:r w:rsidR="00E92629" w:rsidRPr="00C22C49">
        <w:rPr>
          <w:rFonts w:cs="Times New Roman"/>
          <w:szCs w:val="24"/>
        </w:rPr>
        <w:t xml:space="preserve"> кістки, шкіра, гума – 3,6% та мінеральні та інші – 31,3%).</w:t>
      </w:r>
    </w:p>
    <w:p w14:paraId="345E6868" w14:textId="6458E686" w:rsidR="00E85536" w:rsidRPr="00C22C49" w:rsidRDefault="00E85536" w:rsidP="00074440">
      <w:pPr>
        <w:pStyle w:val="a7"/>
        <w:ind w:left="0"/>
        <w:rPr>
          <w:rFonts w:cs="Times New Roman"/>
          <w:szCs w:val="24"/>
        </w:rPr>
      </w:pPr>
    </w:p>
    <w:tbl>
      <w:tblPr>
        <w:tblW w:w="10485" w:type="dxa"/>
        <w:jc w:val="center"/>
        <w:tblLayout w:type="fixed"/>
        <w:tblLook w:val="04A0" w:firstRow="1" w:lastRow="0" w:firstColumn="1" w:lastColumn="0" w:noHBand="0" w:noVBand="1"/>
      </w:tblPr>
      <w:tblGrid>
        <w:gridCol w:w="895"/>
        <w:gridCol w:w="1105"/>
        <w:gridCol w:w="858"/>
        <w:gridCol w:w="970"/>
        <w:gridCol w:w="717"/>
        <w:gridCol w:w="817"/>
        <w:gridCol w:w="999"/>
        <w:gridCol w:w="1028"/>
        <w:gridCol w:w="970"/>
        <w:gridCol w:w="992"/>
        <w:gridCol w:w="1134"/>
      </w:tblGrid>
      <w:tr w:rsidR="00E85536" w:rsidRPr="00E85536" w14:paraId="660D8A44" w14:textId="77777777" w:rsidTr="003339EC">
        <w:trPr>
          <w:trHeight w:val="576"/>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81F0C"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22BCADB"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 xml:space="preserve">Органічні відходи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3511EF94"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 xml:space="preserve">Папір, картон </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0C20C734"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 xml:space="preserve">Пластик </w:t>
            </w:r>
          </w:p>
        </w:tc>
        <w:tc>
          <w:tcPr>
            <w:tcW w:w="717" w:type="dxa"/>
            <w:tcBorders>
              <w:top w:val="nil"/>
              <w:left w:val="nil"/>
              <w:bottom w:val="nil"/>
              <w:right w:val="single" w:sz="4" w:space="0" w:color="auto"/>
            </w:tcBorders>
            <w:shd w:val="clear" w:color="auto" w:fill="auto"/>
            <w:noWrap/>
            <w:vAlign w:val="center"/>
            <w:hideMark/>
          </w:tcPr>
          <w:p w14:paraId="6086BF79"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 xml:space="preserve">Скло </w:t>
            </w:r>
          </w:p>
        </w:tc>
        <w:tc>
          <w:tcPr>
            <w:tcW w:w="817" w:type="dxa"/>
            <w:tcBorders>
              <w:top w:val="nil"/>
              <w:left w:val="nil"/>
              <w:bottom w:val="nil"/>
              <w:right w:val="single" w:sz="4" w:space="0" w:color="auto"/>
            </w:tcBorders>
            <w:shd w:val="clear" w:color="auto" w:fill="auto"/>
            <w:noWrap/>
            <w:vAlign w:val="center"/>
            <w:hideMark/>
          </w:tcPr>
          <w:p w14:paraId="2C6C7DE5"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 xml:space="preserve">Метал </w:t>
            </w:r>
          </w:p>
        </w:tc>
        <w:tc>
          <w:tcPr>
            <w:tcW w:w="999" w:type="dxa"/>
            <w:tcBorders>
              <w:top w:val="nil"/>
              <w:left w:val="nil"/>
              <w:bottom w:val="nil"/>
              <w:right w:val="single" w:sz="4" w:space="0" w:color="auto"/>
            </w:tcBorders>
            <w:shd w:val="clear" w:color="auto" w:fill="auto"/>
            <w:noWrap/>
            <w:vAlign w:val="center"/>
            <w:hideMark/>
          </w:tcPr>
          <w:p w14:paraId="5926741C"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Текстиль</w:t>
            </w:r>
          </w:p>
        </w:tc>
        <w:tc>
          <w:tcPr>
            <w:tcW w:w="1028" w:type="dxa"/>
            <w:tcBorders>
              <w:top w:val="nil"/>
              <w:left w:val="nil"/>
              <w:bottom w:val="nil"/>
              <w:right w:val="single" w:sz="4" w:space="0" w:color="auto"/>
            </w:tcBorders>
            <w:shd w:val="clear" w:color="auto" w:fill="auto"/>
            <w:noWrap/>
            <w:vAlign w:val="center"/>
            <w:hideMark/>
          </w:tcPr>
          <w:p w14:paraId="33413FAC"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Деревина</w:t>
            </w:r>
          </w:p>
        </w:tc>
        <w:tc>
          <w:tcPr>
            <w:tcW w:w="970" w:type="dxa"/>
            <w:tcBorders>
              <w:top w:val="nil"/>
              <w:left w:val="nil"/>
              <w:bottom w:val="nil"/>
              <w:right w:val="single" w:sz="4" w:space="0" w:color="auto"/>
            </w:tcBorders>
            <w:shd w:val="clear" w:color="auto" w:fill="auto"/>
            <w:vAlign w:val="center"/>
            <w:hideMark/>
          </w:tcPr>
          <w:p w14:paraId="693479BB"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Небезпечні  відходи</w:t>
            </w:r>
          </w:p>
        </w:tc>
        <w:tc>
          <w:tcPr>
            <w:tcW w:w="992" w:type="dxa"/>
            <w:tcBorders>
              <w:top w:val="nil"/>
              <w:left w:val="nil"/>
              <w:bottom w:val="nil"/>
              <w:right w:val="single" w:sz="4" w:space="0" w:color="auto"/>
            </w:tcBorders>
            <w:shd w:val="clear" w:color="auto" w:fill="auto"/>
            <w:vAlign w:val="center"/>
            <w:hideMark/>
          </w:tcPr>
          <w:p w14:paraId="1D2EE961"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 xml:space="preserve">Кістки, шкіра, гума </w:t>
            </w:r>
          </w:p>
        </w:tc>
        <w:tc>
          <w:tcPr>
            <w:tcW w:w="1134" w:type="dxa"/>
            <w:tcBorders>
              <w:top w:val="nil"/>
              <w:left w:val="nil"/>
              <w:bottom w:val="nil"/>
              <w:right w:val="single" w:sz="4" w:space="0" w:color="auto"/>
            </w:tcBorders>
            <w:shd w:val="clear" w:color="auto" w:fill="auto"/>
            <w:vAlign w:val="center"/>
            <w:hideMark/>
          </w:tcPr>
          <w:p w14:paraId="2BBBFE0A"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 xml:space="preserve">Мінеральні та інші </w:t>
            </w:r>
          </w:p>
        </w:tc>
      </w:tr>
      <w:tr w:rsidR="00E85536" w:rsidRPr="00E85536" w14:paraId="1263B5C8" w14:textId="77777777" w:rsidTr="003339EC">
        <w:trPr>
          <w:trHeight w:val="288"/>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07E3B3B"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Україна</w:t>
            </w:r>
          </w:p>
        </w:tc>
        <w:tc>
          <w:tcPr>
            <w:tcW w:w="1105" w:type="dxa"/>
            <w:tcBorders>
              <w:top w:val="nil"/>
              <w:left w:val="nil"/>
              <w:bottom w:val="single" w:sz="4" w:space="0" w:color="auto"/>
              <w:right w:val="single" w:sz="4" w:space="0" w:color="auto"/>
            </w:tcBorders>
            <w:shd w:val="clear" w:color="auto" w:fill="auto"/>
            <w:noWrap/>
            <w:vAlign w:val="bottom"/>
            <w:hideMark/>
          </w:tcPr>
          <w:p w14:paraId="75B308D1"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20,325</w:t>
            </w:r>
          </w:p>
        </w:tc>
        <w:tc>
          <w:tcPr>
            <w:tcW w:w="858" w:type="dxa"/>
            <w:tcBorders>
              <w:top w:val="nil"/>
              <w:left w:val="nil"/>
              <w:bottom w:val="single" w:sz="4" w:space="0" w:color="auto"/>
              <w:right w:val="single" w:sz="4" w:space="0" w:color="auto"/>
            </w:tcBorders>
            <w:shd w:val="clear" w:color="auto" w:fill="auto"/>
            <w:noWrap/>
            <w:vAlign w:val="bottom"/>
            <w:hideMark/>
          </w:tcPr>
          <w:p w14:paraId="70663794"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6,35</w:t>
            </w:r>
          </w:p>
        </w:tc>
        <w:tc>
          <w:tcPr>
            <w:tcW w:w="970" w:type="dxa"/>
            <w:tcBorders>
              <w:top w:val="nil"/>
              <w:left w:val="nil"/>
              <w:bottom w:val="single" w:sz="4" w:space="0" w:color="auto"/>
              <w:right w:val="single" w:sz="4" w:space="0" w:color="auto"/>
            </w:tcBorders>
            <w:shd w:val="clear" w:color="auto" w:fill="auto"/>
            <w:noWrap/>
            <w:vAlign w:val="bottom"/>
            <w:hideMark/>
          </w:tcPr>
          <w:p w14:paraId="1C6F1A22"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11,5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D4A5D72"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19,25</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8EFC91C"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1,925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02032A31"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3,75</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4E76464F"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1,4</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2A741A7F"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0,65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2943CB"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3,575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1A8B6E"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31,275</w:t>
            </w:r>
          </w:p>
        </w:tc>
      </w:tr>
      <w:tr w:rsidR="00E85536" w:rsidRPr="00E85536" w14:paraId="651186EF" w14:textId="77777777" w:rsidTr="003339EC">
        <w:trPr>
          <w:trHeight w:val="288"/>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64183B0"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Міста</w:t>
            </w:r>
          </w:p>
        </w:tc>
        <w:tc>
          <w:tcPr>
            <w:tcW w:w="1105" w:type="dxa"/>
            <w:tcBorders>
              <w:top w:val="nil"/>
              <w:left w:val="nil"/>
              <w:bottom w:val="single" w:sz="4" w:space="0" w:color="auto"/>
              <w:right w:val="single" w:sz="4" w:space="0" w:color="auto"/>
            </w:tcBorders>
            <w:shd w:val="clear" w:color="auto" w:fill="auto"/>
            <w:vAlign w:val="center"/>
            <w:hideMark/>
          </w:tcPr>
          <w:p w14:paraId="6A65BC18"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29</w:t>
            </w:r>
          </w:p>
        </w:tc>
        <w:tc>
          <w:tcPr>
            <w:tcW w:w="858" w:type="dxa"/>
            <w:tcBorders>
              <w:top w:val="nil"/>
              <w:left w:val="nil"/>
              <w:bottom w:val="single" w:sz="4" w:space="0" w:color="auto"/>
              <w:right w:val="single" w:sz="4" w:space="0" w:color="auto"/>
            </w:tcBorders>
            <w:shd w:val="clear" w:color="auto" w:fill="auto"/>
            <w:vAlign w:val="center"/>
            <w:hideMark/>
          </w:tcPr>
          <w:p w14:paraId="5BEDD7A8"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9</w:t>
            </w:r>
          </w:p>
        </w:tc>
        <w:tc>
          <w:tcPr>
            <w:tcW w:w="970" w:type="dxa"/>
            <w:tcBorders>
              <w:top w:val="nil"/>
              <w:left w:val="nil"/>
              <w:bottom w:val="single" w:sz="4" w:space="0" w:color="auto"/>
              <w:right w:val="single" w:sz="4" w:space="0" w:color="auto"/>
            </w:tcBorders>
            <w:shd w:val="clear" w:color="auto" w:fill="auto"/>
            <w:vAlign w:val="center"/>
            <w:hideMark/>
          </w:tcPr>
          <w:p w14:paraId="4E773A4C"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13</w:t>
            </w:r>
          </w:p>
        </w:tc>
        <w:tc>
          <w:tcPr>
            <w:tcW w:w="717" w:type="dxa"/>
            <w:tcBorders>
              <w:top w:val="nil"/>
              <w:left w:val="nil"/>
              <w:bottom w:val="single" w:sz="4" w:space="0" w:color="auto"/>
              <w:right w:val="single" w:sz="4" w:space="0" w:color="auto"/>
            </w:tcBorders>
            <w:shd w:val="clear" w:color="auto" w:fill="auto"/>
            <w:vAlign w:val="center"/>
            <w:hideMark/>
          </w:tcPr>
          <w:p w14:paraId="4F044F86"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15</w:t>
            </w:r>
          </w:p>
        </w:tc>
        <w:tc>
          <w:tcPr>
            <w:tcW w:w="817" w:type="dxa"/>
            <w:tcBorders>
              <w:top w:val="nil"/>
              <w:left w:val="nil"/>
              <w:bottom w:val="single" w:sz="4" w:space="0" w:color="auto"/>
              <w:right w:val="single" w:sz="4" w:space="0" w:color="auto"/>
            </w:tcBorders>
            <w:shd w:val="clear" w:color="auto" w:fill="auto"/>
            <w:vAlign w:val="center"/>
            <w:hideMark/>
          </w:tcPr>
          <w:p w14:paraId="736BA051"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w:t>
            </w:r>
          </w:p>
        </w:tc>
        <w:tc>
          <w:tcPr>
            <w:tcW w:w="999" w:type="dxa"/>
            <w:tcBorders>
              <w:top w:val="nil"/>
              <w:left w:val="nil"/>
              <w:bottom w:val="single" w:sz="4" w:space="0" w:color="auto"/>
              <w:right w:val="single" w:sz="4" w:space="0" w:color="auto"/>
            </w:tcBorders>
            <w:shd w:val="clear" w:color="auto" w:fill="auto"/>
            <w:vAlign w:val="center"/>
            <w:hideMark/>
          </w:tcPr>
          <w:p w14:paraId="02F23F10"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4</w:t>
            </w:r>
          </w:p>
        </w:tc>
        <w:tc>
          <w:tcPr>
            <w:tcW w:w="1028" w:type="dxa"/>
            <w:tcBorders>
              <w:top w:val="nil"/>
              <w:left w:val="nil"/>
              <w:bottom w:val="single" w:sz="4" w:space="0" w:color="auto"/>
              <w:right w:val="single" w:sz="4" w:space="0" w:color="auto"/>
            </w:tcBorders>
            <w:shd w:val="clear" w:color="auto" w:fill="auto"/>
            <w:vAlign w:val="center"/>
            <w:hideMark/>
          </w:tcPr>
          <w:p w14:paraId="2269F133"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0</w:t>
            </w:r>
          </w:p>
        </w:tc>
        <w:tc>
          <w:tcPr>
            <w:tcW w:w="970" w:type="dxa"/>
            <w:tcBorders>
              <w:top w:val="nil"/>
              <w:left w:val="nil"/>
              <w:bottom w:val="single" w:sz="4" w:space="0" w:color="auto"/>
              <w:right w:val="single" w:sz="4" w:space="0" w:color="auto"/>
            </w:tcBorders>
            <w:shd w:val="clear" w:color="auto" w:fill="auto"/>
            <w:vAlign w:val="center"/>
            <w:hideMark/>
          </w:tcPr>
          <w:p w14:paraId="555707B2"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w:t>
            </w:r>
          </w:p>
        </w:tc>
        <w:tc>
          <w:tcPr>
            <w:tcW w:w="992" w:type="dxa"/>
            <w:tcBorders>
              <w:top w:val="nil"/>
              <w:left w:val="nil"/>
              <w:bottom w:val="single" w:sz="4" w:space="0" w:color="auto"/>
              <w:right w:val="single" w:sz="4" w:space="0" w:color="auto"/>
            </w:tcBorders>
            <w:shd w:val="clear" w:color="auto" w:fill="auto"/>
            <w:vAlign w:val="center"/>
            <w:hideMark/>
          </w:tcPr>
          <w:p w14:paraId="06CF242A"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w:t>
            </w:r>
          </w:p>
        </w:tc>
        <w:tc>
          <w:tcPr>
            <w:tcW w:w="1134" w:type="dxa"/>
            <w:tcBorders>
              <w:top w:val="nil"/>
              <w:left w:val="nil"/>
              <w:bottom w:val="single" w:sz="4" w:space="0" w:color="auto"/>
              <w:right w:val="single" w:sz="4" w:space="0" w:color="auto"/>
            </w:tcBorders>
            <w:shd w:val="clear" w:color="auto" w:fill="auto"/>
            <w:vAlign w:val="center"/>
            <w:hideMark/>
          </w:tcPr>
          <w:p w14:paraId="53AB1355"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27</w:t>
            </w:r>
          </w:p>
        </w:tc>
      </w:tr>
      <w:tr w:rsidR="00E85536" w:rsidRPr="00E85536" w14:paraId="07F9C3B7" w14:textId="77777777" w:rsidTr="003339EC">
        <w:trPr>
          <w:trHeight w:val="288"/>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7128AD8"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СНП</w:t>
            </w:r>
          </w:p>
        </w:tc>
        <w:tc>
          <w:tcPr>
            <w:tcW w:w="1105" w:type="dxa"/>
            <w:tcBorders>
              <w:top w:val="nil"/>
              <w:left w:val="nil"/>
              <w:bottom w:val="single" w:sz="4" w:space="0" w:color="auto"/>
              <w:right w:val="single" w:sz="4" w:space="0" w:color="auto"/>
            </w:tcBorders>
            <w:shd w:val="clear" w:color="auto" w:fill="auto"/>
            <w:vAlign w:val="center"/>
            <w:hideMark/>
          </w:tcPr>
          <w:p w14:paraId="2D656C4B"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14</w:t>
            </w:r>
          </w:p>
        </w:tc>
        <w:tc>
          <w:tcPr>
            <w:tcW w:w="858" w:type="dxa"/>
            <w:tcBorders>
              <w:top w:val="nil"/>
              <w:left w:val="nil"/>
              <w:bottom w:val="single" w:sz="4" w:space="0" w:color="auto"/>
              <w:right w:val="single" w:sz="4" w:space="0" w:color="auto"/>
            </w:tcBorders>
            <w:shd w:val="clear" w:color="auto" w:fill="auto"/>
            <w:vAlign w:val="center"/>
            <w:hideMark/>
          </w:tcPr>
          <w:p w14:paraId="26F83B56"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8</w:t>
            </w:r>
          </w:p>
        </w:tc>
        <w:tc>
          <w:tcPr>
            <w:tcW w:w="970" w:type="dxa"/>
            <w:tcBorders>
              <w:top w:val="nil"/>
              <w:left w:val="nil"/>
              <w:bottom w:val="single" w:sz="4" w:space="0" w:color="auto"/>
              <w:right w:val="single" w:sz="4" w:space="0" w:color="auto"/>
            </w:tcBorders>
            <w:shd w:val="clear" w:color="auto" w:fill="auto"/>
            <w:vAlign w:val="center"/>
            <w:hideMark/>
          </w:tcPr>
          <w:p w14:paraId="1C090DAA"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13</w:t>
            </w:r>
          </w:p>
        </w:tc>
        <w:tc>
          <w:tcPr>
            <w:tcW w:w="717" w:type="dxa"/>
            <w:tcBorders>
              <w:top w:val="nil"/>
              <w:left w:val="nil"/>
              <w:bottom w:val="single" w:sz="4" w:space="0" w:color="auto"/>
              <w:right w:val="single" w:sz="4" w:space="0" w:color="auto"/>
            </w:tcBorders>
            <w:shd w:val="clear" w:color="auto" w:fill="auto"/>
            <w:vAlign w:val="center"/>
            <w:hideMark/>
          </w:tcPr>
          <w:p w14:paraId="225DE7CF"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17</w:t>
            </w:r>
          </w:p>
        </w:tc>
        <w:tc>
          <w:tcPr>
            <w:tcW w:w="817" w:type="dxa"/>
            <w:tcBorders>
              <w:top w:val="nil"/>
              <w:left w:val="nil"/>
              <w:bottom w:val="single" w:sz="4" w:space="0" w:color="auto"/>
              <w:right w:val="single" w:sz="4" w:space="0" w:color="auto"/>
            </w:tcBorders>
            <w:shd w:val="clear" w:color="auto" w:fill="auto"/>
            <w:vAlign w:val="center"/>
            <w:hideMark/>
          </w:tcPr>
          <w:p w14:paraId="0792BAC2"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w:t>
            </w:r>
          </w:p>
        </w:tc>
        <w:tc>
          <w:tcPr>
            <w:tcW w:w="999" w:type="dxa"/>
            <w:tcBorders>
              <w:top w:val="nil"/>
              <w:left w:val="nil"/>
              <w:bottom w:val="single" w:sz="4" w:space="0" w:color="auto"/>
              <w:right w:val="single" w:sz="4" w:space="0" w:color="auto"/>
            </w:tcBorders>
            <w:shd w:val="clear" w:color="auto" w:fill="auto"/>
            <w:vAlign w:val="center"/>
            <w:hideMark/>
          </w:tcPr>
          <w:p w14:paraId="23134DB0"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6</w:t>
            </w:r>
          </w:p>
        </w:tc>
        <w:tc>
          <w:tcPr>
            <w:tcW w:w="1028" w:type="dxa"/>
            <w:tcBorders>
              <w:top w:val="nil"/>
              <w:left w:val="nil"/>
              <w:bottom w:val="single" w:sz="4" w:space="0" w:color="auto"/>
              <w:right w:val="single" w:sz="4" w:space="0" w:color="auto"/>
            </w:tcBorders>
            <w:shd w:val="clear" w:color="auto" w:fill="auto"/>
            <w:vAlign w:val="center"/>
            <w:hideMark/>
          </w:tcPr>
          <w:p w14:paraId="36982F08"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w:t>
            </w:r>
          </w:p>
        </w:tc>
        <w:tc>
          <w:tcPr>
            <w:tcW w:w="970" w:type="dxa"/>
            <w:tcBorders>
              <w:top w:val="nil"/>
              <w:left w:val="nil"/>
              <w:bottom w:val="single" w:sz="4" w:space="0" w:color="auto"/>
              <w:right w:val="single" w:sz="4" w:space="0" w:color="auto"/>
            </w:tcBorders>
            <w:shd w:val="clear" w:color="auto" w:fill="auto"/>
            <w:vAlign w:val="center"/>
            <w:hideMark/>
          </w:tcPr>
          <w:p w14:paraId="0751146F"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w:t>
            </w:r>
          </w:p>
        </w:tc>
        <w:tc>
          <w:tcPr>
            <w:tcW w:w="992" w:type="dxa"/>
            <w:tcBorders>
              <w:top w:val="nil"/>
              <w:left w:val="nil"/>
              <w:bottom w:val="single" w:sz="4" w:space="0" w:color="auto"/>
              <w:right w:val="single" w:sz="4" w:space="0" w:color="auto"/>
            </w:tcBorders>
            <w:shd w:val="clear" w:color="auto" w:fill="auto"/>
            <w:vAlign w:val="center"/>
            <w:hideMark/>
          </w:tcPr>
          <w:p w14:paraId="4C89A796"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14:paraId="57EF0759"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33</w:t>
            </w:r>
          </w:p>
        </w:tc>
      </w:tr>
      <w:tr w:rsidR="00E85536" w:rsidRPr="00E85536" w14:paraId="07E0AFC5" w14:textId="77777777" w:rsidTr="003339EC">
        <w:trPr>
          <w:trHeight w:val="288"/>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3D609EB" w14:textId="77777777" w:rsidR="00E85536" w:rsidRPr="00E85536" w:rsidRDefault="00E85536" w:rsidP="00E85536">
            <w:pPr>
              <w:tabs>
                <w:tab w:val="clear" w:pos="284"/>
                <w:tab w:val="clear" w:pos="1985"/>
              </w:tabs>
              <w:spacing w:before="0" w:after="0" w:line="240" w:lineRule="auto"/>
              <w:jc w:val="left"/>
              <w:rPr>
                <w:rFonts w:eastAsia="Times New Roman" w:cs="Times New Roman"/>
                <w:color w:val="000000"/>
                <w:sz w:val="20"/>
                <w:lang w:eastAsia="uk-UA"/>
              </w:rPr>
            </w:pPr>
            <w:r w:rsidRPr="00E85536">
              <w:rPr>
                <w:rFonts w:eastAsia="Times New Roman" w:cs="Times New Roman"/>
                <w:color w:val="000000"/>
                <w:sz w:val="20"/>
                <w:lang w:eastAsia="uk-UA"/>
              </w:rPr>
              <w:t>дрібні СНП</w:t>
            </w:r>
          </w:p>
        </w:tc>
        <w:tc>
          <w:tcPr>
            <w:tcW w:w="1105" w:type="dxa"/>
            <w:tcBorders>
              <w:top w:val="nil"/>
              <w:left w:val="nil"/>
              <w:bottom w:val="single" w:sz="4" w:space="0" w:color="auto"/>
              <w:right w:val="single" w:sz="4" w:space="0" w:color="auto"/>
            </w:tcBorders>
            <w:shd w:val="clear" w:color="auto" w:fill="auto"/>
            <w:vAlign w:val="center"/>
            <w:hideMark/>
          </w:tcPr>
          <w:p w14:paraId="154725F6"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19</w:t>
            </w:r>
          </w:p>
        </w:tc>
        <w:tc>
          <w:tcPr>
            <w:tcW w:w="858" w:type="dxa"/>
            <w:tcBorders>
              <w:top w:val="nil"/>
              <w:left w:val="nil"/>
              <w:bottom w:val="single" w:sz="4" w:space="0" w:color="auto"/>
              <w:right w:val="single" w:sz="4" w:space="0" w:color="auto"/>
            </w:tcBorders>
            <w:shd w:val="clear" w:color="auto" w:fill="auto"/>
            <w:vAlign w:val="center"/>
            <w:hideMark/>
          </w:tcPr>
          <w:p w14:paraId="6587FA93"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w:t>
            </w:r>
          </w:p>
        </w:tc>
        <w:tc>
          <w:tcPr>
            <w:tcW w:w="970" w:type="dxa"/>
            <w:tcBorders>
              <w:top w:val="nil"/>
              <w:left w:val="nil"/>
              <w:bottom w:val="single" w:sz="4" w:space="0" w:color="auto"/>
              <w:right w:val="single" w:sz="4" w:space="0" w:color="auto"/>
            </w:tcBorders>
            <w:shd w:val="clear" w:color="auto" w:fill="auto"/>
            <w:vAlign w:val="center"/>
            <w:hideMark/>
          </w:tcPr>
          <w:p w14:paraId="2CA4B9B0"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7</w:t>
            </w:r>
          </w:p>
        </w:tc>
        <w:tc>
          <w:tcPr>
            <w:tcW w:w="717" w:type="dxa"/>
            <w:tcBorders>
              <w:top w:val="nil"/>
              <w:left w:val="nil"/>
              <w:bottom w:val="single" w:sz="4" w:space="0" w:color="auto"/>
              <w:right w:val="single" w:sz="4" w:space="0" w:color="auto"/>
            </w:tcBorders>
            <w:shd w:val="clear" w:color="auto" w:fill="auto"/>
            <w:vAlign w:val="center"/>
            <w:hideMark/>
          </w:tcPr>
          <w:p w14:paraId="46745813"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24</w:t>
            </w:r>
          </w:p>
        </w:tc>
        <w:tc>
          <w:tcPr>
            <w:tcW w:w="817" w:type="dxa"/>
            <w:tcBorders>
              <w:top w:val="nil"/>
              <w:left w:val="nil"/>
              <w:bottom w:val="single" w:sz="4" w:space="0" w:color="auto"/>
              <w:right w:val="single" w:sz="4" w:space="0" w:color="auto"/>
            </w:tcBorders>
            <w:shd w:val="clear" w:color="auto" w:fill="auto"/>
            <w:vAlign w:val="center"/>
            <w:hideMark/>
          </w:tcPr>
          <w:p w14:paraId="7863A126"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4</w:t>
            </w:r>
          </w:p>
        </w:tc>
        <w:tc>
          <w:tcPr>
            <w:tcW w:w="999" w:type="dxa"/>
            <w:tcBorders>
              <w:top w:val="nil"/>
              <w:left w:val="nil"/>
              <w:bottom w:val="single" w:sz="4" w:space="0" w:color="auto"/>
              <w:right w:val="single" w:sz="4" w:space="0" w:color="auto"/>
            </w:tcBorders>
            <w:shd w:val="clear" w:color="auto" w:fill="auto"/>
            <w:vAlign w:val="center"/>
            <w:hideMark/>
          </w:tcPr>
          <w:p w14:paraId="212A1D40"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w:t>
            </w:r>
          </w:p>
        </w:tc>
        <w:tc>
          <w:tcPr>
            <w:tcW w:w="1028" w:type="dxa"/>
            <w:tcBorders>
              <w:top w:val="nil"/>
              <w:left w:val="nil"/>
              <w:bottom w:val="single" w:sz="4" w:space="0" w:color="auto"/>
              <w:right w:val="single" w:sz="4" w:space="0" w:color="auto"/>
            </w:tcBorders>
            <w:shd w:val="clear" w:color="auto" w:fill="auto"/>
            <w:vAlign w:val="center"/>
            <w:hideMark/>
          </w:tcPr>
          <w:p w14:paraId="67B0F032"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2</w:t>
            </w:r>
          </w:p>
        </w:tc>
        <w:tc>
          <w:tcPr>
            <w:tcW w:w="970" w:type="dxa"/>
            <w:tcBorders>
              <w:top w:val="nil"/>
              <w:left w:val="nil"/>
              <w:bottom w:val="single" w:sz="4" w:space="0" w:color="auto"/>
              <w:right w:val="single" w:sz="4" w:space="0" w:color="auto"/>
            </w:tcBorders>
            <w:shd w:val="clear" w:color="auto" w:fill="auto"/>
            <w:vAlign w:val="center"/>
            <w:hideMark/>
          </w:tcPr>
          <w:p w14:paraId="09FBA71A"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1</w:t>
            </w:r>
          </w:p>
        </w:tc>
        <w:tc>
          <w:tcPr>
            <w:tcW w:w="992" w:type="dxa"/>
            <w:tcBorders>
              <w:top w:val="nil"/>
              <w:left w:val="nil"/>
              <w:bottom w:val="single" w:sz="4" w:space="0" w:color="auto"/>
              <w:right w:val="single" w:sz="4" w:space="0" w:color="auto"/>
            </w:tcBorders>
            <w:shd w:val="clear" w:color="auto" w:fill="auto"/>
            <w:vAlign w:val="center"/>
            <w:hideMark/>
          </w:tcPr>
          <w:p w14:paraId="16464A5E"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3</w:t>
            </w:r>
          </w:p>
        </w:tc>
        <w:tc>
          <w:tcPr>
            <w:tcW w:w="1134" w:type="dxa"/>
            <w:tcBorders>
              <w:top w:val="nil"/>
              <w:left w:val="nil"/>
              <w:bottom w:val="single" w:sz="4" w:space="0" w:color="auto"/>
              <w:right w:val="single" w:sz="4" w:space="0" w:color="auto"/>
            </w:tcBorders>
            <w:shd w:val="clear" w:color="auto" w:fill="auto"/>
            <w:vAlign w:val="center"/>
            <w:hideMark/>
          </w:tcPr>
          <w:p w14:paraId="219FBB49" w14:textId="77777777" w:rsidR="00E85536" w:rsidRPr="00E85536" w:rsidRDefault="00E85536" w:rsidP="00E85536">
            <w:pPr>
              <w:tabs>
                <w:tab w:val="clear" w:pos="284"/>
                <w:tab w:val="clear" w:pos="1985"/>
              </w:tabs>
              <w:spacing w:before="0" w:after="0" w:line="240" w:lineRule="auto"/>
              <w:jc w:val="center"/>
              <w:rPr>
                <w:rFonts w:eastAsia="Times New Roman" w:cs="Times New Roman"/>
                <w:color w:val="000000"/>
                <w:sz w:val="20"/>
                <w:lang w:eastAsia="uk-UA"/>
              </w:rPr>
            </w:pPr>
            <w:r w:rsidRPr="00E85536">
              <w:rPr>
                <w:rFonts w:eastAsia="Times New Roman" w:cs="Times New Roman"/>
                <w:color w:val="000000"/>
                <w:sz w:val="20"/>
                <w:lang w:eastAsia="uk-UA"/>
              </w:rPr>
              <w:t>37</w:t>
            </w:r>
          </w:p>
        </w:tc>
      </w:tr>
    </w:tbl>
    <w:p w14:paraId="0896B6BC" w14:textId="77777777" w:rsidR="00A14773" w:rsidRPr="00C22C49" w:rsidRDefault="00A14773" w:rsidP="005C2E1F"/>
    <w:p w14:paraId="0896B6BD" w14:textId="77777777" w:rsidR="005C2E1F" w:rsidRPr="00C22C49" w:rsidRDefault="00803DFE" w:rsidP="006E3164">
      <w:pPr>
        <w:pStyle w:val="REDBoldonly"/>
      </w:pPr>
      <w:r w:rsidRPr="00C22C49">
        <w:t>О</w:t>
      </w:r>
      <w:r w:rsidR="005C2E1F" w:rsidRPr="00C22C49">
        <w:t xml:space="preserve">сновні показники управління </w:t>
      </w:r>
      <w:r w:rsidR="00C345B3" w:rsidRPr="00C22C49">
        <w:t xml:space="preserve">побутовими </w:t>
      </w:r>
      <w:r w:rsidR="005C2E1F" w:rsidRPr="00C22C49">
        <w:t xml:space="preserve">відходами </w:t>
      </w:r>
    </w:p>
    <w:p w14:paraId="0896B6BE" w14:textId="77777777" w:rsidR="00ED7CA7" w:rsidRPr="00C22C49" w:rsidRDefault="002959BE" w:rsidP="004827D5">
      <w:r w:rsidRPr="00C22C49">
        <w:t xml:space="preserve">В Україні за 2021 рік утворилось понад 51 млн. м3 побутових відходів, або понад 10 млн. тонн, перероблено та утилізовано близько 7,64% побутових відходів, з них: 1,14% спалено, а 6,5% побутових відходів потрапило на заготівельні пункти вторинної сировини та сміттєпереробні лінії. </w:t>
      </w:r>
      <w:r w:rsidR="004827D5" w:rsidRPr="00C22C49">
        <w:t>Згідно даних</w:t>
      </w:r>
      <w:r w:rsidR="00C07BFA" w:rsidRPr="00C22C49">
        <w:t>, наданих обласними військовими адміністраціями, без урахування відомостей щодо тимчасово окупованих територій,</w:t>
      </w:r>
      <w:r w:rsidR="004827D5" w:rsidRPr="00C22C49">
        <w:t xml:space="preserve"> в населених пунктах України за 2022 рік утворилось майже 39 млн. м3 побутових відходів, або понад 7 млн. тон, які захоронюються на 5,7 тис. сміттєзвалищ і полігонів загальною площею майже 8 тис. га. </w:t>
      </w:r>
      <w:r w:rsidR="00560633" w:rsidRPr="00C22C49">
        <w:t xml:space="preserve">У 2022 році перероблено та утилізовано близько 9,9% побутових відходів, з них: 1,66% спалено, а 8,24% побутових відходів потрапило на заготівельні пункти вторинної сировини та сміттєпереробні лінії. </w:t>
      </w:r>
    </w:p>
    <w:p w14:paraId="0896B6BF" w14:textId="77777777" w:rsidR="005C2E1F" w:rsidRPr="00C22C49" w:rsidRDefault="00B63F33" w:rsidP="006E3164">
      <w:pPr>
        <w:pStyle w:val="REDBoldonly"/>
      </w:pPr>
      <w:r w:rsidRPr="00C22C49">
        <w:t>Х</w:t>
      </w:r>
      <w:r w:rsidR="005C2E1F" w:rsidRPr="00C22C49">
        <w:t xml:space="preserve">арактеристика систем збирання </w:t>
      </w:r>
      <w:r w:rsidR="00C345B3" w:rsidRPr="00C22C49">
        <w:t xml:space="preserve">побутових </w:t>
      </w:r>
      <w:r w:rsidR="005C2E1F" w:rsidRPr="00C22C49">
        <w:t>відходів</w:t>
      </w:r>
    </w:p>
    <w:p w14:paraId="0896B6C0" w14:textId="77777777" w:rsidR="00B63F33" w:rsidRPr="00C22C49" w:rsidRDefault="00B63F33" w:rsidP="000551E4">
      <w:r w:rsidRPr="00C22C49">
        <w:t xml:space="preserve">Станом на 2022 рік, майже </w:t>
      </w:r>
      <w:r w:rsidRPr="00C22C49">
        <w:rPr>
          <w:b/>
          <w:bCs/>
        </w:rPr>
        <w:t>80% населення України охоплено послугами з вивезення побутових відходів</w:t>
      </w:r>
      <w:r w:rsidRPr="00C22C49">
        <w:t>.</w:t>
      </w:r>
      <w:r w:rsidR="00FC3321" w:rsidRPr="00C22C49">
        <w:t xml:space="preserve"> В Україні у 1440 населених пунктах (без урахування відомостей щодо тимчасово окупованих територій, а також східних та південних регіонів України, які через військову агресію з боку Російської Федерації не мали можливості надати повну інформацію) впроваджується роздільне збирання побутових відходів</w:t>
      </w:r>
      <w:r w:rsidR="00637B88" w:rsidRPr="00C22C49">
        <w:t>, яким охоплено</w:t>
      </w:r>
      <w:r w:rsidR="00FC3321" w:rsidRPr="00C22C49">
        <w:t xml:space="preserve"> </w:t>
      </w:r>
      <w:r w:rsidR="00E54259" w:rsidRPr="00C22C49">
        <w:t xml:space="preserve">72% </w:t>
      </w:r>
      <w:r w:rsidR="00637B88" w:rsidRPr="00C22C49">
        <w:t>мешканців.</w:t>
      </w:r>
      <w:r w:rsidR="00987240" w:rsidRPr="00C22C49">
        <w:t xml:space="preserve"> </w:t>
      </w:r>
      <w:r w:rsidR="00676835" w:rsidRPr="00C22C49">
        <w:t xml:space="preserve">Загалом близько </w:t>
      </w:r>
      <w:r w:rsidR="00676835" w:rsidRPr="00C22C49">
        <w:rPr>
          <w:b/>
          <w:bCs/>
        </w:rPr>
        <w:t>30% населення країни о</w:t>
      </w:r>
      <w:r w:rsidR="00AE32CA" w:rsidRPr="00C22C49">
        <w:rPr>
          <w:b/>
          <w:bCs/>
        </w:rPr>
        <w:t>хоплен</w:t>
      </w:r>
      <w:r w:rsidR="00676835" w:rsidRPr="00C22C49">
        <w:rPr>
          <w:b/>
          <w:bCs/>
        </w:rPr>
        <w:t>о</w:t>
      </w:r>
      <w:r w:rsidR="00AE32CA" w:rsidRPr="00C22C49">
        <w:rPr>
          <w:b/>
          <w:bCs/>
        </w:rPr>
        <w:t xml:space="preserve"> роздільним збиранням</w:t>
      </w:r>
      <w:r w:rsidR="00AE32CA" w:rsidRPr="00C22C49">
        <w:t xml:space="preserve"> </w:t>
      </w:r>
      <w:r w:rsidR="00AE32CA" w:rsidRPr="00C22C49">
        <w:rPr>
          <w:b/>
          <w:bCs/>
        </w:rPr>
        <w:t>відходів</w:t>
      </w:r>
      <w:r w:rsidR="00676835" w:rsidRPr="00C22C49">
        <w:rPr>
          <w:b/>
          <w:bCs/>
        </w:rPr>
        <w:t>.</w:t>
      </w:r>
      <w:r w:rsidR="00AE32CA" w:rsidRPr="00C22C49">
        <w:t xml:space="preserve"> </w:t>
      </w:r>
      <w:r w:rsidR="00464251" w:rsidRPr="00C22C49">
        <w:t xml:space="preserve">Надання послуг з поводження з побутовими відходами </w:t>
      </w:r>
      <w:r w:rsidR="00566410" w:rsidRPr="00C22C49">
        <w:t xml:space="preserve">мало </w:t>
      </w:r>
      <w:r w:rsidR="00ED1F47" w:rsidRPr="00C22C49">
        <w:t>здійснюватися</w:t>
      </w:r>
      <w:r w:rsidR="00464251" w:rsidRPr="00C22C49">
        <w:t xml:space="preserve"> відповідно до схеми санітарного очищення населених пунктів із забезпеченням роздільного збирання побутових відходів</w:t>
      </w:r>
      <w:r w:rsidR="00566410" w:rsidRPr="00C22C49">
        <w:t xml:space="preserve">. </w:t>
      </w:r>
      <w:r w:rsidR="000551E4" w:rsidRPr="00C22C49">
        <w:t>Методика роздільного збирання побутових відходів</w:t>
      </w:r>
      <w:r w:rsidR="00012846" w:rsidRPr="00C22C49">
        <w:t xml:space="preserve"> передбачає технологічн</w:t>
      </w:r>
      <w:r w:rsidR="00F159B3" w:rsidRPr="00C22C49">
        <w:t xml:space="preserve">і </w:t>
      </w:r>
      <w:r w:rsidR="00012846" w:rsidRPr="00C22C49">
        <w:t>схем</w:t>
      </w:r>
      <w:r w:rsidR="00F159B3" w:rsidRPr="00C22C49">
        <w:t>и</w:t>
      </w:r>
      <w:r w:rsidR="00012846" w:rsidRPr="00C22C49">
        <w:t xml:space="preserve"> </w:t>
      </w:r>
      <w:r w:rsidR="00F159B3" w:rsidRPr="00C22C49">
        <w:t>із використанням від 2 до 5 контейнерів.</w:t>
      </w:r>
      <w:r w:rsidR="000551E4" w:rsidRPr="00C22C49">
        <w:t xml:space="preserve"> </w:t>
      </w:r>
      <w:r w:rsidR="00511FBF" w:rsidRPr="00C22C49">
        <w:t>У дрібних населених пунктах п</w:t>
      </w:r>
      <w:r w:rsidR="003A502B" w:rsidRPr="00C22C49">
        <w:t>оширеною є практика використання 1 контейнеру для збирання</w:t>
      </w:r>
      <w:r w:rsidR="00511FBF" w:rsidRPr="00C22C49">
        <w:t xml:space="preserve"> лише</w:t>
      </w:r>
      <w:r w:rsidR="003A502B" w:rsidRPr="00C22C49">
        <w:t xml:space="preserve"> ПЕТ-пляшки</w:t>
      </w:r>
      <w:r w:rsidR="006A6390" w:rsidRPr="00C22C49">
        <w:t xml:space="preserve"> чи</w:t>
      </w:r>
      <w:r w:rsidR="0057696E" w:rsidRPr="00C22C49">
        <w:t xml:space="preserve"> пластик</w:t>
      </w:r>
      <w:r w:rsidR="00511FBF" w:rsidRPr="00C22C49">
        <w:t xml:space="preserve">. </w:t>
      </w:r>
      <w:r w:rsidR="007D42AC" w:rsidRPr="00C22C49">
        <w:t xml:space="preserve">У містах використовується 2-контейнерна схема із збиранням </w:t>
      </w:r>
      <w:r w:rsidR="00E71B2F" w:rsidRPr="00C22C49">
        <w:t>«сухої фракції» ресурсоцінних компонентів та змішаних</w:t>
      </w:r>
      <w:r w:rsidR="00E93284" w:rsidRPr="00C22C49">
        <w:t xml:space="preserve"> відходів або 3-контейнерна із різними варіаціями збирання відходів пластику, паперу, скла та металу. </w:t>
      </w:r>
    </w:p>
    <w:p w14:paraId="0896B6C1" w14:textId="77777777" w:rsidR="006E3164" w:rsidRPr="00C22C49" w:rsidRDefault="006E3164" w:rsidP="006E3164">
      <w:pPr>
        <w:pStyle w:val="REDBoldonly"/>
      </w:pPr>
      <w:r w:rsidRPr="00C22C49">
        <w:t xml:space="preserve">Коротка характеристика об’єктів оброблення </w:t>
      </w:r>
      <w:r w:rsidR="00175716" w:rsidRPr="00C22C49">
        <w:t xml:space="preserve">побутових </w:t>
      </w:r>
      <w:r w:rsidRPr="00C22C49">
        <w:t>відходів</w:t>
      </w:r>
    </w:p>
    <w:p w14:paraId="0896B6C2" w14:textId="77777777" w:rsidR="005C2E1F" w:rsidRPr="00C22C49" w:rsidRDefault="00ED1F47" w:rsidP="005C2E1F">
      <w:r w:rsidRPr="00C22C49">
        <w:rPr>
          <w:b/>
          <w:bCs/>
        </w:rPr>
        <w:t>К</w:t>
      </w:r>
      <w:r w:rsidR="005C2E1F" w:rsidRPr="00C22C49">
        <w:rPr>
          <w:b/>
          <w:bCs/>
        </w:rPr>
        <w:t>оротка характеристика об’єктів оброблення відходів</w:t>
      </w:r>
      <w:r w:rsidR="005C2E1F" w:rsidRPr="00C22C49">
        <w:t>, зокрема таких, що здійснюють оброблення небезпечних відходів;</w:t>
      </w:r>
    </w:p>
    <w:p w14:paraId="0896B6C3" w14:textId="77777777" w:rsidR="005C2E1F" w:rsidRPr="00C22C49" w:rsidRDefault="00ED1F47" w:rsidP="00FD1A3A">
      <w:r w:rsidRPr="00C22C49">
        <w:t xml:space="preserve">Наразі, управління побутовими відходами в Україні в основному базується на технологіях невисокого рівня, які спрямовані на їхнє </w:t>
      </w:r>
      <w:r w:rsidR="00EF44D3" w:rsidRPr="00C22C49">
        <w:t>пер</w:t>
      </w:r>
      <w:r w:rsidR="003F4CB7" w:rsidRPr="00C22C49">
        <w:t xml:space="preserve">еважне </w:t>
      </w:r>
      <w:r w:rsidRPr="00C22C49">
        <w:t>захоронення.</w:t>
      </w:r>
    </w:p>
    <w:p w14:paraId="0896B6C4" w14:textId="77777777" w:rsidR="00ED1F47" w:rsidRPr="00C22C49" w:rsidRDefault="00A0706A" w:rsidP="00FD1A3A">
      <w:r w:rsidRPr="00C22C49">
        <w:t xml:space="preserve">У 26 населених пунктах працюють </w:t>
      </w:r>
      <w:r w:rsidRPr="00C22C49">
        <w:rPr>
          <w:b/>
          <w:bCs/>
        </w:rPr>
        <w:t>31 сміттєсортувальна лінія</w:t>
      </w:r>
      <w:r w:rsidR="00FF58AC" w:rsidRPr="00C22C49">
        <w:t xml:space="preserve">. Утилізація побутових відходів здійснюється на </w:t>
      </w:r>
      <w:r w:rsidR="00CA7518" w:rsidRPr="00C22C49">
        <w:rPr>
          <w:b/>
          <w:bCs/>
        </w:rPr>
        <w:t xml:space="preserve">одному </w:t>
      </w:r>
      <w:r w:rsidR="00FF58AC" w:rsidRPr="00C22C49">
        <w:rPr>
          <w:b/>
          <w:bCs/>
        </w:rPr>
        <w:t>сміттєспалювальному заводі в місті Києві</w:t>
      </w:r>
      <w:r w:rsidR="00AC4852" w:rsidRPr="00C22C49">
        <w:t>.</w:t>
      </w:r>
    </w:p>
    <w:p w14:paraId="0896B6C5" w14:textId="77777777" w:rsidR="00AC4852" w:rsidRPr="00C22C49" w:rsidRDefault="003F4CB7" w:rsidP="00FD1A3A">
      <w:r w:rsidRPr="00C22C49">
        <w:rPr>
          <w:b/>
          <w:bCs/>
        </w:rPr>
        <w:t xml:space="preserve">Діє </w:t>
      </w:r>
      <w:r w:rsidR="00391839" w:rsidRPr="00C22C49">
        <w:rPr>
          <w:b/>
          <w:bCs/>
        </w:rPr>
        <w:t>5,7 тис. сміттєзвалищ і полігонів</w:t>
      </w:r>
      <w:r w:rsidR="00391839" w:rsidRPr="00C22C49">
        <w:t xml:space="preserve"> загальною площею майже 8 тис. га</w:t>
      </w:r>
      <w:r w:rsidR="003440AB" w:rsidRPr="00C22C49">
        <w:t>, 40% з них потребують рекультивації</w:t>
      </w:r>
      <w:r w:rsidR="007A6D98" w:rsidRPr="00C22C49">
        <w:t xml:space="preserve">. </w:t>
      </w:r>
      <w:r w:rsidR="00F60296" w:rsidRPr="00C22C49">
        <w:t xml:space="preserve">Лише близько </w:t>
      </w:r>
      <w:r w:rsidR="00F60296" w:rsidRPr="00C22C49">
        <w:rPr>
          <w:b/>
          <w:bCs/>
        </w:rPr>
        <w:t>120 полігонів відповідають нормам ДБН</w:t>
      </w:r>
      <w:r w:rsidR="00EF44D3" w:rsidRPr="00C22C49">
        <w:t>.</w:t>
      </w:r>
      <w:r w:rsidRPr="00C22C49">
        <w:t xml:space="preserve"> </w:t>
      </w:r>
      <w:r w:rsidR="00AC4852" w:rsidRPr="00C22C49">
        <w:t>На 55 полігонах наявна система збирання фільтрату, в тому числі на 50 полігонах наявна система знезараження фільтрату, на інших – влаштовано резервуари накопичувачі, звідки періодично фільтрат транспортується на очисні споруди.</w:t>
      </w:r>
      <w:r w:rsidR="00FB7144" w:rsidRPr="00C22C49">
        <w:t xml:space="preserve"> На 18 полігонах влаштовано систему вилучення біогазу та  експлуатуються когенераційні установки.</w:t>
      </w:r>
    </w:p>
    <w:p w14:paraId="0896B6C6" w14:textId="77777777" w:rsidR="006E3164" w:rsidRPr="00C22C49" w:rsidRDefault="00D968F7" w:rsidP="006E3164">
      <w:pPr>
        <w:pStyle w:val="REDBoldonly"/>
      </w:pPr>
      <w:r w:rsidRPr="00C22C49">
        <w:t xml:space="preserve">Основними проблемами системи </w:t>
      </w:r>
      <w:r w:rsidR="00C73177" w:rsidRPr="00C22C49">
        <w:t>управління</w:t>
      </w:r>
      <w:r w:rsidRPr="00C22C49">
        <w:t xml:space="preserve"> </w:t>
      </w:r>
      <w:r w:rsidR="00271246" w:rsidRPr="00C22C49">
        <w:t xml:space="preserve">побутовими </w:t>
      </w:r>
      <w:r w:rsidRPr="00C22C49">
        <w:t>відходами і її функціонування є:</w:t>
      </w:r>
    </w:p>
    <w:p w14:paraId="0896B6C7" w14:textId="77777777" w:rsidR="006E3164" w:rsidRPr="00C22C49" w:rsidRDefault="009F1A01" w:rsidP="003466DC">
      <w:pPr>
        <w:pStyle w:val="a7"/>
        <w:numPr>
          <w:ilvl w:val="0"/>
          <w:numId w:val="19"/>
        </w:numPr>
      </w:pPr>
      <w:r w:rsidRPr="00C22C49">
        <w:rPr>
          <w:b/>
          <w:bCs/>
        </w:rPr>
        <w:t>Неповн</w:t>
      </w:r>
      <w:r w:rsidR="00F876AA" w:rsidRPr="00C22C49">
        <w:rPr>
          <w:b/>
          <w:bCs/>
        </w:rPr>
        <w:t>і</w:t>
      </w:r>
      <w:r w:rsidRPr="00C22C49">
        <w:rPr>
          <w:b/>
          <w:bCs/>
        </w:rPr>
        <w:t xml:space="preserve"> та</w:t>
      </w:r>
      <w:r w:rsidR="00F876AA" w:rsidRPr="00C22C49">
        <w:rPr>
          <w:b/>
          <w:bCs/>
        </w:rPr>
        <w:t xml:space="preserve"> неякісні дані утворення та </w:t>
      </w:r>
      <w:r w:rsidR="00B26D34" w:rsidRPr="00C22C49">
        <w:rPr>
          <w:b/>
          <w:bCs/>
        </w:rPr>
        <w:t>управління побутовими</w:t>
      </w:r>
      <w:r w:rsidR="00F876AA" w:rsidRPr="00C22C49">
        <w:rPr>
          <w:b/>
          <w:bCs/>
        </w:rPr>
        <w:t xml:space="preserve"> відходами.</w:t>
      </w:r>
      <w:r w:rsidR="00F876AA" w:rsidRPr="00C22C49">
        <w:t xml:space="preserve"> </w:t>
      </w:r>
    </w:p>
    <w:p w14:paraId="0896B6C8" w14:textId="77777777" w:rsidR="009F1A01" w:rsidRPr="00C22C49" w:rsidRDefault="00B26D34" w:rsidP="00D968F7">
      <w:r w:rsidRPr="00C22C49">
        <w:t>Ф</w:t>
      </w:r>
      <w:r w:rsidR="009F1A01" w:rsidRPr="00C22C49">
        <w:t>орм</w:t>
      </w:r>
      <w:r w:rsidRPr="00C22C49">
        <w:t>а</w:t>
      </w:r>
      <w:r w:rsidR="009F1A01" w:rsidRPr="00C22C49">
        <w:t xml:space="preserve"> звітності </w:t>
      </w:r>
      <w:r w:rsidR="00DB6E90" w:rsidRPr="00C22C49">
        <w:t>«</w:t>
      </w:r>
      <w:r w:rsidRPr="00C22C49">
        <w:t>1</w:t>
      </w:r>
      <w:r w:rsidR="00DB6E90" w:rsidRPr="00C22C49">
        <w:t>-</w:t>
      </w:r>
      <w:r w:rsidRPr="00C22C49">
        <w:t>ТПВ</w:t>
      </w:r>
      <w:r w:rsidR="00DB6E90" w:rsidRPr="00C22C49">
        <w:t>»</w:t>
      </w:r>
      <w:r w:rsidR="009F1A01" w:rsidRPr="00C22C49">
        <w:t xml:space="preserve"> врахову</w:t>
      </w:r>
      <w:r w:rsidRPr="00C22C49">
        <w:t>є</w:t>
      </w:r>
      <w:r w:rsidR="009F1A01" w:rsidRPr="00C22C49">
        <w:t xml:space="preserve"> лише обсяги відходів, </w:t>
      </w:r>
      <w:r w:rsidRPr="00C22C49">
        <w:t xml:space="preserve">що </w:t>
      </w:r>
      <w:r w:rsidR="009F1A01" w:rsidRPr="00C22C49">
        <w:t>утворю</w:t>
      </w:r>
      <w:r w:rsidRPr="00C22C49">
        <w:t>є</w:t>
      </w:r>
      <w:r w:rsidR="009F1A01" w:rsidRPr="00C22C49">
        <w:t xml:space="preserve"> населення. Від 10 до 30% побутових відходів утворюваних організаціями, установами, підприємствами всіх форм власності знаходяться поза статистичним обліком та контролем з боку ОМС, хоча в подальшому потрапляють на об'єкти відновлення та видалення. </w:t>
      </w:r>
      <w:r w:rsidR="004136C2" w:rsidRPr="00C22C49">
        <w:t>Державний облік та статистика побутових відходів в Україні мають суттєві недоліки через ведення обліку як об’ємними ( м куб.) , так і ваговими (кг, т)  категоріями, Коливання маси відходів в 1 м куб. в населених пунктах знаходиться в межах 150-300 кг,  що призводить до значних похибок при визначенні обсягів утворюваних відходів на всіх рівнях.</w:t>
      </w:r>
    </w:p>
    <w:p w14:paraId="0896B6C9" w14:textId="77777777" w:rsidR="006E3164" w:rsidRPr="00C22C49" w:rsidRDefault="00684F43" w:rsidP="003466DC">
      <w:pPr>
        <w:pStyle w:val="a7"/>
        <w:numPr>
          <w:ilvl w:val="0"/>
          <w:numId w:val="19"/>
        </w:numPr>
      </w:pPr>
      <w:r w:rsidRPr="00C22C49">
        <w:rPr>
          <w:b/>
          <w:bCs/>
        </w:rPr>
        <w:t>Не прозора процедура проведення конкурсів на визначення виконавців послуг поводження з відходами.</w:t>
      </w:r>
      <w:r w:rsidRPr="00C22C49">
        <w:t xml:space="preserve"> </w:t>
      </w:r>
    </w:p>
    <w:p w14:paraId="0896B6CA" w14:textId="77777777" w:rsidR="00684F43" w:rsidRPr="00C22C49" w:rsidRDefault="00684F43" w:rsidP="00D968F7">
      <w:r w:rsidRPr="00C22C49">
        <w:t>В багатьох випадках конкурси проводяться (розігруються) між операторами ринку або їх дочірніми чи пов'язаними структурами, що не сприяє покращенню якості надання послуг.</w:t>
      </w:r>
    </w:p>
    <w:p w14:paraId="0896B6CB" w14:textId="77777777" w:rsidR="00DB75B1" w:rsidRPr="00C22C49" w:rsidRDefault="00AF3794" w:rsidP="00D968F7">
      <w:r w:rsidRPr="00C22C49">
        <w:rPr>
          <w:b/>
        </w:rPr>
        <w:t>Застаріла матеріально-технічна база</w:t>
      </w:r>
      <w:r w:rsidRPr="00C22C49">
        <w:t xml:space="preserve"> підприємств сфери управління відходами та відсутність програм її оновлення і модернізації через недосконалість механізмів тарифоутворення за надавані послуги.</w:t>
      </w:r>
    </w:p>
    <w:p w14:paraId="0896B6CC" w14:textId="77777777" w:rsidR="00D82A1F" w:rsidRPr="00C22C49" w:rsidRDefault="00684F43" w:rsidP="00D968F7">
      <w:r w:rsidRPr="00C22C49">
        <w:rPr>
          <w:b/>
        </w:rPr>
        <w:t>Н</w:t>
      </w:r>
      <w:r w:rsidR="00D82A1F" w:rsidRPr="00C22C49">
        <w:rPr>
          <w:b/>
        </w:rPr>
        <w:t>едостатнє фінансування</w:t>
      </w:r>
      <w:r w:rsidR="00D82A1F" w:rsidRPr="00C22C49">
        <w:t xml:space="preserve"> управління побутовими відходами</w:t>
      </w:r>
      <w:r w:rsidR="00A06326" w:rsidRPr="00C22C49">
        <w:t xml:space="preserve">. </w:t>
      </w:r>
      <w:r w:rsidR="0029009A" w:rsidRPr="00C22C49">
        <w:t>УВ</w:t>
      </w:r>
      <w:r w:rsidR="00D82A1F" w:rsidRPr="00C22C49">
        <w:t xml:space="preserve"> базується на низькотехнологічних підходах та орієнтоване на захоронення на полігонах</w:t>
      </w:r>
      <w:r w:rsidR="00F36E31" w:rsidRPr="00C22C49">
        <w:t>.</w:t>
      </w:r>
      <w:r w:rsidR="0029009A" w:rsidRPr="00C22C49">
        <w:t xml:space="preserve"> Використовується застаріла матеріально-технічна база підприємств сфери управління відходами та відсутні програми її оновлення і модернізації.</w:t>
      </w:r>
    </w:p>
    <w:p w14:paraId="0896B6CD" w14:textId="77777777" w:rsidR="00F36E31" w:rsidRPr="00C22C49" w:rsidRDefault="00F36E31" w:rsidP="00D968F7">
      <w:r w:rsidRPr="00C22C49">
        <w:rPr>
          <w:b/>
        </w:rPr>
        <w:t>Низькі тарифи</w:t>
      </w:r>
      <w:r w:rsidRPr="00C22C49">
        <w:t xml:space="preserve"> на послуги із захоронення відходів не створюють для суб’єктів господарювання і місцевих органів влади стимулів для </w:t>
      </w:r>
      <w:r w:rsidR="006327D2" w:rsidRPr="00C22C49">
        <w:t>оброблення</w:t>
      </w:r>
      <w:r w:rsidRPr="00C22C49">
        <w:t xml:space="preserve"> та видалення  відходів, оскільки не включаються в тарифи на етапі їх формування. </w:t>
      </w:r>
    </w:p>
    <w:p w14:paraId="0896B6CE" w14:textId="77777777" w:rsidR="006327D2" w:rsidRPr="00C22C49" w:rsidRDefault="006327D2" w:rsidP="00D968F7">
      <w:r w:rsidRPr="00C22C49">
        <w:t>Через недостатнє фінансове забезпечення відсутня конкуренція серед операторів ринку, що суттєво впливає на якість надаваних послуг  та розвиток сфери</w:t>
      </w:r>
      <w:r w:rsidR="00F60D9F" w:rsidRPr="00C22C49">
        <w:t>.</w:t>
      </w:r>
    </w:p>
    <w:p w14:paraId="0896B6CF" w14:textId="77777777" w:rsidR="00117C34" w:rsidRPr="00C22C49" w:rsidRDefault="00F60D9F" w:rsidP="003466DC">
      <w:pPr>
        <w:pStyle w:val="a7"/>
        <w:numPr>
          <w:ilvl w:val="0"/>
          <w:numId w:val="19"/>
        </w:numPr>
      </w:pPr>
      <w:r w:rsidRPr="00C22C49">
        <w:rPr>
          <w:bCs/>
        </w:rPr>
        <w:t>Відсутність порядку закриття та ліквідації існуючих стихійних звалищ та полігонів, що не відповідають нормативним документам, а також моніторингу цих територій.</w:t>
      </w:r>
      <w:r w:rsidR="00CF1D8E" w:rsidRPr="00C22C49">
        <w:t xml:space="preserve"> </w:t>
      </w:r>
    </w:p>
    <w:p w14:paraId="0896B6D0" w14:textId="77777777" w:rsidR="00720A82" w:rsidRPr="00C22C49" w:rsidRDefault="00117C34" w:rsidP="003466DC">
      <w:pPr>
        <w:pStyle w:val="a7"/>
        <w:numPr>
          <w:ilvl w:val="0"/>
          <w:numId w:val="19"/>
        </w:numPr>
      </w:pPr>
      <w:r w:rsidRPr="00C22C49">
        <w:rPr>
          <w:bCs/>
        </w:rPr>
        <w:t xml:space="preserve">Здійснення видалення відходів </w:t>
      </w:r>
      <w:r w:rsidR="00DD4310" w:rsidRPr="00C22C49">
        <w:rPr>
          <w:bCs/>
        </w:rPr>
        <w:t>відкритим способом</w:t>
      </w:r>
      <w:r w:rsidR="00143BEE" w:rsidRPr="00C22C49">
        <w:rPr>
          <w:bCs/>
        </w:rPr>
        <w:t xml:space="preserve"> на невідповідні об’єкти з видалення</w:t>
      </w:r>
      <w:r w:rsidR="00143BEE" w:rsidRPr="00C22C49">
        <w:t xml:space="preserve">. </w:t>
      </w:r>
    </w:p>
    <w:p w14:paraId="0896B6D1" w14:textId="77777777" w:rsidR="00F60D9F" w:rsidRPr="00C22C49" w:rsidRDefault="00CF1D8E" w:rsidP="00D968F7">
      <w:r w:rsidRPr="00C22C49">
        <w:t>В Україні з 6 тис. офіційно зареєстрованих полігонів з яких більше 30% не відповідає екологічним вимогам та понад 99% європейським вимогам (Директиві Ради № 1999/31/ЄС від 26 квітня 1999 р. “Про захоронення відходів”)</w:t>
      </w:r>
      <w:r w:rsidR="00982E1D" w:rsidRPr="00C22C49">
        <w:t>.</w:t>
      </w:r>
    </w:p>
    <w:p w14:paraId="0896B6D2" w14:textId="77777777" w:rsidR="00720A82" w:rsidRPr="00C22C49" w:rsidRDefault="00720A82" w:rsidP="003466DC">
      <w:pPr>
        <w:pStyle w:val="a7"/>
        <w:numPr>
          <w:ilvl w:val="0"/>
          <w:numId w:val="19"/>
        </w:numPr>
        <w:rPr>
          <w:b/>
          <w:bCs/>
        </w:rPr>
      </w:pPr>
      <w:r w:rsidRPr="00C22C49">
        <w:rPr>
          <w:b/>
          <w:bCs/>
        </w:rPr>
        <w:t>Відсутні</w:t>
      </w:r>
      <w:r w:rsidR="0058773D" w:rsidRPr="00C22C49">
        <w:rPr>
          <w:b/>
          <w:bCs/>
        </w:rPr>
        <w:t>сть</w:t>
      </w:r>
      <w:r w:rsidRPr="00C22C49">
        <w:rPr>
          <w:b/>
          <w:bCs/>
        </w:rPr>
        <w:t xml:space="preserve"> більшість професій для сфери управління відходами</w:t>
      </w:r>
    </w:p>
    <w:p w14:paraId="0896B6D3" w14:textId="77777777" w:rsidR="00982E1D" w:rsidRPr="00C22C49" w:rsidRDefault="00982E1D" w:rsidP="00D968F7">
      <w:r w:rsidRPr="00C22C49">
        <w:t xml:space="preserve">В "Класифікаторі професій" відсутні більшість професій для сфери управління відходами, в т.ч. технічних, що потребує внесення відповідних змін та   вирішення проблема підготовки та перепідготовки цих кадрів на всіх рівнях. Брак фахівців пояснюється значною текучістю кадрів через низький рівень оплати праці та непрестижністю даних професій в суспільстві.  </w:t>
      </w:r>
    </w:p>
    <w:p w14:paraId="0896B6D4" w14:textId="77777777" w:rsidR="00EE4504" w:rsidRPr="00C22C49" w:rsidRDefault="00EE4504" w:rsidP="00D968F7"/>
    <w:p w14:paraId="0896B6D5" w14:textId="77777777" w:rsidR="00FD1A3A" w:rsidRPr="00C22C49" w:rsidRDefault="0058773D" w:rsidP="0009065A">
      <w:pPr>
        <w:pStyle w:val="Heading4boldRED"/>
        <w:rPr>
          <w:rStyle w:val="affe"/>
          <w:iCs w:val="0"/>
          <w:sz w:val="26"/>
          <w:lang w:val="uk-UA"/>
        </w:rPr>
      </w:pPr>
      <w:r w:rsidRPr="00C22C49">
        <w:rPr>
          <w:rStyle w:val="affe"/>
          <w:iCs w:val="0"/>
          <w:sz w:val="26"/>
          <w:lang w:val="uk-UA"/>
        </w:rPr>
        <w:t>Небезпечні відходи</w:t>
      </w:r>
    </w:p>
    <w:p w14:paraId="0896B6D6" w14:textId="77777777" w:rsidR="00433CD7" w:rsidRPr="00C22C49" w:rsidRDefault="00433CD7" w:rsidP="00720A82">
      <w:pPr>
        <w:pStyle w:val="REDBoldonly"/>
      </w:pPr>
      <w:r w:rsidRPr="00C22C49">
        <w:t>Основні утворювачі небезпечних відходів</w:t>
      </w:r>
    </w:p>
    <w:p w14:paraId="0896B6D7" w14:textId="77777777" w:rsidR="00B52E69" w:rsidRPr="00C22C49" w:rsidRDefault="00B52E69" w:rsidP="00B52E69">
      <w:r w:rsidRPr="00C22C49">
        <w:t xml:space="preserve">Небезпечні відходи, що утворюються на території України, можна розділити за наступними джерелами: </w:t>
      </w:r>
    </w:p>
    <w:p w14:paraId="0896B6D8" w14:textId="77777777" w:rsidR="00B52E69" w:rsidRPr="00C22C49" w:rsidRDefault="00B52E69" w:rsidP="00B52E69">
      <w:pPr>
        <w:pStyle w:val="BulletRED"/>
      </w:pPr>
      <w:r w:rsidRPr="00C22C49">
        <w:t xml:space="preserve">організації та установи всіх форм власності; </w:t>
      </w:r>
    </w:p>
    <w:p w14:paraId="0896B6D9" w14:textId="77777777" w:rsidR="00B52E69" w:rsidRPr="00C22C49" w:rsidRDefault="00B52E69" w:rsidP="00B52E69">
      <w:pPr>
        <w:pStyle w:val="BulletRED"/>
      </w:pPr>
      <w:r w:rsidRPr="00C22C49">
        <w:t xml:space="preserve">промислові підприємства; </w:t>
      </w:r>
    </w:p>
    <w:p w14:paraId="0896B6DA" w14:textId="77777777" w:rsidR="00B52E69" w:rsidRPr="00C22C49" w:rsidRDefault="00B52E69" w:rsidP="00B52E69">
      <w:pPr>
        <w:pStyle w:val="BulletRED"/>
      </w:pPr>
      <w:r w:rsidRPr="00C22C49">
        <w:t xml:space="preserve">сільськогосподарські підприємства; </w:t>
      </w:r>
    </w:p>
    <w:p w14:paraId="0896B6DB" w14:textId="77777777" w:rsidR="00433CD7" w:rsidRPr="00C22C49" w:rsidRDefault="00B52E69" w:rsidP="00B52E69">
      <w:pPr>
        <w:pStyle w:val="BulletRED"/>
      </w:pPr>
      <w:r w:rsidRPr="00C22C49">
        <w:t>діяльність з утримання та обслуговування автотранспорту;</w:t>
      </w:r>
    </w:p>
    <w:p w14:paraId="0896B6DC" w14:textId="77777777" w:rsidR="00433CD7" w:rsidRPr="00C22C49" w:rsidRDefault="00433CD7" w:rsidP="00433CD7">
      <w:pPr>
        <w:pStyle w:val="BulletRED"/>
      </w:pPr>
      <w:r w:rsidRPr="00C22C49">
        <w:t>медичні заклади;</w:t>
      </w:r>
    </w:p>
    <w:p w14:paraId="0896B6DD" w14:textId="77777777" w:rsidR="00433CD7" w:rsidRPr="00C22C49" w:rsidRDefault="00433CD7" w:rsidP="00433CD7">
      <w:pPr>
        <w:pStyle w:val="BulletRED"/>
      </w:pPr>
      <w:r w:rsidRPr="00C22C49">
        <w:t>домогосподарства, тощо.</w:t>
      </w:r>
    </w:p>
    <w:p w14:paraId="0896B6DE" w14:textId="77777777" w:rsidR="009B26A5" w:rsidRPr="00C22C49" w:rsidRDefault="009B26A5" w:rsidP="00720A82">
      <w:pPr>
        <w:pStyle w:val="REDBoldonly"/>
      </w:pPr>
      <w:r w:rsidRPr="00C22C49">
        <w:t>О</w:t>
      </w:r>
      <w:r w:rsidR="005C2E1F" w:rsidRPr="00C22C49">
        <w:t xml:space="preserve">сновні показники управління </w:t>
      </w:r>
      <w:r w:rsidRPr="00C22C49">
        <w:t xml:space="preserve">небезпечними </w:t>
      </w:r>
      <w:r w:rsidR="005C2E1F" w:rsidRPr="00C22C49">
        <w:t xml:space="preserve">відходами </w:t>
      </w:r>
    </w:p>
    <w:p w14:paraId="0896B6DF" w14:textId="77777777" w:rsidR="00DD1B84" w:rsidRPr="00C22C49" w:rsidRDefault="00DD1B84" w:rsidP="00A5047F">
      <w:r w:rsidRPr="00C22C49">
        <w:t xml:space="preserve">Проведений аналіз обсягів утворення та управління відходами I - III класів небезпеки в 2010-2022 рр. показав їх суттєве зменшення як в абсолютних ( з 1659,9 до 498,0 тис. т/рік) так і відносних величинах (з 36 до 12,2 кг на одну особу за рік), що в кінцевому підсумку дало екологічний ефект, оскільки знизилось накопичення відходів протягом експлуатації у місцях їх видалення ( з 26,9 до 19,7 кг/км2 території). </w:t>
      </w:r>
      <w:r w:rsidR="00B44125" w:rsidRPr="00C22C49">
        <w:t>При цьому суттєво змінилась структура утворюваних відходів за рахунок зменшення обсягів утворення відходів ІІ класу небезпеки з 30,52% до 6,51% та зростання з 69,2% до 93,1% відходів ІІІ класу небезпеки .Обсяги утворення небезпечних відходів за класами представлені в таблиці нижче.</w:t>
      </w:r>
    </w:p>
    <w:p w14:paraId="0896B6E0" w14:textId="2CBE490E" w:rsidR="009B26A5" w:rsidRPr="00C22C49" w:rsidRDefault="001E3C57" w:rsidP="001E3C57">
      <w:pPr>
        <w:pStyle w:val="ad"/>
        <w:rPr>
          <w:lang w:val="uk-UA"/>
        </w:rPr>
      </w:pPr>
      <w:bookmarkStart w:id="17" w:name="_Toc142262251"/>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4</w:t>
      </w:r>
      <w:r w:rsidR="005E0A06" w:rsidRPr="00C22C49">
        <w:rPr>
          <w:lang w:val="uk-UA"/>
        </w:rPr>
        <w:fldChar w:fldCharType="end"/>
      </w:r>
      <w:r w:rsidRPr="00C22C49">
        <w:rPr>
          <w:lang w:val="uk-UA"/>
        </w:rPr>
        <w:t xml:space="preserve">. </w:t>
      </w:r>
      <w:r w:rsidR="00B31E10" w:rsidRPr="00C22C49">
        <w:rPr>
          <w:lang w:val="uk-UA"/>
        </w:rPr>
        <w:t xml:space="preserve">Утворення відходів I-III класів небезпеки за категоріями матеріалів, </w:t>
      </w:r>
      <w:r w:rsidR="00857E56" w:rsidRPr="00C22C49">
        <w:rPr>
          <w:lang w:val="uk-UA"/>
        </w:rPr>
        <w:t>тис.</w:t>
      </w:r>
      <w:r w:rsidR="00B31E10" w:rsidRPr="00C22C49">
        <w:rPr>
          <w:lang w:val="uk-UA"/>
        </w:rPr>
        <w:t>т</w:t>
      </w:r>
      <w:bookmarkEnd w:id="17"/>
    </w:p>
    <w:tbl>
      <w:tblPr>
        <w:tblStyle w:val="TableGrid"/>
        <w:tblW w:w="4850" w:type="pct"/>
        <w:tblInd w:w="0" w:type="dxa"/>
        <w:tblLook w:val="04A0" w:firstRow="1" w:lastRow="0" w:firstColumn="1" w:lastColumn="0" w:noHBand="0" w:noVBand="1"/>
      </w:tblPr>
      <w:tblGrid>
        <w:gridCol w:w="5001"/>
        <w:gridCol w:w="1105"/>
        <w:gridCol w:w="959"/>
        <w:gridCol w:w="1230"/>
        <w:gridCol w:w="1163"/>
      </w:tblGrid>
      <w:tr w:rsidR="00F95681" w:rsidRPr="00F95681" w14:paraId="0896B6E6" w14:textId="77777777" w:rsidTr="00F95681">
        <w:trPr>
          <w:trHeight w:val="20"/>
        </w:trPr>
        <w:tc>
          <w:tcPr>
            <w:tcW w:w="2644" w:type="pct"/>
            <w:noWrap/>
            <w:hideMark/>
          </w:tcPr>
          <w:p w14:paraId="0896B6E1" w14:textId="77777777" w:rsidR="001E3C57" w:rsidRPr="003339EC" w:rsidRDefault="00861CD3" w:rsidP="0033755C">
            <w:pPr>
              <w:pStyle w:val="Table"/>
              <w:rPr>
                <w:b/>
                <w:bCs/>
                <w:color w:val="000000" w:themeColor="text1"/>
                <w:sz w:val="20"/>
                <w:szCs w:val="20"/>
                <w:lang w:val="uk-UA" w:eastAsia="ru-RU"/>
              </w:rPr>
            </w:pPr>
            <w:r w:rsidRPr="003339EC">
              <w:rPr>
                <w:b/>
                <w:bCs/>
                <w:color w:val="000000" w:themeColor="text1"/>
                <w:sz w:val="20"/>
                <w:szCs w:val="20"/>
                <w:lang w:val="uk-UA" w:eastAsia="ru-RU"/>
              </w:rPr>
              <w:t>Категорії відходів</w:t>
            </w:r>
          </w:p>
        </w:tc>
        <w:tc>
          <w:tcPr>
            <w:tcW w:w="584" w:type="pct"/>
            <w:hideMark/>
          </w:tcPr>
          <w:p w14:paraId="0896B6E2" w14:textId="77777777" w:rsidR="001E3C57" w:rsidRPr="003339EC" w:rsidRDefault="001E3C57" w:rsidP="00FA6D4E">
            <w:pPr>
              <w:pStyle w:val="Table"/>
              <w:jc w:val="center"/>
              <w:rPr>
                <w:b/>
                <w:bCs/>
                <w:color w:val="000000" w:themeColor="text1"/>
                <w:sz w:val="20"/>
                <w:szCs w:val="20"/>
                <w:lang w:val="uk-UA" w:eastAsia="ru-RU"/>
              </w:rPr>
            </w:pPr>
            <w:r w:rsidRPr="003339EC">
              <w:rPr>
                <w:b/>
                <w:bCs/>
                <w:color w:val="000000" w:themeColor="text1"/>
                <w:sz w:val="20"/>
                <w:szCs w:val="20"/>
                <w:lang w:val="uk-UA" w:eastAsia="ru-RU"/>
              </w:rPr>
              <w:t>2015</w:t>
            </w:r>
            <w:r w:rsidR="00861CD3" w:rsidRPr="003339EC">
              <w:rPr>
                <w:b/>
                <w:bCs/>
                <w:color w:val="000000" w:themeColor="text1"/>
                <w:sz w:val="20"/>
                <w:szCs w:val="20"/>
                <w:lang w:val="uk-UA" w:eastAsia="ru-RU"/>
              </w:rPr>
              <w:t>*</w:t>
            </w:r>
          </w:p>
        </w:tc>
        <w:tc>
          <w:tcPr>
            <w:tcW w:w="507" w:type="pct"/>
            <w:hideMark/>
          </w:tcPr>
          <w:p w14:paraId="0896B6E3" w14:textId="77777777" w:rsidR="001E3C57" w:rsidRPr="003339EC" w:rsidRDefault="001E3C57" w:rsidP="00FA6D4E">
            <w:pPr>
              <w:pStyle w:val="Table"/>
              <w:jc w:val="center"/>
              <w:rPr>
                <w:b/>
                <w:bCs/>
                <w:color w:val="000000" w:themeColor="text1"/>
                <w:sz w:val="20"/>
                <w:szCs w:val="20"/>
                <w:lang w:val="uk-UA" w:eastAsia="ru-RU"/>
              </w:rPr>
            </w:pPr>
            <w:r w:rsidRPr="003339EC">
              <w:rPr>
                <w:b/>
                <w:bCs/>
                <w:color w:val="000000" w:themeColor="text1"/>
                <w:sz w:val="20"/>
                <w:szCs w:val="20"/>
                <w:lang w:val="uk-UA" w:eastAsia="ru-RU"/>
              </w:rPr>
              <w:t>2020</w:t>
            </w:r>
            <w:r w:rsidR="00861CD3" w:rsidRPr="003339EC">
              <w:rPr>
                <w:b/>
                <w:bCs/>
                <w:color w:val="000000" w:themeColor="text1"/>
                <w:sz w:val="20"/>
                <w:szCs w:val="20"/>
                <w:lang w:val="uk-UA" w:eastAsia="ru-RU"/>
              </w:rPr>
              <w:t>*</w:t>
            </w:r>
          </w:p>
        </w:tc>
        <w:tc>
          <w:tcPr>
            <w:tcW w:w="650" w:type="pct"/>
            <w:hideMark/>
          </w:tcPr>
          <w:p w14:paraId="0896B6E4" w14:textId="77777777" w:rsidR="001E3C57" w:rsidRPr="003339EC" w:rsidRDefault="001E3C57" w:rsidP="00FA6D4E">
            <w:pPr>
              <w:pStyle w:val="Table"/>
              <w:jc w:val="center"/>
              <w:rPr>
                <w:b/>
                <w:bCs/>
                <w:color w:val="000000" w:themeColor="text1"/>
                <w:sz w:val="20"/>
                <w:szCs w:val="20"/>
                <w:lang w:val="uk-UA" w:eastAsia="ru-RU"/>
              </w:rPr>
            </w:pPr>
            <w:r w:rsidRPr="003339EC">
              <w:rPr>
                <w:b/>
                <w:bCs/>
                <w:color w:val="000000" w:themeColor="text1"/>
                <w:sz w:val="20"/>
                <w:szCs w:val="20"/>
                <w:lang w:val="uk-UA" w:eastAsia="ru-RU"/>
              </w:rPr>
              <w:t>2021</w:t>
            </w:r>
            <w:r w:rsidR="00861CD3" w:rsidRPr="003339EC">
              <w:rPr>
                <w:b/>
                <w:bCs/>
                <w:color w:val="000000" w:themeColor="text1"/>
                <w:sz w:val="20"/>
                <w:szCs w:val="20"/>
                <w:lang w:val="uk-UA" w:eastAsia="ru-RU"/>
              </w:rPr>
              <w:t>**</w:t>
            </w:r>
          </w:p>
        </w:tc>
        <w:tc>
          <w:tcPr>
            <w:tcW w:w="615" w:type="pct"/>
            <w:hideMark/>
          </w:tcPr>
          <w:p w14:paraId="0896B6E5" w14:textId="77777777" w:rsidR="001E3C57" w:rsidRPr="003339EC" w:rsidRDefault="001E3C57" w:rsidP="00FA6D4E">
            <w:pPr>
              <w:pStyle w:val="Table"/>
              <w:jc w:val="center"/>
              <w:rPr>
                <w:b/>
                <w:bCs/>
                <w:color w:val="000000" w:themeColor="text1"/>
                <w:sz w:val="20"/>
                <w:szCs w:val="20"/>
                <w:lang w:val="uk-UA" w:eastAsia="ru-RU"/>
              </w:rPr>
            </w:pPr>
            <w:r w:rsidRPr="003339EC">
              <w:rPr>
                <w:b/>
                <w:bCs/>
                <w:color w:val="000000" w:themeColor="text1"/>
                <w:sz w:val="20"/>
                <w:szCs w:val="20"/>
                <w:lang w:val="uk-UA" w:eastAsia="ru-RU"/>
              </w:rPr>
              <w:t>2022</w:t>
            </w:r>
            <w:r w:rsidR="00861CD3" w:rsidRPr="003339EC">
              <w:rPr>
                <w:b/>
                <w:bCs/>
                <w:color w:val="000000" w:themeColor="text1"/>
                <w:sz w:val="20"/>
                <w:szCs w:val="20"/>
                <w:lang w:val="uk-UA" w:eastAsia="ru-RU"/>
              </w:rPr>
              <w:t>**</w:t>
            </w:r>
          </w:p>
        </w:tc>
      </w:tr>
      <w:tr w:rsidR="00F95681" w:rsidRPr="00F95681" w14:paraId="0896B6EC" w14:textId="77777777" w:rsidTr="00F95681">
        <w:trPr>
          <w:trHeight w:val="20"/>
        </w:trPr>
        <w:tc>
          <w:tcPr>
            <w:tcW w:w="2644" w:type="pct"/>
            <w:hideMark/>
          </w:tcPr>
          <w:p w14:paraId="0896B6E7"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Усього</w:t>
            </w:r>
          </w:p>
        </w:tc>
        <w:tc>
          <w:tcPr>
            <w:tcW w:w="584" w:type="pct"/>
            <w:hideMark/>
          </w:tcPr>
          <w:p w14:paraId="0896B6E8"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587,344</w:t>
            </w:r>
          </w:p>
        </w:tc>
        <w:tc>
          <w:tcPr>
            <w:tcW w:w="507" w:type="pct"/>
            <w:hideMark/>
          </w:tcPr>
          <w:p w14:paraId="0896B6E9"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532,001</w:t>
            </w:r>
          </w:p>
        </w:tc>
        <w:tc>
          <w:tcPr>
            <w:tcW w:w="650" w:type="pct"/>
            <w:noWrap/>
            <w:hideMark/>
          </w:tcPr>
          <w:p w14:paraId="0896B6EA"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553,281</w:t>
            </w:r>
          </w:p>
        </w:tc>
        <w:tc>
          <w:tcPr>
            <w:tcW w:w="615" w:type="pct"/>
            <w:noWrap/>
            <w:hideMark/>
          </w:tcPr>
          <w:p w14:paraId="0896B6EB"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497,953</w:t>
            </w:r>
          </w:p>
        </w:tc>
      </w:tr>
      <w:tr w:rsidR="00F95681" w:rsidRPr="00F95681" w14:paraId="0896B6F2" w14:textId="77777777" w:rsidTr="00F95681">
        <w:trPr>
          <w:trHeight w:val="20"/>
        </w:trPr>
        <w:tc>
          <w:tcPr>
            <w:tcW w:w="2644" w:type="pct"/>
            <w:hideMark/>
          </w:tcPr>
          <w:p w14:paraId="0896B6ED"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Використані розчинники</w:t>
            </w:r>
          </w:p>
        </w:tc>
        <w:tc>
          <w:tcPr>
            <w:tcW w:w="584" w:type="pct"/>
            <w:hideMark/>
          </w:tcPr>
          <w:p w14:paraId="0896B6EE"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1,269</w:t>
            </w:r>
          </w:p>
        </w:tc>
        <w:tc>
          <w:tcPr>
            <w:tcW w:w="507" w:type="pct"/>
            <w:hideMark/>
          </w:tcPr>
          <w:p w14:paraId="0896B6EF"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1,973</w:t>
            </w:r>
          </w:p>
        </w:tc>
        <w:tc>
          <w:tcPr>
            <w:tcW w:w="650" w:type="pct"/>
            <w:noWrap/>
            <w:hideMark/>
          </w:tcPr>
          <w:p w14:paraId="0896B6F0"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2,052</w:t>
            </w:r>
          </w:p>
        </w:tc>
        <w:tc>
          <w:tcPr>
            <w:tcW w:w="615" w:type="pct"/>
            <w:noWrap/>
            <w:hideMark/>
          </w:tcPr>
          <w:p w14:paraId="0896B6F1"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1,847</w:t>
            </w:r>
          </w:p>
        </w:tc>
      </w:tr>
      <w:tr w:rsidR="00F95681" w:rsidRPr="00F95681" w14:paraId="0896B6F8" w14:textId="77777777" w:rsidTr="00F95681">
        <w:trPr>
          <w:trHeight w:val="20"/>
        </w:trPr>
        <w:tc>
          <w:tcPr>
            <w:tcW w:w="2644" w:type="pct"/>
            <w:hideMark/>
          </w:tcPr>
          <w:p w14:paraId="0896B6F3"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Відходи кислот, лугів чи солей</w:t>
            </w:r>
          </w:p>
        </w:tc>
        <w:tc>
          <w:tcPr>
            <w:tcW w:w="584" w:type="pct"/>
            <w:hideMark/>
          </w:tcPr>
          <w:p w14:paraId="0896B6F4"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112,763</w:t>
            </w:r>
          </w:p>
        </w:tc>
        <w:tc>
          <w:tcPr>
            <w:tcW w:w="507" w:type="pct"/>
            <w:hideMark/>
          </w:tcPr>
          <w:p w14:paraId="0896B6F5"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160,942</w:t>
            </w:r>
          </w:p>
        </w:tc>
        <w:tc>
          <w:tcPr>
            <w:tcW w:w="650" w:type="pct"/>
            <w:noWrap/>
            <w:hideMark/>
          </w:tcPr>
          <w:p w14:paraId="0896B6F6"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167,380</w:t>
            </w:r>
          </w:p>
        </w:tc>
        <w:tc>
          <w:tcPr>
            <w:tcW w:w="615" w:type="pct"/>
            <w:noWrap/>
            <w:hideMark/>
          </w:tcPr>
          <w:p w14:paraId="0896B6F7"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150,642</w:t>
            </w:r>
          </w:p>
        </w:tc>
      </w:tr>
      <w:tr w:rsidR="00F95681" w:rsidRPr="00F95681" w14:paraId="0896B6FE" w14:textId="77777777" w:rsidTr="00F95681">
        <w:trPr>
          <w:trHeight w:val="20"/>
        </w:trPr>
        <w:tc>
          <w:tcPr>
            <w:tcW w:w="2644" w:type="pct"/>
            <w:hideMark/>
          </w:tcPr>
          <w:p w14:paraId="0896B6F9"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Відпрацьовані оливи</w:t>
            </w:r>
          </w:p>
        </w:tc>
        <w:tc>
          <w:tcPr>
            <w:tcW w:w="584" w:type="pct"/>
            <w:hideMark/>
          </w:tcPr>
          <w:p w14:paraId="0896B6FA"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14,170</w:t>
            </w:r>
          </w:p>
        </w:tc>
        <w:tc>
          <w:tcPr>
            <w:tcW w:w="507" w:type="pct"/>
            <w:hideMark/>
          </w:tcPr>
          <w:p w14:paraId="0896B6FB"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19,029</w:t>
            </w:r>
          </w:p>
        </w:tc>
        <w:tc>
          <w:tcPr>
            <w:tcW w:w="650" w:type="pct"/>
            <w:noWrap/>
            <w:hideMark/>
          </w:tcPr>
          <w:p w14:paraId="0896B6FC"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19,791</w:t>
            </w:r>
          </w:p>
        </w:tc>
        <w:tc>
          <w:tcPr>
            <w:tcW w:w="615" w:type="pct"/>
            <w:noWrap/>
            <w:hideMark/>
          </w:tcPr>
          <w:p w14:paraId="0896B6FD"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17,812</w:t>
            </w:r>
          </w:p>
        </w:tc>
      </w:tr>
      <w:tr w:rsidR="00F95681" w:rsidRPr="00F95681" w14:paraId="0896B704" w14:textId="77777777" w:rsidTr="00F95681">
        <w:trPr>
          <w:trHeight w:val="20"/>
        </w:trPr>
        <w:tc>
          <w:tcPr>
            <w:tcW w:w="2644" w:type="pct"/>
            <w:hideMark/>
          </w:tcPr>
          <w:p w14:paraId="0896B6FF"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Хімічні відходи</w:t>
            </w:r>
          </w:p>
        </w:tc>
        <w:tc>
          <w:tcPr>
            <w:tcW w:w="584" w:type="pct"/>
            <w:hideMark/>
          </w:tcPr>
          <w:p w14:paraId="0896B700"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14,724</w:t>
            </w:r>
          </w:p>
        </w:tc>
        <w:tc>
          <w:tcPr>
            <w:tcW w:w="507" w:type="pct"/>
            <w:hideMark/>
          </w:tcPr>
          <w:p w14:paraId="0896B701"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17,456</w:t>
            </w:r>
          </w:p>
        </w:tc>
        <w:tc>
          <w:tcPr>
            <w:tcW w:w="650" w:type="pct"/>
            <w:noWrap/>
            <w:hideMark/>
          </w:tcPr>
          <w:p w14:paraId="0896B702"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18,154</w:t>
            </w:r>
          </w:p>
        </w:tc>
        <w:tc>
          <w:tcPr>
            <w:tcW w:w="615" w:type="pct"/>
            <w:noWrap/>
            <w:hideMark/>
          </w:tcPr>
          <w:p w14:paraId="0896B703"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16,339</w:t>
            </w:r>
          </w:p>
        </w:tc>
      </w:tr>
      <w:tr w:rsidR="00F95681" w:rsidRPr="00F95681" w14:paraId="0896B70A" w14:textId="77777777" w:rsidTr="00F95681">
        <w:trPr>
          <w:trHeight w:val="20"/>
        </w:trPr>
        <w:tc>
          <w:tcPr>
            <w:tcW w:w="2644" w:type="pct"/>
            <w:hideMark/>
          </w:tcPr>
          <w:p w14:paraId="0896B705"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Осад промислових стоків</w:t>
            </w:r>
          </w:p>
        </w:tc>
        <w:tc>
          <w:tcPr>
            <w:tcW w:w="584" w:type="pct"/>
            <w:hideMark/>
          </w:tcPr>
          <w:p w14:paraId="0896B706"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27,047</w:t>
            </w:r>
          </w:p>
        </w:tc>
        <w:tc>
          <w:tcPr>
            <w:tcW w:w="507" w:type="pct"/>
            <w:hideMark/>
          </w:tcPr>
          <w:p w14:paraId="0896B707"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49,027</w:t>
            </w:r>
          </w:p>
        </w:tc>
        <w:tc>
          <w:tcPr>
            <w:tcW w:w="650" w:type="pct"/>
            <w:noWrap/>
            <w:hideMark/>
          </w:tcPr>
          <w:p w14:paraId="0896B708"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50,988</w:t>
            </w:r>
          </w:p>
        </w:tc>
        <w:tc>
          <w:tcPr>
            <w:tcW w:w="615" w:type="pct"/>
            <w:noWrap/>
            <w:hideMark/>
          </w:tcPr>
          <w:p w14:paraId="0896B709"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45,890</w:t>
            </w:r>
          </w:p>
        </w:tc>
      </w:tr>
      <w:tr w:rsidR="00F95681" w:rsidRPr="00F95681" w14:paraId="0896B710" w14:textId="77777777" w:rsidTr="00F95681">
        <w:trPr>
          <w:trHeight w:val="20"/>
        </w:trPr>
        <w:tc>
          <w:tcPr>
            <w:tcW w:w="2644" w:type="pct"/>
            <w:hideMark/>
          </w:tcPr>
          <w:p w14:paraId="0896B70B"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Шлами та рідкі відходи очисних споруд</w:t>
            </w:r>
          </w:p>
        </w:tc>
        <w:tc>
          <w:tcPr>
            <w:tcW w:w="584" w:type="pct"/>
            <w:hideMark/>
          </w:tcPr>
          <w:p w14:paraId="0896B70C"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5,864</w:t>
            </w:r>
          </w:p>
        </w:tc>
        <w:tc>
          <w:tcPr>
            <w:tcW w:w="507" w:type="pct"/>
            <w:hideMark/>
          </w:tcPr>
          <w:p w14:paraId="0896B70D"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9,862</w:t>
            </w:r>
          </w:p>
        </w:tc>
        <w:tc>
          <w:tcPr>
            <w:tcW w:w="650" w:type="pct"/>
            <w:noWrap/>
            <w:hideMark/>
          </w:tcPr>
          <w:p w14:paraId="0896B70E"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10,257</w:t>
            </w:r>
          </w:p>
        </w:tc>
        <w:tc>
          <w:tcPr>
            <w:tcW w:w="615" w:type="pct"/>
            <w:noWrap/>
            <w:hideMark/>
          </w:tcPr>
          <w:p w14:paraId="0896B70F"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9,231</w:t>
            </w:r>
          </w:p>
        </w:tc>
      </w:tr>
      <w:tr w:rsidR="00F95681" w:rsidRPr="00F95681" w14:paraId="0896B716" w14:textId="77777777" w:rsidTr="00F95681">
        <w:trPr>
          <w:trHeight w:val="20"/>
        </w:trPr>
        <w:tc>
          <w:tcPr>
            <w:tcW w:w="2644" w:type="pct"/>
            <w:hideMark/>
          </w:tcPr>
          <w:p w14:paraId="0896B711"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Відходи від медичної допомоги та біологічні</w:t>
            </w:r>
          </w:p>
        </w:tc>
        <w:tc>
          <w:tcPr>
            <w:tcW w:w="584" w:type="pct"/>
            <w:hideMark/>
          </w:tcPr>
          <w:p w14:paraId="0896B712"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0,176</w:t>
            </w:r>
          </w:p>
        </w:tc>
        <w:tc>
          <w:tcPr>
            <w:tcW w:w="507" w:type="pct"/>
            <w:hideMark/>
          </w:tcPr>
          <w:p w14:paraId="0896B713"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0,330</w:t>
            </w:r>
          </w:p>
        </w:tc>
        <w:tc>
          <w:tcPr>
            <w:tcW w:w="650" w:type="pct"/>
            <w:noWrap/>
            <w:hideMark/>
          </w:tcPr>
          <w:p w14:paraId="0896B714"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0,343</w:t>
            </w:r>
          </w:p>
        </w:tc>
        <w:tc>
          <w:tcPr>
            <w:tcW w:w="615" w:type="pct"/>
            <w:noWrap/>
            <w:hideMark/>
          </w:tcPr>
          <w:p w14:paraId="0896B715"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0,308</w:t>
            </w:r>
          </w:p>
        </w:tc>
      </w:tr>
      <w:tr w:rsidR="00F95681" w:rsidRPr="00F95681" w14:paraId="0896B71C" w14:textId="77777777" w:rsidTr="00F95681">
        <w:trPr>
          <w:trHeight w:val="20"/>
        </w:trPr>
        <w:tc>
          <w:tcPr>
            <w:tcW w:w="2644" w:type="pct"/>
            <w:hideMark/>
          </w:tcPr>
          <w:p w14:paraId="0896B717"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Відходи чорних металів</w:t>
            </w:r>
          </w:p>
        </w:tc>
        <w:tc>
          <w:tcPr>
            <w:tcW w:w="584" w:type="pct"/>
            <w:hideMark/>
          </w:tcPr>
          <w:p w14:paraId="0896B718"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149,766</w:t>
            </w:r>
          </w:p>
        </w:tc>
        <w:tc>
          <w:tcPr>
            <w:tcW w:w="507" w:type="pct"/>
            <w:hideMark/>
          </w:tcPr>
          <w:p w14:paraId="0896B719"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72,152</w:t>
            </w:r>
          </w:p>
        </w:tc>
        <w:tc>
          <w:tcPr>
            <w:tcW w:w="650" w:type="pct"/>
            <w:noWrap/>
            <w:hideMark/>
          </w:tcPr>
          <w:p w14:paraId="0896B71A"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75,038</w:t>
            </w:r>
          </w:p>
        </w:tc>
        <w:tc>
          <w:tcPr>
            <w:tcW w:w="615" w:type="pct"/>
            <w:noWrap/>
            <w:hideMark/>
          </w:tcPr>
          <w:p w14:paraId="0896B71B"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67,534</w:t>
            </w:r>
          </w:p>
        </w:tc>
      </w:tr>
      <w:tr w:rsidR="00F95681" w:rsidRPr="00F95681" w14:paraId="0896B722" w14:textId="77777777" w:rsidTr="00F95681">
        <w:trPr>
          <w:trHeight w:val="20"/>
        </w:trPr>
        <w:tc>
          <w:tcPr>
            <w:tcW w:w="2644" w:type="pct"/>
            <w:hideMark/>
          </w:tcPr>
          <w:p w14:paraId="0896B71D"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Відходи кольорових металів</w:t>
            </w:r>
          </w:p>
        </w:tc>
        <w:tc>
          <w:tcPr>
            <w:tcW w:w="584" w:type="pct"/>
            <w:hideMark/>
          </w:tcPr>
          <w:p w14:paraId="0896B71E"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11,343</w:t>
            </w:r>
          </w:p>
        </w:tc>
        <w:tc>
          <w:tcPr>
            <w:tcW w:w="507" w:type="pct"/>
            <w:hideMark/>
          </w:tcPr>
          <w:p w14:paraId="0896B71F"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3,439</w:t>
            </w:r>
          </w:p>
        </w:tc>
        <w:tc>
          <w:tcPr>
            <w:tcW w:w="650" w:type="pct"/>
            <w:noWrap/>
            <w:hideMark/>
          </w:tcPr>
          <w:p w14:paraId="0896B720"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3,576</w:t>
            </w:r>
          </w:p>
        </w:tc>
        <w:tc>
          <w:tcPr>
            <w:tcW w:w="615" w:type="pct"/>
            <w:noWrap/>
            <w:hideMark/>
          </w:tcPr>
          <w:p w14:paraId="0896B721"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3,219</w:t>
            </w:r>
          </w:p>
        </w:tc>
      </w:tr>
      <w:tr w:rsidR="00F95681" w:rsidRPr="00F95681" w14:paraId="0896B728" w14:textId="77777777" w:rsidTr="00F95681">
        <w:trPr>
          <w:trHeight w:val="20"/>
        </w:trPr>
        <w:tc>
          <w:tcPr>
            <w:tcW w:w="2644" w:type="pct"/>
            <w:hideMark/>
          </w:tcPr>
          <w:p w14:paraId="0896B723"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Змішані відходи кольорових та чорних металів</w:t>
            </w:r>
          </w:p>
        </w:tc>
        <w:tc>
          <w:tcPr>
            <w:tcW w:w="584" w:type="pct"/>
            <w:hideMark/>
          </w:tcPr>
          <w:p w14:paraId="0896B724"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1,825</w:t>
            </w:r>
          </w:p>
        </w:tc>
        <w:tc>
          <w:tcPr>
            <w:tcW w:w="507" w:type="pct"/>
            <w:hideMark/>
          </w:tcPr>
          <w:p w14:paraId="0896B725"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0,453</w:t>
            </w:r>
          </w:p>
        </w:tc>
        <w:tc>
          <w:tcPr>
            <w:tcW w:w="650" w:type="pct"/>
            <w:noWrap/>
            <w:hideMark/>
          </w:tcPr>
          <w:p w14:paraId="0896B726"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0,471</w:t>
            </w:r>
          </w:p>
        </w:tc>
        <w:tc>
          <w:tcPr>
            <w:tcW w:w="615" w:type="pct"/>
            <w:noWrap/>
            <w:hideMark/>
          </w:tcPr>
          <w:p w14:paraId="0896B727"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0,424</w:t>
            </w:r>
          </w:p>
        </w:tc>
      </w:tr>
      <w:tr w:rsidR="00F95681" w:rsidRPr="00F95681" w14:paraId="0896B72E" w14:textId="77777777" w:rsidTr="00F95681">
        <w:trPr>
          <w:trHeight w:val="20"/>
        </w:trPr>
        <w:tc>
          <w:tcPr>
            <w:tcW w:w="2644" w:type="pct"/>
            <w:hideMark/>
          </w:tcPr>
          <w:p w14:paraId="0896B729"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Скляні відходи</w:t>
            </w:r>
          </w:p>
        </w:tc>
        <w:tc>
          <w:tcPr>
            <w:tcW w:w="584" w:type="pct"/>
            <w:hideMark/>
          </w:tcPr>
          <w:p w14:paraId="0896B72A"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0,104</w:t>
            </w:r>
          </w:p>
        </w:tc>
        <w:tc>
          <w:tcPr>
            <w:tcW w:w="507" w:type="pct"/>
            <w:hideMark/>
          </w:tcPr>
          <w:p w14:paraId="0896B72B"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0,699</w:t>
            </w:r>
          </w:p>
        </w:tc>
        <w:tc>
          <w:tcPr>
            <w:tcW w:w="650" w:type="pct"/>
            <w:noWrap/>
            <w:hideMark/>
          </w:tcPr>
          <w:p w14:paraId="0896B72C"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0,726</w:t>
            </w:r>
          </w:p>
        </w:tc>
        <w:tc>
          <w:tcPr>
            <w:tcW w:w="615" w:type="pct"/>
            <w:noWrap/>
            <w:hideMark/>
          </w:tcPr>
          <w:p w14:paraId="0896B72D"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0,654</w:t>
            </w:r>
          </w:p>
        </w:tc>
      </w:tr>
      <w:tr w:rsidR="00F95681" w:rsidRPr="00F95681" w14:paraId="0896B734" w14:textId="77777777" w:rsidTr="00F95681">
        <w:trPr>
          <w:trHeight w:val="20"/>
        </w:trPr>
        <w:tc>
          <w:tcPr>
            <w:tcW w:w="2644" w:type="pct"/>
            <w:hideMark/>
          </w:tcPr>
          <w:p w14:paraId="0896B72F"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Паперові та картонні відходи</w:t>
            </w:r>
          </w:p>
        </w:tc>
        <w:tc>
          <w:tcPr>
            <w:tcW w:w="584" w:type="pct"/>
            <w:hideMark/>
          </w:tcPr>
          <w:p w14:paraId="0896B730"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0,290</w:t>
            </w:r>
          </w:p>
        </w:tc>
        <w:tc>
          <w:tcPr>
            <w:tcW w:w="507" w:type="pct"/>
            <w:hideMark/>
          </w:tcPr>
          <w:p w14:paraId="0896B731"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0,077</w:t>
            </w:r>
          </w:p>
        </w:tc>
        <w:tc>
          <w:tcPr>
            <w:tcW w:w="650" w:type="pct"/>
            <w:noWrap/>
            <w:hideMark/>
          </w:tcPr>
          <w:p w14:paraId="0896B732"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0,080</w:t>
            </w:r>
          </w:p>
        </w:tc>
        <w:tc>
          <w:tcPr>
            <w:tcW w:w="615" w:type="pct"/>
            <w:noWrap/>
            <w:hideMark/>
          </w:tcPr>
          <w:p w14:paraId="0896B733"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0,072</w:t>
            </w:r>
          </w:p>
        </w:tc>
      </w:tr>
      <w:tr w:rsidR="00F95681" w:rsidRPr="00F95681" w14:paraId="0896B73A" w14:textId="77777777" w:rsidTr="00F95681">
        <w:trPr>
          <w:trHeight w:val="20"/>
        </w:trPr>
        <w:tc>
          <w:tcPr>
            <w:tcW w:w="2644" w:type="pct"/>
            <w:hideMark/>
          </w:tcPr>
          <w:p w14:paraId="0896B735"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Гумові відходи</w:t>
            </w:r>
          </w:p>
        </w:tc>
        <w:tc>
          <w:tcPr>
            <w:tcW w:w="584" w:type="pct"/>
            <w:hideMark/>
          </w:tcPr>
          <w:p w14:paraId="0896B736"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2,032</w:t>
            </w:r>
          </w:p>
        </w:tc>
        <w:tc>
          <w:tcPr>
            <w:tcW w:w="507" w:type="pct"/>
            <w:hideMark/>
          </w:tcPr>
          <w:p w14:paraId="0896B737"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2,088</w:t>
            </w:r>
          </w:p>
        </w:tc>
        <w:tc>
          <w:tcPr>
            <w:tcW w:w="650" w:type="pct"/>
            <w:noWrap/>
            <w:hideMark/>
          </w:tcPr>
          <w:p w14:paraId="0896B738"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2,172</w:t>
            </w:r>
          </w:p>
        </w:tc>
        <w:tc>
          <w:tcPr>
            <w:tcW w:w="615" w:type="pct"/>
            <w:noWrap/>
            <w:hideMark/>
          </w:tcPr>
          <w:p w14:paraId="0896B739"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1,955</w:t>
            </w:r>
          </w:p>
        </w:tc>
      </w:tr>
      <w:tr w:rsidR="00F95681" w:rsidRPr="00F95681" w14:paraId="0896B740" w14:textId="77777777" w:rsidTr="00F95681">
        <w:trPr>
          <w:trHeight w:val="20"/>
        </w:trPr>
        <w:tc>
          <w:tcPr>
            <w:tcW w:w="2644" w:type="pct"/>
            <w:hideMark/>
          </w:tcPr>
          <w:p w14:paraId="0896B73B"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Пластикові відходи</w:t>
            </w:r>
          </w:p>
        </w:tc>
        <w:tc>
          <w:tcPr>
            <w:tcW w:w="584" w:type="pct"/>
            <w:hideMark/>
          </w:tcPr>
          <w:p w14:paraId="0896B73C"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4,439</w:t>
            </w:r>
          </w:p>
        </w:tc>
        <w:tc>
          <w:tcPr>
            <w:tcW w:w="507" w:type="pct"/>
            <w:hideMark/>
          </w:tcPr>
          <w:p w14:paraId="0896B73D"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2,431</w:t>
            </w:r>
          </w:p>
        </w:tc>
        <w:tc>
          <w:tcPr>
            <w:tcW w:w="650" w:type="pct"/>
            <w:noWrap/>
            <w:hideMark/>
          </w:tcPr>
          <w:p w14:paraId="0896B73E"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2,528</w:t>
            </w:r>
          </w:p>
        </w:tc>
        <w:tc>
          <w:tcPr>
            <w:tcW w:w="615" w:type="pct"/>
            <w:noWrap/>
            <w:hideMark/>
          </w:tcPr>
          <w:p w14:paraId="0896B73F"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2,276</w:t>
            </w:r>
          </w:p>
        </w:tc>
      </w:tr>
      <w:tr w:rsidR="00F95681" w:rsidRPr="00F95681" w14:paraId="0896B746" w14:textId="77777777" w:rsidTr="00F95681">
        <w:trPr>
          <w:trHeight w:val="20"/>
        </w:trPr>
        <w:tc>
          <w:tcPr>
            <w:tcW w:w="2644" w:type="pct"/>
            <w:hideMark/>
          </w:tcPr>
          <w:p w14:paraId="0896B741"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Деревні відходи</w:t>
            </w:r>
          </w:p>
        </w:tc>
        <w:tc>
          <w:tcPr>
            <w:tcW w:w="584" w:type="pct"/>
            <w:hideMark/>
          </w:tcPr>
          <w:p w14:paraId="0896B742"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4,432</w:t>
            </w:r>
          </w:p>
        </w:tc>
        <w:tc>
          <w:tcPr>
            <w:tcW w:w="507" w:type="pct"/>
            <w:hideMark/>
          </w:tcPr>
          <w:p w14:paraId="0896B743"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1,516</w:t>
            </w:r>
          </w:p>
        </w:tc>
        <w:tc>
          <w:tcPr>
            <w:tcW w:w="650" w:type="pct"/>
            <w:noWrap/>
            <w:hideMark/>
          </w:tcPr>
          <w:p w14:paraId="0896B744"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1,576</w:t>
            </w:r>
          </w:p>
        </w:tc>
        <w:tc>
          <w:tcPr>
            <w:tcW w:w="615" w:type="pct"/>
            <w:noWrap/>
            <w:hideMark/>
          </w:tcPr>
          <w:p w14:paraId="0896B745"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1,419</w:t>
            </w:r>
          </w:p>
        </w:tc>
      </w:tr>
      <w:tr w:rsidR="00F95681" w:rsidRPr="00F95681" w14:paraId="0896B74C" w14:textId="77777777" w:rsidTr="00F95681">
        <w:trPr>
          <w:trHeight w:val="20"/>
        </w:trPr>
        <w:tc>
          <w:tcPr>
            <w:tcW w:w="2644" w:type="pct"/>
            <w:hideMark/>
          </w:tcPr>
          <w:p w14:paraId="0896B747" w14:textId="77777777" w:rsidR="00C10B22" w:rsidRPr="003339EC" w:rsidRDefault="00C10B22" w:rsidP="00C10B22">
            <w:pPr>
              <w:pStyle w:val="Table"/>
              <w:rPr>
                <w:color w:val="000000" w:themeColor="text1"/>
                <w:sz w:val="20"/>
                <w:szCs w:val="20"/>
                <w:lang w:val="uk-UA" w:eastAsia="ru-RU"/>
              </w:rPr>
            </w:pPr>
            <w:r w:rsidRPr="003339EC">
              <w:rPr>
                <w:color w:val="000000" w:themeColor="text1"/>
                <w:sz w:val="20"/>
                <w:szCs w:val="20"/>
                <w:lang w:val="uk-UA" w:eastAsia="ru-RU"/>
              </w:rPr>
              <w:t>Текстильні відходи</w:t>
            </w:r>
          </w:p>
        </w:tc>
        <w:tc>
          <w:tcPr>
            <w:tcW w:w="584" w:type="pct"/>
            <w:hideMark/>
          </w:tcPr>
          <w:p w14:paraId="0896B748"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0,876</w:t>
            </w:r>
          </w:p>
        </w:tc>
        <w:tc>
          <w:tcPr>
            <w:tcW w:w="507" w:type="pct"/>
            <w:hideMark/>
          </w:tcPr>
          <w:p w14:paraId="0896B749"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1,505</w:t>
            </w:r>
          </w:p>
        </w:tc>
        <w:tc>
          <w:tcPr>
            <w:tcW w:w="650" w:type="pct"/>
            <w:noWrap/>
            <w:hideMark/>
          </w:tcPr>
          <w:p w14:paraId="0896B74A"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1,566</w:t>
            </w:r>
          </w:p>
        </w:tc>
        <w:tc>
          <w:tcPr>
            <w:tcW w:w="615" w:type="pct"/>
            <w:noWrap/>
            <w:hideMark/>
          </w:tcPr>
          <w:p w14:paraId="0896B74B" w14:textId="77777777" w:rsidR="00C10B22" w:rsidRPr="003339EC" w:rsidRDefault="00C10B22" w:rsidP="00FA6D4E">
            <w:pPr>
              <w:pStyle w:val="Table"/>
              <w:jc w:val="right"/>
              <w:rPr>
                <w:color w:val="000000" w:themeColor="text1"/>
                <w:sz w:val="20"/>
                <w:szCs w:val="20"/>
                <w:lang w:val="uk-UA" w:eastAsia="ru-RU"/>
              </w:rPr>
            </w:pPr>
            <w:r w:rsidRPr="003339EC">
              <w:rPr>
                <w:color w:val="000000" w:themeColor="text1"/>
                <w:sz w:val="20"/>
                <w:szCs w:val="20"/>
                <w:lang w:val="uk-UA"/>
              </w:rPr>
              <w:t>1,409</w:t>
            </w:r>
          </w:p>
        </w:tc>
      </w:tr>
      <w:tr w:rsidR="00F95681" w:rsidRPr="00F95681" w14:paraId="0896B752" w14:textId="77777777" w:rsidTr="00F95681">
        <w:trPr>
          <w:trHeight w:val="209"/>
        </w:trPr>
        <w:tc>
          <w:tcPr>
            <w:tcW w:w="2644" w:type="pct"/>
            <w:hideMark/>
          </w:tcPr>
          <w:p w14:paraId="0896B74D" w14:textId="77777777" w:rsidR="001E3C57" w:rsidRPr="003339EC" w:rsidRDefault="001E3C57" w:rsidP="0033755C">
            <w:pPr>
              <w:pStyle w:val="Table"/>
              <w:rPr>
                <w:color w:val="000000" w:themeColor="text1"/>
                <w:sz w:val="20"/>
                <w:szCs w:val="20"/>
                <w:lang w:val="uk-UA" w:eastAsia="ru-RU"/>
              </w:rPr>
            </w:pPr>
            <w:r w:rsidRPr="003339EC">
              <w:rPr>
                <w:color w:val="000000" w:themeColor="text1"/>
                <w:sz w:val="20"/>
                <w:szCs w:val="20"/>
                <w:lang w:val="uk-UA" w:eastAsia="ru-RU"/>
              </w:rPr>
              <w:t>Відходи, що містять поліхлордифеніли</w:t>
            </w:r>
          </w:p>
        </w:tc>
        <w:tc>
          <w:tcPr>
            <w:tcW w:w="584" w:type="pct"/>
            <w:hideMark/>
          </w:tcPr>
          <w:p w14:paraId="0896B74E" w14:textId="77777777" w:rsidR="001E3C57" w:rsidRPr="003339EC" w:rsidRDefault="00D0345A" w:rsidP="00FA6D4E">
            <w:pPr>
              <w:pStyle w:val="Table"/>
              <w:jc w:val="right"/>
              <w:rPr>
                <w:color w:val="000000" w:themeColor="text1"/>
                <w:sz w:val="20"/>
                <w:szCs w:val="20"/>
                <w:lang w:val="uk-UA" w:eastAsia="ru-RU"/>
              </w:rPr>
            </w:pPr>
            <w:r w:rsidRPr="003339EC">
              <w:rPr>
                <w:color w:val="000000" w:themeColor="text1"/>
                <w:sz w:val="20"/>
                <w:szCs w:val="20"/>
                <w:lang w:val="uk-UA" w:eastAsia="ru-RU"/>
              </w:rPr>
              <w:t>0,479</w:t>
            </w:r>
          </w:p>
        </w:tc>
        <w:tc>
          <w:tcPr>
            <w:tcW w:w="507" w:type="pct"/>
            <w:hideMark/>
          </w:tcPr>
          <w:p w14:paraId="0896B74F" w14:textId="77777777" w:rsidR="001E3C5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eastAsia="ru-RU"/>
              </w:rPr>
              <w:t>0,</w:t>
            </w:r>
            <w:r w:rsidR="001E3C57" w:rsidRPr="003339EC">
              <w:rPr>
                <w:color w:val="000000" w:themeColor="text1"/>
                <w:sz w:val="20"/>
                <w:szCs w:val="20"/>
                <w:lang w:val="uk-UA" w:eastAsia="ru-RU"/>
              </w:rPr>
              <w:t>146</w:t>
            </w:r>
          </w:p>
        </w:tc>
        <w:tc>
          <w:tcPr>
            <w:tcW w:w="650" w:type="pct"/>
            <w:noWrap/>
            <w:hideMark/>
          </w:tcPr>
          <w:p w14:paraId="0896B750" w14:textId="77777777" w:rsidR="001E3C5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eastAsia="ru-RU"/>
              </w:rPr>
              <w:t>0,</w:t>
            </w:r>
            <w:r w:rsidR="001E3C57" w:rsidRPr="003339EC">
              <w:rPr>
                <w:color w:val="000000" w:themeColor="text1"/>
                <w:sz w:val="20"/>
                <w:szCs w:val="20"/>
                <w:lang w:val="uk-UA" w:eastAsia="ru-RU"/>
              </w:rPr>
              <w:t>15</w:t>
            </w:r>
            <w:r w:rsidRPr="003339EC">
              <w:rPr>
                <w:color w:val="000000" w:themeColor="text1"/>
                <w:sz w:val="20"/>
                <w:szCs w:val="20"/>
                <w:lang w:val="uk-UA" w:eastAsia="ru-RU"/>
              </w:rPr>
              <w:t>2</w:t>
            </w:r>
          </w:p>
        </w:tc>
        <w:tc>
          <w:tcPr>
            <w:tcW w:w="615" w:type="pct"/>
            <w:noWrap/>
            <w:hideMark/>
          </w:tcPr>
          <w:p w14:paraId="0896B751" w14:textId="77777777" w:rsidR="001E3C5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eastAsia="ru-RU"/>
              </w:rPr>
              <w:t>0,</w:t>
            </w:r>
            <w:r w:rsidR="001E3C57" w:rsidRPr="003339EC">
              <w:rPr>
                <w:color w:val="000000" w:themeColor="text1"/>
                <w:sz w:val="20"/>
                <w:szCs w:val="20"/>
                <w:lang w:val="uk-UA" w:eastAsia="ru-RU"/>
              </w:rPr>
              <w:t>137</w:t>
            </w:r>
          </w:p>
        </w:tc>
      </w:tr>
      <w:tr w:rsidR="00F95681" w:rsidRPr="00F95681" w14:paraId="0896B758" w14:textId="77777777" w:rsidTr="00F95681">
        <w:trPr>
          <w:trHeight w:val="20"/>
        </w:trPr>
        <w:tc>
          <w:tcPr>
            <w:tcW w:w="2644" w:type="pct"/>
            <w:hideMark/>
          </w:tcPr>
          <w:p w14:paraId="0896B753"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Непридатне обладнання</w:t>
            </w:r>
          </w:p>
        </w:tc>
        <w:tc>
          <w:tcPr>
            <w:tcW w:w="584" w:type="pct"/>
            <w:hideMark/>
          </w:tcPr>
          <w:p w14:paraId="0896B754"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1,204</w:t>
            </w:r>
          </w:p>
        </w:tc>
        <w:tc>
          <w:tcPr>
            <w:tcW w:w="507" w:type="pct"/>
            <w:hideMark/>
          </w:tcPr>
          <w:p w14:paraId="0896B755"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1,373</w:t>
            </w:r>
          </w:p>
        </w:tc>
        <w:tc>
          <w:tcPr>
            <w:tcW w:w="650" w:type="pct"/>
            <w:noWrap/>
            <w:hideMark/>
          </w:tcPr>
          <w:p w14:paraId="0896B756"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1,428</w:t>
            </w:r>
          </w:p>
        </w:tc>
        <w:tc>
          <w:tcPr>
            <w:tcW w:w="615" w:type="pct"/>
            <w:noWrap/>
            <w:hideMark/>
          </w:tcPr>
          <w:p w14:paraId="0896B757"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1,286</w:t>
            </w:r>
          </w:p>
        </w:tc>
      </w:tr>
      <w:tr w:rsidR="00F95681" w:rsidRPr="00F95681" w14:paraId="0896B75E" w14:textId="77777777" w:rsidTr="00F95681">
        <w:trPr>
          <w:trHeight w:val="20"/>
        </w:trPr>
        <w:tc>
          <w:tcPr>
            <w:tcW w:w="2644" w:type="pct"/>
            <w:hideMark/>
          </w:tcPr>
          <w:p w14:paraId="0896B759"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Непридатні транспортні засоби</w:t>
            </w:r>
          </w:p>
        </w:tc>
        <w:tc>
          <w:tcPr>
            <w:tcW w:w="584" w:type="pct"/>
            <w:hideMark/>
          </w:tcPr>
          <w:p w14:paraId="0896B75A"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0,032</w:t>
            </w:r>
          </w:p>
        </w:tc>
        <w:tc>
          <w:tcPr>
            <w:tcW w:w="507" w:type="pct"/>
            <w:hideMark/>
          </w:tcPr>
          <w:p w14:paraId="0896B75B"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0,131</w:t>
            </w:r>
          </w:p>
        </w:tc>
        <w:tc>
          <w:tcPr>
            <w:tcW w:w="650" w:type="pct"/>
            <w:noWrap/>
            <w:hideMark/>
          </w:tcPr>
          <w:p w14:paraId="0896B75C"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0,136</w:t>
            </w:r>
          </w:p>
        </w:tc>
        <w:tc>
          <w:tcPr>
            <w:tcW w:w="615" w:type="pct"/>
            <w:noWrap/>
            <w:hideMark/>
          </w:tcPr>
          <w:p w14:paraId="0896B75D"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0,122</w:t>
            </w:r>
          </w:p>
        </w:tc>
      </w:tr>
      <w:tr w:rsidR="00F95681" w:rsidRPr="00F95681" w14:paraId="0896B764" w14:textId="77777777" w:rsidTr="00F95681">
        <w:trPr>
          <w:trHeight w:val="20"/>
        </w:trPr>
        <w:tc>
          <w:tcPr>
            <w:tcW w:w="2644" w:type="pct"/>
            <w:hideMark/>
          </w:tcPr>
          <w:p w14:paraId="0896B75F"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Відходи акумуляторів та батарей</w:t>
            </w:r>
          </w:p>
        </w:tc>
        <w:tc>
          <w:tcPr>
            <w:tcW w:w="584" w:type="pct"/>
            <w:hideMark/>
          </w:tcPr>
          <w:p w14:paraId="0896B760"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6,089</w:t>
            </w:r>
          </w:p>
        </w:tc>
        <w:tc>
          <w:tcPr>
            <w:tcW w:w="507" w:type="pct"/>
            <w:hideMark/>
          </w:tcPr>
          <w:p w14:paraId="0896B761"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4,195</w:t>
            </w:r>
          </w:p>
        </w:tc>
        <w:tc>
          <w:tcPr>
            <w:tcW w:w="650" w:type="pct"/>
            <w:noWrap/>
            <w:hideMark/>
          </w:tcPr>
          <w:p w14:paraId="0896B762"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4,363</w:t>
            </w:r>
          </w:p>
        </w:tc>
        <w:tc>
          <w:tcPr>
            <w:tcW w:w="615" w:type="pct"/>
            <w:noWrap/>
            <w:hideMark/>
          </w:tcPr>
          <w:p w14:paraId="0896B763"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3,927</w:t>
            </w:r>
          </w:p>
        </w:tc>
      </w:tr>
      <w:tr w:rsidR="00F95681" w:rsidRPr="00F95681" w14:paraId="0896B76A" w14:textId="77777777" w:rsidTr="00F95681">
        <w:trPr>
          <w:trHeight w:val="20"/>
        </w:trPr>
        <w:tc>
          <w:tcPr>
            <w:tcW w:w="2644" w:type="pct"/>
            <w:hideMark/>
          </w:tcPr>
          <w:p w14:paraId="0896B765"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Відходи тваринного походження та змішані харчові відходи</w:t>
            </w:r>
          </w:p>
        </w:tc>
        <w:tc>
          <w:tcPr>
            <w:tcW w:w="584" w:type="pct"/>
            <w:hideMark/>
          </w:tcPr>
          <w:p w14:paraId="0896B766"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18,230</w:t>
            </w:r>
          </w:p>
        </w:tc>
        <w:tc>
          <w:tcPr>
            <w:tcW w:w="507" w:type="pct"/>
            <w:hideMark/>
          </w:tcPr>
          <w:p w14:paraId="0896B767"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14,348</w:t>
            </w:r>
          </w:p>
        </w:tc>
        <w:tc>
          <w:tcPr>
            <w:tcW w:w="650" w:type="pct"/>
            <w:noWrap/>
            <w:hideMark/>
          </w:tcPr>
          <w:p w14:paraId="0896B768"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14,922</w:t>
            </w:r>
          </w:p>
        </w:tc>
        <w:tc>
          <w:tcPr>
            <w:tcW w:w="615" w:type="pct"/>
            <w:noWrap/>
            <w:hideMark/>
          </w:tcPr>
          <w:p w14:paraId="0896B769"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13,430</w:t>
            </w:r>
          </w:p>
        </w:tc>
      </w:tr>
      <w:tr w:rsidR="00F95681" w:rsidRPr="00F95681" w14:paraId="0896B770" w14:textId="77777777" w:rsidTr="00F95681">
        <w:trPr>
          <w:trHeight w:val="20"/>
        </w:trPr>
        <w:tc>
          <w:tcPr>
            <w:tcW w:w="2644" w:type="pct"/>
            <w:hideMark/>
          </w:tcPr>
          <w:p w14:paraId="0896B76B"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Відходи рослинного походження</w:t>
            </w:r>
          </w:p>
        </w:tc>
        <w:tc>
          <w:tcPr>
            <w:tcW w:w="584" w:type="pct"/>
            <w:hideMark/>
          </w:tcPr>
          <w:p w14:paraId="0896B76C"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0,211</w:t>
            </w:r>
          </w:p>
        </w:tc>
        <w:tc>
          <w:tcPr>
            <w:tcW w:w="507" w:type="pct"/>
            <w:hideMark/>
          </w:tcPr>
          <w:p w14:paraId="0896B76D"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0,126</w:t>
            </w:r>
          </w:p>
        </w:tc>
        <w:tc>
          <w:tcPr>
            <w:tcW w:w="650" w:type="pct"/>
            <w:noWrap/>
            <w:hideMark/>
          </w:tcPr>
          <w:p w14:paraId="0896B76E"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0,131</w:t>
            </w:r>
          </w:p>
        </w:tc>
        <w:tc>
          <w:tcPr>
            <w:tcW w:w="615" w:type="pct"/>
            <w:noWrap/>
            <w:hideMark/>
          </w:tcPr>
          <w:p w14:paraId="0896B76F"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0,118</w:t>
            </w:r>
          </w:p>
        </w:tc>
      </w:tr>
      <w:tr w:rsidR="00F95681" w:rsidRPr="00F95681" w14:paraId="0896B776" w14:textId="77777777" w:rsidTr="00F95681">
        <w:trPr>
          <w:trHeight w:val="20"/>
        </w:trPr>
        <w:tc>
          <w:tcPr>
            <w:tcW w:w="2644" w:type="pct"/>
            <w:hideMark/>
          </w:tcPr>
          <w:p w14:paraId="0896B771"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Тваринні екскременти, сеча та гній</w:t>
            </w:r>
          </w:p>
        </w:tc>
        <w:tc>
          <w:tcPr>
            <w:tcW w:w="584" w:type="pct"/>
            <w:hideMark/>
          </w:tcPr>
          <w:p w14:paraId="0896B772"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92,029</w:t>
            </w:r>
          </w:p>
        </w:tc>
        <w:tc>
          <w:tcPr>
            <w:tcW w:w="507" w:type="pct"/>
            <w:hideMark/>
          </w:tcPr>
          <w:p w14:paraId="0896B773"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21,515</w:t>
            </w:r>
          </w:p>
        </w:tc>
        <w:tc>
          <w:tcPr>
            <w:tcW w:w="650" w:type="pct"/>
            <w:noWrap/>
            <w:hideMark/>
          </w:tcPr>
          <w:p w14:paraId="0896B774"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22,376</w:t>
            </w:r>
          </w:p>
        </w:tc>
        <w:tc>
          <w:tcPr>
            <w:tcW w:w="615" w:type="pct"/>
            <w:noWrap/>
            <w:hideMark/>
          </w:tcPr>
          <w:p w14:paraId="0896B775"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20,138</w:t>
            </w:r>
          </w:p>
        </w:tc>
      </w:tr>
      <w:tr w:rsidR="00F95681" w:rsidRPr="00F95681" w14:paraId="0896B77C" w14:textId="77777777" w:rsidTr="00F95681">
        <w:trPr>
          <w:trHeight w:val="20"/>
        </w:trPr>
        <w:tc>
          <w:tcPr>
            <w:tcW w:w="2644" w:type="pct"/>
            <w:hideMark/>
          </w:tcPr>
          <w:p w14:paraId="0896B777"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Побутові та подібні відходи</w:t>
            </w:r>
          </w:p>
        </w:tc>
        <w:tc>
          <w:tcPr>
            <w:tcW w:w="584" w:type="pct"/>
            <w:hideMark/>
          </w:tcPr>
          <w:p w14:paraId="0896B778"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3,047</w:t>
            </w:r>
          </w:p>
        </w:tc>
        <w:tc>
          <w:tcPr>
            <w:tcW w:w="507" w:type="pct"/>
            <w:hideMark/>
          </w:tcPr>
          <w:p w14:paraId="0896B779"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1,559</w:t>
            </w:r>
          </w:p>
        </w:tc>
        <w:tc>
          <w:tcPr>
            <w:tcW w:w="650" w:type="pct"/>
            <w:noWrap/>
            <w:hideMark/>
          </w:tcPr>
          <w:p w14:paraId="0896B77A"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1,621</w:t>
            </w:r>
          </w:p>
        </w:tc>
        <w:tc>
          <w:tcPr>
            <w:tcW w:w="615" w:type="pct"/>
            <w:noWrap/>
            <w:hideMark/>
          </w:tcPr>
          <w:p w14:paraId="0896B77B"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1,459</w:t>
            </w:r>
          </w:p>
        </w:tc>
      </w:tr>
      <w:tr w:rsidR="00F95681" w:rsidRPr="00F95681" w14:paraId="0896B782" w14:textId="77777777" w:rsidTr="00F95681">
        <w:trPr>
          <w:trHeight w:val="20"/>
        </w:trPr>
        <w:tc>
          <w:tcPr>
            <w:tcW w:w="2644" w:type="pct"/>
            <w:hideMark/>
          </w:tcPr>
          <w:p w14:paraId="0896B77D"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Змішані та недиференційовані матеріали</w:t>
            </w:r>
          </w:p>
        </w:tc>
        <w:tc>
          <w:tcPr>
            <w:tcW w:w="584" w:type="pct"/>
            <w:hideMark/>
          </w:tcPr>
          <w:p w14:paraId="0896B77E"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39,066</w:t>
            </w:r>
          </w:p>
        </w:tc>
        <w:tc>
          <w:tcPr>
            <w:tcW w:w="507" w:type="pct"/>
            <w:hideMark/>
          </w:tcPr>
          <w:p w14:paraId="0896B77F"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61,120</w:t>
            </w:r>
          </w:p>
        </w:tc>
        <w:tc>
          <w:tcPr>
            <w:tcW w:w="650" w:type="pct"/>
            <w:noWrap/>
            <w:hideMark/>
          </w:tcPr>
          <w:p w14:paraId="0896B780"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63,565</w:t>
            </w:r>
          </w:p>
        </w:tc>
        <w:tc>
          <w:tcPr>
            <w:tcW w:w="615" w:type="pct"/>
            <w:noWrap/>
            <w:hideMark/>
          </w:tcPr>
          <w:p w14:paraId="0896B781"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57,208</w:t>
            </w:r>
          </w:p>
        </w:tc>
      </w:tr>
      <w:tr w:rsidR="00F95681" w:rsidRPr="00F95681" w14:paraId="0896B788" w14:textId="77777777" w:rsidTr="00F95681">
        <w:trPr>
          <w:trHeight w:val="20"/>
        </w:trPr>
        <w:tc>
          <w:tcPr>
            <w:tcW w:w="2644" w:type="pct"/>
            <w:hideMark/>
          </w:tcPr>
          <w:p w14:paraId="0896B783"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Залишки сортування</w:t>
            </w:r>
          </w:p>
        </w:tc>
        <w:tc>
          <w:tcPr>
            <w:tcW w:w="584" w:type="pct"/>
            <w:hideMark/>
          </w:tcPr>
          <w:p w14:paraId="0896B784"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0,088</w:t>
            </w:r>
          </w:p>
        </w:tc>
        <w:tc>
          <w:tcPr>
            <w:tcW w:w="507" w:type="pct"/>
            <w:hideMark/>
          </w:tcPr>
          <w:p w14:paraId="0896B785"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0,050</w:t>
            </w:r>
          </w:p>
        </w:tc>
        <w:tc>
          <w:tcPr>
            <w:tcW w:w="650" w:type="pct"/>
            <w:noWrap/>
            <w:hideMark/>
          </w:tcPr>
          <w:p w14:paraId="0896B786"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0,052</w:t>
            </w:r>
          </w:p>
        </w:tc>
        <w:tc>
          <w:tcPr>
            <w:tcW w:w="615" w:type="pct"/>
            <w:noWrap/>
            <w:hideMark/>
          </w:tcPr>
          <w:p w14:paraId="0896B787"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0,047</w:t>
            </w:r>
          </w:p>
        </w:tc>
      </w:tr>
      <w:tr w:rsidR="00F95681" w:rsidRPr="00F95681" w14:paraId="0896B78E" w14:textId="77777777" w:rsidTr="00F95681">
        <w:trPr>
          <w:trHeight w:val="20"/>
        </w:trPr>
        <w:tc>
          <w:tcPr>
            <w:tcW w:w="2644" w:type="pct"/>
            <w:hideMark/>
          </w:tcPr>
          <w:p w14:paraId="0896B789"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Звичайний осад</w:t>
            </w:r>
          </w:p>
        </w:tc>
        <w:tc>
          <w:tcPr>
            <w:tcW w:w="584" w:type="pct"/>
            <w:hideMark/>
          </w:tcPr>
          <w:p w14:paraId="0896B78A"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4,100</w:t>
            </w:r>
          </w:p>
        </w:tc>
        <w:tc>
          <w:tcPr>
            <w:tcW w:w="507" w:type="pct"/>
            <w:hideMark/>
          </w:tcPr>
          <w:p w14:paraId="0896B78B"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6,101</w:t>
            </w:r>
          </w:p>
        </w:tc>
        <w:tc>
          <w:tcPr>
            <w:tcW w:w="650" w:type="pct"/>
            <w:noWrap/>
            <w:hideMark/>
          </w:tcPr>
          <w:p w14:paraId="0896B78C"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6,345</w:t>
            </w:r>
          </w:p>
        </w:tc>
        <w:tc>
          <w:tcPr>
            <w:tcW w:w="615" w:type="pct"/>
            <w:noWrap/>
            <w:hideMark/>
          </w:tcPr>
          <w:p w14:paraId="0896B78D"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5,710</w:t>
            </w:r>
          </w:p>
        </w:tc>
      </w:tr>
      <w:tr w:rsidR="00F95681" w:rsidRPr="00F95681" w14:paraId="0896B794" w14:textId="77777777" w:rsidTr="00F95681">
        <w:trPr>
          <w:trHeight w:val="20"/>
        </w:trPr>
        <w:tc>
          <w:tcPr>
            <w:tcW w:w="2644" w:type="pct"/>
            <w:hideMark/>
          </w:tcPr>
          <w:p w14:paraId="0896B78F"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Мінеральні відходи будівництва та знесення об'єктів</w:t>
            </w:r>
          </w:p>
        </w:tc>
        <w:tc>
          <w:tcPr>
            <w:tcW w:w="584" w:type="pct"/>
            <w:hideMark/>
          </w:tcPr>
          <w:p w14:paraId="0896B790"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0,349</w:t>
            </w:r>
          </w:p>
        </w:tc>
        <w:tc>
          <w:tcPr>
            <w:tcW w:w="507" w:type="pct"/>
            <w:hideMark/>
          </w:tcPr>
          <w:p w14:paraId="0896B791"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0,337</w:t>
            </w:r>
          </w:p>
        </w:tc>
        <w:tc>
          <w:tcPr>
            <w:tcW w:w="650" w:type="pct"/>
            <w:noWrap/>
            <w:hideMark/>
          </w:tcPr>
          <w:p w14:paraId="0896B792"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0,351</w:t>
            </w:r>
          </w:p>
        </w:tc>
        <w:tc>
          <w:tcPr>
            <w:tcW w:w="615" w:type="pct"/>
            <w:noWrap/>
            <w:hideMark/>
          </w:tcPr>
          <w:p w14:paraId="0896B793"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0,316</w:t>
            </w:r>
          </w:p>
        </w:tc>
      </w:tr>
      <w:tr w:rsidR="00F95681" w:rsidRPr="00F95681" w14:paraId="0896B79A" w14:textId="77777777" w:rsidTr="00F95681">
        <w:trPr>
          <w:trHeight w:val="20"/>
        </w:trPr>
        <w:tc>
          <w:tcPr>
            <w:tcW w:w="2644" w:type="pct"/>
            <w:hideMark/>
          </w:tcPr>
          <w:p w14:paraId="0896B795"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Інші мінеральні відходи</w:t>
            </w:r>
          </w:p>
        </w:tc>
        <w:tc>
          <w:tcPr>
            <w:tcW w:w="584" w:type="pct"/>
            <w:hideMark/>
          </w:tcPr>
          <w:p w14:paraId="0896B796"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5,048</w:t>
            </w:r>
          </w:p>
        </w:tc>
        <w:tc>
          <w:tcPr>
            <w:tcW w:w="507" w:type="pct"/>
            <w:hideMark/>
          </w:tcPr>
          <w:p w14:paraId="0896B797"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51,820</w:t>
            </w:r>
          </w:p>
        </w:tc>
        <w:tc>
          <w:tcPr>
            <w:tcW w:w="650" w:type="pct"/>
            <w:noWrap/>
            <w:hideMark/>
          </w:tcPr>
          <w:p w14:paraId="0896B798"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53,892</w:t>
            </w:r>
          </w:p>
        </w:tc>
        <w:tc>
          <w:tcPr>
            <w:tcW w:w="615" w:type="pct"/>
            <w:noWrap/>
            <w:hideMark/>
          </w:tcPr>
          <w:p w14:paraId="0896B799"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48,503</w:t>
            </w:r>
          </w:p>
        </w:tc>
      </w:tr>
      <w:tr w:rsidR="00F95681" w:rsidRPr="00F95681" w14:paraId="0896B7A0" w14:textId="77777777" w:rsidTr="00F95681">
        <w:trPr>
          <w:trHeight w:val="20"/>
        </w:trPr>
        <w:tc>
          <w:tcPr>
            <w:tcW w:w="2644" w:type="pct"/>
            <w:hideMark/>
          </w:tcPr>
          <w:p w14:paraId="0896B79B"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Відходи згоряння</w:t>
            </w:r>
          </w:p>
        </w:tc>
        <w:tc>
          <w:tcPr>
            <w:tcW w:w="584" w:type="pct"/>
            <w:hideMark/>
          </w:tcPr>
          <w:p w14:paraId="0896B79C"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55,129</w:t>
            </w:r>
          </w:p>
        </w:tc>
        <w:tc>
          <w:tcPr>
            <w:tcW w:w="507" w:type="pct"/>
            <w:hideMark/>
          </w:tcPr>
          <w:p w14:paraId="0896B79D"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17,446</w:t>
            </w:r>
          </w:p>
        </w:tc>
        <w:tc>
          <w:tcPr>
            <w:tcW w:w="650" w:type="pct"/>
            <w:noWrap/>
            <w:hideMark/>
          </w:tcPr>
          <w:p w14:paraId="0896B79E"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18,144</w:t>
            </w:r>
          </w:p>
        </w:tc>
        <w:tc>
          <w:tcPr>
            <w:tcW w:w="615" w:type="pct"/>
            <w:noWrap/>
            <w:hideMark/>
          </w:tcPr>
          <w:p w14:paraId="0896B79F"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16,329</w:t>
            </w:r>
          </w:p>
        </w:tc>
      </w:tr>
      <w:tr w:rsidR="00F95681" w:rsidRPr="00F95681" w14:paraId="0896B7A6" w14:textId="77777777" w:rsidTr="00F95681">
        <w:trPr>
          <w:trHeight w:val="20"/>
        </w:trPr>
        <w:tc>
          <w:tcPr>
            <w:tcW w:w="2644" w:type="pct"/>
            <w:hideMark/>
          </w:tcPr>
          <w:p w14:paraId="0896B7A1"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Ґрунтові відходи</w:t>
            </w:r>
          </w:p>
        </w:tc>
        <w:tc>
          <w:tcPr>
            <w:tcW w:w="584" w:type="pct"/>
            <w:hideMark/>
          </w:tcPr>
          <w:p w14:paraId="0896B7A2"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0,547</w:t>
            </w:r>
          </w:p>
        </w:tc>
        <w:tc>
          <w:tcPr>
            <w:tcW w:w="507" w:type="pct"/>
            <w:hideMark/>
          </w:tcPr>
          <w:p w14:paraId="0896B7A3"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0,480</w:t>
            </w:r>
          </w:p>
        </w:tc>
        <w:tc>
          <w:tcPr>
            <w:tcW w:w="650" w:type="pct"/>
            <w:noWrap/>
            <w:hideMark/>
          </w:tcPr>
          <w:p w14:paraId="0896B7A4"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0,499</w:t>
            </w:r>
          </w:p>
        </w:tc>
        <w:tc>
          <w:tcPr>
            <w:tcW w:w="615" w:type="pct"/>
            <w:noWrap/>
            <w:hideMark/>
          </w:tcPr>
          <w:p w14:paraId="0896B7A5"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0,450</w:t>
            </w:r>
          </w:p>
        </w:tc>
      </w:tr>
      <w:tr w:rsidR="00F95681" w:rsidRPr="00F95681" w14:paraId="0896B7AC" w14:textId="77777777" w:rsidTr="00F95681">
        <w:trPr>
          <w:trHeight w:val="20"/>
        </w:trPr>
        <w:tc>
          <w:tcPr>
            <w:tcW w:w="2644" w:type="pct"/>
            <w:hideMark/>
          </w:tcPr>
          <w:p w14:paraId="0896B7A7"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Пуста порода від днопоглиблюваних робіт</w:t>
            </w:r>
          </w:p>
        </w:tc>
        <w:tc>
          <w:tcPr>
            <w:tcW w:w="584" w:type="pct"/>
            <w:hideMark/>
          </w:tcPr>
          <w:p w14:paraId="0896B7A8" w14:textId="77777777" w:rsidR="00B02D47" w:rsidRPr="003339EC" w:rsidRDefault="00B02D47" w:rsidP="00FA6D4E">
            <w:pPr>
              <w:pStyle w:val="Table"/>
              <w:jc w:val="right"/>
              <w:rPr>
                <w:color w:val="000000" w:themeColor="text1"/>
                <w:sz w:val="20"/>
                <w:szCs w:val="20"/>
                <w:lang w:val="uk-UA" w:eastAsia="ru-RU"/>
              </w:rPr>
            </w:pPr>
          </w:p>
        </w:tc>
        <w:tc>
          <w:tcPr>
            <w:tcW w:w="507" w:type="pct"/>
            <w:hideMark/>
          </w:tcPr>
          <w:p w14:paraId="0896B7A9"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0,000</w:t>
            </w:r>
          </w:p>
        </w:tc>
        <w:tc>
          <w:tcPr>
            <w:tcW w:w="650" w:type="pct"/>
            <w:noWrap/>
            <w:hideMark/>
          </w:tcPr>
          <w:p w14:paraId="0896B7AA"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0,000</w:t>
            </w:r>
          </w:p>
        </w:tc>
        <w:tc>
          <w:tcPr>
            <w:tcW w:w="615" w:type="pct"/>
            <w:noWrap/>
            <w:hideMark/>
          </w:tcPr>
          <w:p w14:paraId="0896B7AB"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0,000</w:t>
            </w:r>
          </w:p>
        </w:tc>
      </w:tr>
      <w:tr w:rsidR="00F95681" w:rsidRPr="00F95681" w14:paraId="0896B7B2" w14:textId="77777777" w:rsidTr="00F95681">
        <w:trPr>
          <w:trHeight w:val="20"/>
        </w:trPr>
        <w:tc>
          <w:tcPr>
            <w:tcW w:w="2644" w:type="pct"/>
            <w:hideMark/>
          </w:tcPr>
          <w:p w14:paraId="0896B7AD" w14:textId="77777777" w:rsidR="00B02D47" w:rsidRPr="003339EC" w:rsidRDefault="00B02D47" w:rsidP="00B02D47">
            <w:pPr>
              <w:pStyle w:val="Table"/>
              <w:rPr>
                <w:color w:val="000000" w:themeColor="text1"/>
                <w:sz w:val="20"/>
                <w:szCs w:val="20"/>
                <w:lang w:val="uk-UA" w:eastAsia="ru-RU"/>
              </w:rPr>
            </w:pPr>
            <w:r w:rsidRPr="003339EC">
              <w:rPr>
                <w:color w:val="000000" w:themeColor="text1"/>
                <w:sz w:val="20"/>
                <w:szCs w:val="20"/>
                <w:lang w:val="uk-UA" w:eastAsia="ru-RU"/>
              </w:rPr>
              <w:t>Затверділі, стабілізовані або засклянілі відходи; мінеральні відходи, що утворюються після переробки</w:t>
            </w:r>
          </w:p>
        </w:tc>
        <w:tc>
          <w:tcPr>
            <w:tcW w:w="584" w:type="pct"/>
            <w:hideMark/>
          </w:tcPr>
          <w:p w14:paraId="0896B7AE"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10,577</w:t>
            </w:r>
          </w:p>
        </w:tc>
        <w:tc>
          <w:tcPr>
            <w:tcW w:w="507" w:type="pct"/>
            <w:hideMark/>
          </w:tcPr>
          <w:p w14:paraId="0896B7AF"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8,275</w:t>
            </w:r>
          </w:p>
        </w:tc>
        <w:tc>
          <w:tcPr>
            <w:tcW w:w="650" w:type="pct"/>
            <w:noWrap/>
            <w:hideMark/>
          </w:tcPr>
          <w:p w14:paraId="0896B7B0"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8,606</w:t>
            </w:r>
          </w:p>
        </w:tc>
        <w:tc>
          <w:tcPr>
            <w:tcW w:w="615" w:type="pct"/>
            <w:noWrap/>
            <w:hideMark/>
          </w:tcPr>
          <w:p w14:paraId="0896B7B1" w14:textId="77777777" w:rsidR="00B02D47" w:rsidRPr="003339EC" w:rsidRDefault="00B02D47" w:rsidP="00FA6D4E">
            <w:pPr>
              <w:pStyle w:val="Table"/>
              <w:jc w:val="right"/>
              <w:rPr>
                <w:color w:val="000000" w:themeColor="text1"/>
                <w:sz w:val="20"/>
                <w:szCs w:val="20"/>
                <w:lang w:val="uk-UA" w:eastAsia="ru-RU"/>
              </w:rPr>
            </w:pPr>
            <w:r w:rsidRPr="003339EC">
              <w:rPr>
                <w:color w:val="000000" w:themeColor="text1"/>
                <w:sz w:val="20"/>
                <w:szCs w:val="20"/>
                <w:lang w:val="uk-UA"/>
              </w:rPr>
              <w:t>7,746</w:t>
            </w:r>
          </w:p>
        </w:tc>
      </w:tr>
    </w:tbl>
    <w:p w14:paraId="0896B7B3" w14:textId="77777777" w:rsidR="009B26A5" w:rsidRPr="00C22C49" w:rsidRDefault="00861CD3" w:rsidP="00175716">
      <w:pPr>
        <w:spacing w:after="0" w:line="240" w:lineRule="auto"/>
        <w:rPr>
          <w:i/>
          <w:iCs/>
          <w:sz w:val="18"/>
          <w:szCs w:val="14"/>
          <w:lang w:eastAsia="ru-RU"/>
        </w:rPr>
      </w:pPr>
      <w:r w:rsidRPr="00C22C49">
        <w:rPr>
          <w:i/>
          <w:iCs/>
          <w:sz w:val="18"/>
          <w:szCs w:val="14"/>
          <w:lang w:eastAsia="ru-RU"/>
        </w:rPr>
        <w:t xml:space="preserve">Примітки: </w:t>
      </w:r>
      <w:r w:rsidR="0033755C" w:rsidRPr="00C22C49">
        <w:rPr>
          <w:i/>
          <w:iCs/>
          <w:sz w:val="18"/>
          <w:szCs w:val="14"/>
          <w:lang w:eastAsia="ru-RU"/>
        </w:rPr>
        <w:t>Категорії відходів за матеріалами у таблицях наведено у відповідності з міжнародною статистичною класифікацією EWC-Stat Ver.4, адаптованою до національних умов.</w:t>
      </w:r>
    </w:p>
    <w:p w14:paraId="0896B7B4" w14:textId="77777777" w:rsidR="005C2E1F" w:rsidRPr="00C22C49" w:rsidRDefault="0033755C" w:rsidP="00175716">
      <w:pPr>
        <w:spacing w:before="0" w:after="0" w:line="240" w:lineRule="auto"/>
        <w:rPr>
          <w:i/>
          <w:iCs/>
          <w:sz w:val="18"/>
          <w:szCs w:val="14"/>
        </w:rPr>
      </w:pPr>
      <w:r w:rsidRPr="00C22C49">
        <w:rPr>
          <w:i/>
          <w:iCs/>
          <w:sz w:val="18"/>
          <w:szCs w:val="14"/>
          <w:lang w:eastAsia="ru-RU"/>
        </w:rPr>
        <w:t xml:space="preserve">* </w:t>
      </w:r>
      <w:r w:rsidR="00B44125" w:rsidRPr="00C22C49">
        <w:rPr>
          <w:i/>
          <w:iCs/>
          <w:sz w:val="18"/>
          <w:szCs w:val="14"/>
          <w:lang w:eastAsia="ru-RU"/>
        </w:rPr>
        <w:t>За даними Державної служби статистики України</w:t>
      </w:r>
      <w:r w:rsidR="005C2E1F" w:rsidRPr="00C22C49">
        <w:rPr>
          <w:i/>
          <w:iCs/>
          <w:sz w:val="18"/>
          <w:szCs w:val="14"/>
        </w:rPr>
        <w:t>;</w:t>
      </w:r>
    </w:p>
    <w:p w14:paraId="0896B7B5" w14:textId="77777777" w:rsidR="00E23719" w:rsidRPr="00C22C49" w:rsidRDefault="0033755C" w:rsidP="00175716">
      <w:pPr>
        <w:spacing w:before="0" w:after="0" w:line="240" w:lineRule="auto"/>
        <w:rPr>
          <w:i/>
          <w:iCs/>
          <w:sz w:val="18"/>
          <w:szCs w:val="14"/>
        </w:rPr>
      </w:pPr>
      <w:r w:rsidRPr="00C22C49">
        <w:rPr>
          <w:i/>
          <w:iCs/>
          <w:sz w:val="18"/>
          <w:szCs w:val="14"/>
        </w:rPr>
        <w:t>**  Дані за 2021-2022 рр. отримані розрахунковим методом</w:t>
      </w:r>
    </w:p>
    <w:p w14:paraId="0896B7B6" w14:textId="77777777" w:rsidR="007D3016" w:rsidRPr="00C22C49" w:rsidRDefault="007D3016" w:rsidP="00175716">
      <w:pPr>
        <w:spacing w:before="240"/>
      </w:pPr>
      <w:r w:rsidRPr="00C22C49">
        <w:t>В структурі утворюваних відходів за категоріями матеріалів спостерігається суттєве зростання обсягів  відходів відходи кислот, лугів та солей з 19,2 до 30,3%, осадів промислових стоків, інших мінеральних відходів. В той же час значно скоротились обсяги утворення відходів чорних металів, тваринних екскрементів, сечі та гною, відходів згоряння.</w:t>
      </w:r>
    </w:p>
    <w:p w14:paraId="0896B7B7" w14:textId="77777777" w:rsidR="0064555E" w:rsidRPr="00C22C49" w:rsidRDefault="00D751A3" w:rsidP="005C2E1F">
      <w:r w:rsidRPr="00C22C49">
        <w:t xml:space="preserve">Частка </w:t>
      </w:r>
      <w:r w:rsidR="00E113E3" w:rsidRPr="00C22C49">
        <w:t xml:space="preserve">утилізації небезпечних відходів складала в середньому 69%, спалювання </w:t>
      </w:r>
      <w:r w:rsidR="0011247D" w:rsidRPr="00C22C49">
        <w:t>–</w:t>
      </w:r>
      <w:r w:rsidR="00E113E3" w:rsidRPr="00C22C49">
        <w:t xml:space="preserve"> </w:t>
      </w:r>
      <w:r w:rsidR="0011247D" w:rsidRPr="00C22C49">
        <w:t xml:space="preserve">близько 3%, видалення </w:t>
      </w:r>
      <w:r w:rsidR="00A7538D" w:rsidRPr="00C22C49">
        <w:t>-28%.</w:t>
      </w:r>
    </w:p>
    <w:p w14:paraId="0896B7B8" w14:textId="77777777" w:rsidR="005345FA" w:rsidRPr="00C22C49" w:rsidRDefault="005345FA" w:rsidP="00720A82">
      <w:pPr>
        <w:pStyle w:val="REDBoldonly"/>
      </w:pPr>
      <w:r w:rsidRPr="00C22C49">
        <w:t>Відходи, що містять стійкі органічні забруднювачі</w:t>
      </w:r>
    </w:p>
    <w:p w14:paraId="0896B7B9" w14:textId="77777777" w:rsidR="005345FA" w:rsidRPr="00C22C49" w:rsidRDefault="005345FA" w:rsidP="005345FA">
      <w:r w:rsidRPr="00C22C49">
        <w:t xml:space="preserve">Стійкі органічні забруднювачі (СОЗ) - це органічні хімічні речовини, що мають особливу комбінацію фізичних і хімічних властивостей, через що, потрапляючи в навколишнє середовище, залишаються незмінними протягом надзвичайно довгих періодів часу, широко розповсюджуються, накопичуються в живих організмах і чинять токсичну дію. </w:t>
      </w:r>
    </w:p>
    <w:p w14:paraId="0896B7BA" w14:textId="77777777" w:rsidR="005345FA" w:rsidRPr="00C22C49" w:rsidRDefault="005345FA" w:rsidP="005345FA">
      <w:r w:rsidRPr="00C22C49">
        <w:t xml:space="preserve">Попередня інвентаризація СОЗ в Україні показала, що, майже все накопичення токсикантів припадає на електрообладнання. За кількістю накопиченого СОЗ лідерами є Донецька (724 т), Дніпропетровська (458,5 т), Волинська (280 т) та Київська області (255 т). Що стосується галузей промисловості, то тут лідерами є металургія за кількістю трансформаторів з концентрованим ПХД та машинобудування за кількістю конденсаторів з ПХД. </w:t>
      </w:r>
    </w:p>
    <w:p w14:paraId="0896B7BB" w14:textId="77777777" w:rsidR="005345FA" w:rsidRPr="00C22C49" w:rsidRDefault="005345FA" w:rsidP="005345FA">
      <w:r w:rsidRPr="00C22C49">
        <w:t>Загальна маса СОЗ, які наявні в обладнанні та зберігаються окремо на об’єктах України, за результатами первинної інвентаризації приблизно оцінюється в 5000 тонн. Інформаційна система «База даних ПХД в Україні» була створена як Національний реєстр ПХД в Україні. З 2017 року Національний реєстр поповнюється базами даних забрудненого обладнання, що містить ПХБ.</w:t>
      </w:r>
    </w:p>
    <w:p w14:paraId="0896B7BC" w14:textId="77777777" w:rsidR="00225F2C" w:rsidRPr="00C22C49" w:rsidRDefault="00225F2C" w:rsidP="00720A82">
      <w:pPr>
        <w:pStyle w:val="REDBoldonly"/>
      </w:pPr>
      <w:r w:rsidRPr="00C22C49">
        <w:t>Відходи, що містять азбест</w:t>
      </w:r>
    </w:p>
    <w:p w14:paraId="0896B7BD" w14:textId="77777777" w:rsidR="00225F2C" w:rsidRPr="00C22C49" w:rsidRDefault="00443C1F" w:rsidP="005345FA">
      <w:r w:rsidRPr="00C22C49">
        <w:t xml:space="preserve">Азбест – це торгова назва шести змієвидних волокнистих мінералів і амфіболів. Використання азбесту та інших шкідливих для навколишнього середовища речовин у спорудженні багатоквартирних будинків та приватних домівок в Україні досі є поширеною практикою. Щорічно для азбестомістких виробів виробляється в середньому 110 тис. тон хризотилових матеріалів. Ці речовини використовувалися в покрівельному шифері та інших елементах українських будинків. </w:t>
      </w:r>
    </w:p>
    <w:p w14:paraId="0896B7BE" w14:textId="77777777" w:rsidR="00225F2C" w:rsidRPr="00C22C49" w:rsidRDefault="00041D2C" w:rsidP="006813AE">
      <w:r w:rsidRPr="00C22C49">
        <w:t xml:space="preserve">За даними статистики у 2020 році </w:t>
      </w:r>
      <w:r w:rsidR="00FD3751" w:rsidRPr="00C22C49">
        <w:t xml:space="preserve">поводження з відходами, що містять азбест відбувалось наступним </w:t>
      </w:r>
      <w:r w:rsidR="00D80F08" w:rsidRPr="00C22C49">
        <w:t>чином: 28 тон було спалено, 20,1 тон видалено у спеціально відведені місця та об'єкти</w:t>
      </w:r>
      <w:r w:rsidR="006813AE" w:rsidRPr="00C22C49">
        <w:t>, дані щодо утилізації відсутні.</w:t>
      </w:r>
      <w:r w:rsidR="00D80F08" w:rsidRPr="00C22C49">
        <w:t xml:space="preserve"> </w:t>
      </w:r>
      <w:r w:rsidR="00F327A9" w:rsidRPr="00C22C49">
        <w:t>Дані статистики не відображають повної картини утворення відходів, що містять азбест, адже щороку в Україну ввозиться 300-500 тис. тон азбестовмісної сировини.</w:t>
      </w:r>
    </w:p>
    <w:p w14:paraId="0896B7BF" w14:textId="77777777" w:rsidR="00244AE6" w:rsidRPr="00C22C49" w:rsidRDefault="005D2A8E" w:rsidP="00720A82">
      <w:pPr>
        <w:pStyle w:val="REDBoldonly"/>
      </w:pPr>
      <w:r w:rsidRPr="00C22C49">
        <w:t>Відходи, що містять ртуть</w:t>
      </w:r>
    </w:p>
    <w:p w14:paraId="0896B7C0" w14:textId="77777777" w:rsidR="00BB4FAA" w:rsidRPr="00C22C49" w:rsidRDefault="00BB4FAA" w:rsidP="006813AE">
      <w:r w:rsidRPr="00C22C49">
        <w:t>Основними джерелами утворення відходів, що містить ртуть є пристрої, предмети, інструменти, які використовуються в електроенергетиці, промисловості та домашніх господарствах, наприклад, термостати, барометри, манометри та ртутні вимикачі,  люмінесцентні лампи та інші відходи. Значні обсяги відходів ртуті утворюються як побічний продукт у процесі виробництва або обробки.</w:t>
      </w:r>
    </w:p>
    <w:p w14:paraId="0896B7C1" w14:textId="15D0D37D" w:rsidR="00244AE6" w:rsidRPr="00C22C49" w:rsidRDefault="00583161" w:rsidP="00583161">
      <w:pPr>
        <w:pStyle w:val="ad"/>
        <w:rPr>
          <w:lang w:val="uk-UA"/>
        </w:rPr>
      </w:pPr>
      <w:bookmarkStart w:id="18" w:name="_Toc142262252"/>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5</w:t>
      </w:r>
      <w:r w:rsidR="005E0A06" w:rsidRPr="00C22C49">
        <w:rPr>
          <w:lang w:val="uk-UA"/>
        </w:rPr>
        <w:fldChar w:fldCharType="end"/>
      </w:r>
      <w:r w:rsidRPr="00C22C49">
        <w:rPr>
          <w:lang w:val="uk-UA"/>
        </w:rPr>
        <w:t>.</w:t>
      </w:r>
      <w:r w:rsidR="00FD2526" w:rsidRPr="00C22C49">
        <w:rPr>
          <w:lang w:val="uk-UA"/>
        </w:rPr>
        <w:t xml:space="preserve"> Утворення відходів за класифікаційними угрупованнями державного класифікатора відходів у 2018-2022 роках,</w:t>
      </w:r>
      <w:r w:rsidRPr="00C22C49">
        <w:rPr>
          <w:lang w:val="uk-UA"/>
        </w:rPr>
        <w:t xml:space="preserve"> тон</w:t>
      </w:r>
      <w:bookmarkEnd w:id="18"/>
    </w:p>
    <w:tbl>
      <w:tblPr>
        <w:tblStyle w:val="afa"/>
        <w:tblW w:w="0" w:type="auto"/>
        <w:jc w:val="center"/>
        <w:tblLayout w:type="fixed"/>
        <w:tblLook w:val="04A0" w:firstRow="1" w:lastRow="0" w:firstColumn="1" w:lastColumn="0" w:noHBand="0" w:noVBand="1"/>
      </w:tblPr>
      <w:tblGrid>
        <w:gridCol w:w="3490"/>
        <w:gridCol w:w="1247"/>
        <w:gridCol w:w="1247"/>
        <w:gridCol w:w="1247"/>
        <w:gridCol w:w="1247"/>
        <w:gridCol w:w="1247"/>
      </w:tblGrid>
      <w:tr w:rsidR="00583161" w:rsidRPr="00C22C49" w14:paraId="0896B7C8" w14:textId="77777777" w:rsidTr="007E7236">
        <w:trPr>
          <w:trHeight w:val="288"/>
          <w:jc w:val="center"/>
        </w:trPr>
        <w:tc>
          <w:tcPr>
            <w:tcW w:w="3490" w:type="dxa"/>
          </w:tcPr>
          <w:p w14:paraId="0896B7C2" w14:textId="77777777" w:rsidR="00583161" w:rsidRPr="00C22C49" w:rsidRDefault="00583161" w:rsidP="00583161">
            <w:pPr>
              <w:pStyle w:val="Table"/>
              <w:rPr>
                <w:b/>
                <w:bCs/>
                <w:lang w:val="uk-UA"/>
              </w:rPr>
            </w:pPr>
            <w:r w:rsidRPr="00C22C49">
              <w:rPr>
                <w:b/>
                <w:bCs/>
                <w:lang w:val="uk-UA"/>
              </w:rPr>
              <w:t>Код та назва відходів</w:t>
            </w:r>
          </w:p>
        </w:tc>
        <w:tc>
          <w:tcPr>
            <w:tcW w:w="1247" w:type="dxa"/>
            <w:vAlign w:val="center"/>
          </w:tcPr>
          <w:p w14:paraId="0896B7C3" w14:textId="77777777" w:rsidR="00583161" w:rsidRPr="00C22C49" w:rsidRDefault="00583161" w:rsidP="00481B9A">
            <w:pPr>
              <w:pStyle w:val="Table"/>
              <w:jc w:val="center"/>
              <w:rPr>
                <w:b/>
                <w:bCs/>
                <w:lang w:val="uk-UA"/>
              </w:rPr>
            </w:pPr>
            <w:r w:rsidRPr="00C22C49">
              <w:rPr>
                <w:b/>
                <w:bCs/>
                <w:lang w:val="uk-UA"/>
              </w:rPr>
              <w:t>2018</w:t>
            </w:r>
          </w:p>
        </w:tc>
        <w:tc>
          <w:tcPr>
            <w:tcW w:w="1247" w:type="dxa"/>
            <w:vAlign w:val="center"/>
          </w:tcPr>
          <w:p w14:paraId="0896B7C4" w14:textId="77777777" w:rsidR="00583161" w:rsidRPr="00C22C49" w:rsidRDefault="00583161" w:rsidP="00481B9A">
            <w:pPr>
              <w:pStyle w:val="Table"/>
              <w:jc w:val="center"/>
              <w:rPr>
                <w:b/>
                <w:bCs/>
                <w:lang w:val="uk-UA"/>
              </w:rPr>
            </w:pPr>
            <w:r w:rsidRPr="00C22C49">
              <w:rPr>
                <w:b/>
                <w:bCs/>
                <w:lang w:val="uk-UA"/>
              </w:rPr>
              <w:t>2019</w:t>
            </w:r>
          </w:p>
        </w:tc>
        <w:tc>
          <w:tcPr>
            <w:tcW w:w="1247" w:type="dxa"/>
            <w:vAlign w:val="bottom"/>
          </w:tcPr>
          <w:p w14:paraId="0896B7C5" w14:textId="77777777" w:rsidR="00583161" w:rsidRPr="00C22C49" w:rsidRDefault="00583161" w:rsidP="00481B9A">
            <w:pPr>
              <w:pStyle w:val="Table"/>
              <w:jc w:val="center"/>
              <w:rPr>
                <w:b/>
                <w:bCs/>
                <w:lang w:val="uk-UA"/>
              </w:rPr>
            </w:pPr>
            <w:r w:rsidRPr="00C22C49">
              <w:rPr>
                <w:b/>
                <w:bCs/>
                <w:lang w:val="uk-UA"/>
              </w:rPr>
              <w:t>2020</w:t>
            </w:r>
          </w:p>
        </w:tc>
        <w:tc>
          <w:tcPr>
            <w:tcW w:w="1247" w:type="dxa"/>
            <w:noWrap/>
            <w:vAlign w:val="bottom"/>
          </w:tcPr>
          <w:p w14:paraId="0896B7C6" w14:textId="77777777" w:rsidR="00583161" w:rsidRPr="00C22C49" w:rsidRDefault="00583161" w:rsidP="00481B9A">
            <w:pPr>
              <w:pStyle w:val="Table"/>
              <w:jc w:val="center"/>
              <w:rPr>
                <w:b/>
                <w:bCs/>
                <w:lang w:val="uk-UA"/>
              </w:rPr>
            </w:pPr>
            <w:r w:rsidRPr="00C22C49">
              <w:rPr>
                <w:b/>
                <w:bCs/>
                <w:lang w:val="uk-UA"/>
              </w:rPr>
              <w:t>2021</w:t>
            </w:r>
          </w:p>
        </w:tc>
        <w:tc>
          <w:tcPr>
            <w:tcW w:w="1247" w:type="dxa"/>
            <w:noWrap/>
            <w:vAlign w:val="bottom"/>
          </w:tcPr>
          <w:p w14:paraId="0896B7C7" w14:textId="77777777" w:rsidR="00583161" w:rsidRPr="00C22C49" w:rsidRDefault="00583161" w:rsidP="00481B9A">
            <w:pPr>
              <w:pStyle w:val="Table"/>
              <w:jc w:val="center"/>
              <w:rPr>
                <w:b/>
                <w:bCs/>
                <w:lang w:val="uk-UA"/>
              </w:rPr>
            </w:pPr>
            <w:r w:rsidRPr="00C22C49">
              <w:rPr>
                <w:b/>
                <w:bCs/>
                <w:lang w:val="uk-UA"/>
              </w:rPr>
              <w:t>2022</w:t>
            </w:r>
          </w:p>
        </w:tc>
      </w:tr>
      <w:tr w:rsidR="00583161" w:rsidRPr="00C22C49" w14:paraId="0896B7CF" w14:textId="77777777" w:rsidTr="007E7236">
        <w:trPr>
          <w:trHeight w:val="288"/>
          <w:jc w:val="center"/>
        </w:trPr>
        <w:tc>
          <w:tcPr>
            <w:tcW w:w="3490" w:type="dxa"/>
            <w:hideMark/>
          </w:tcPr>
          <w:p w14:paraId="0896B7C9" w14:textId="77777777" w:rsidR="00583161" w:rsidRPr="00C22C49" w:rsidRDefault="00583161" w:rsidP="00583161">
            <w:pPr>
              <w:pStyle w:val="Table"/>
              <w:rPr>
                <w:lang w:val="uk-UA"/>
              </w:rPr>
            </w:pPr>
            <w:r w:rsidRPr="00C22C49">
              <w:rPr>
                <w:lang w:val="uk-UA"/>
              </w:rPr>
              <w:t xml:space="preserve">7710.3.1.26 Лампи люмінесцентні та відходи, які містять ртуть, інші зіпсовані або відпрацьовані </w:t>
            </w:r>
          </w:p>
        </w:tc>
        <w:tc>
          <w:tcPr>
            <w:tcW w:w="1247" w:type="dxa"/>
            <w:hideMark/>
          </w:tcPr>
          <w:p w14:paraId="0896B7CA" w14:textId="77777777" w:rsidR="00583161" w:rsidRPr="00C22C49" w:rsidRDefault="00583161" w:rsidP="00481B9A">
            <w:pPr>
              <w:pStyle w:val="Table"/>
              <w:jc w:val="right"/>
              <w:rPr>
                <w:lang w:val="uk-UA"/>
              </w:rPr>
            </w:pPr>
            <w:r w:rsidRPr="00C22C49">
              <w:rPr>
                <w:lang w:val="uk-UA"/>
              </w:rPr>
              <w:t>542,183</w:t>
            </w:r>
          </w:p>
        </w:tc>
        <w:tc>
          <w:tcPr>
            <w:tcW w:w="1247" w:type="dxa"/>
            <w:hideMark/>
          </w:tcPr>
          <w:p w14:paraId="0896B7CB" w14:textId="77777777" w:rsidR="00583161" w:rsidRPr="00C22C49" w:rsidRDefault="00583161" w:rsidP="00481B9A">
            <w:pPr>
              <w:pStyle w:val="Table"/>
              <w:jc w:val="right"/>
              <w:rPr>
                <w:lang w:val="uk-UA"/>
              </w:rPr>
            </w:pPr>
            <w:r w:rsidRPr="00C22C49">
              <w:rPr>
                <w:lang w:val="uk-UA"/>
              </w:rPr>
              <w:t>492,6</w:t>
            </w:r>
          </w:p>
        </w:tc>
        <w:tc>
          <w:tcPr>
            <w:tcW w:w="1247" w:type="dxa"/>
            <w:hideMark/>
          </w:tcPr>
          <w:p w14:paraId="0896B7CC" w14:textId="77777777" w:rsidR="00583161" w:rsidRPr="00C22C49" w:rsidRDefault="00583161" w:rsidP="00481B9A">
            <w:pPr>
              <w:pStyle w:val="Table"/>
              <w:jc w:val="right"/>
              <w:rPr>
                <w:lang w:val="uk-UA"/>
              </w:rPr>
            </w:pPr>
            <w:r w:rsidRPr="00C22C49">
              <w:rPr>
                <w:lang w:val="uk-UA"/>
              </w:rPr>
              <w:t>542,183</w:t>
            </w:r>
          </w:p>
        </w:tc>
        <w:tc>
          <w:tcPr>
            <w:tcW w:w="1247" w:type="dxa"/>
            <w:noWrap/>
            <w:hideMark/>
          </w:tcPr>
          <w:p w14:paraId="0896B7CD" w14:textId="77777777" w:rsidR="00583161" w:rsidRPr="00C22C49" w:rsidRDefault="00583161" w:rsidP="00481B9A">
            <w:pPr>
              <w:pStyle w:val="Table"/>
              <w:jc w:val="right"/>
              <w:rPr>
                <w:lang w:val="uk-UA"/>
              </w:rPr>
            </w:pPr>
            <w:r w:rsidRPr="00C22C49">
              <w:rPr>
                <w:lang w:val="uk-UA"/>
              </w:rPr>
              <w:t>563,870</w:t>
            </w:r>
          </w:p>
        </w:tc>
        <w:tc>
          <w:tcPr>
            <w:tcW w:w="1247" w:type="dxa"/>
            <w:noWrap/>
            <w:hideMark/>
          </w:tcPr>
          <w:p w14:paraId="0896B7CE" w14:textId="77777777" w:rsidR="00583161" w:rsidRPr="00C22C49" w:rsidRDefault="00583161" w:rsidP="00481B9A">
            <w:pPr>
              <w:pStyle w:val="Table"/>
              <w:jc w:val="right"/>
              <w:rPr>
                <w:lang w:val="uk-UA"/>
              </w:rPr>
            </w:pPr>
            <w:r w:rsidRPr="00C22C49">
              <w:rPr>
                <w:lang w:val="uk-UA"/>
              </w:rPr>
              <w:t>507,483</w:t>
            </w:r>
          </w:p>
        </w:tc>
      </w:tr>
      <w:tr w:rsidR="00583161" w:rsidRPr="00C22C49" w14:paraId="0896B7D6" w14:textId="77777777" w:rsidTr="007E7236">
        <w:trPr>
          <w:trHeight w:val="288"/>
          <w:jc w:val="center"/>
        </w:trPr>
        <w:tc>
          <w:tcPr>
            <w:tcW w:w="3490" w:type="dxa"/>
            <w:hideMark/>
          </w:tcPr>
          <w:p w14:paraId="0896B7D0" w14:textId="77777777" w:rsidR="00583161" w:rsidRPr="00C22C49" w:rsidRDefault="00583161" w:rsidP="00583161">
            <w:pPr>
              <w:pStyle w:val="Table"/>
              <w:rPr>
                <w:szCs w:val="22"/>
                <w:lang w:val="uk-UA" w:eastAsia="uk-UA"/>
              </w:rPr>
            </w:pPr>
            <w:r w:rsidRPr="00C22C49">
              <w:rPr>
                <w:szCs w:val="22"/>
                <w:lang w:val="uk-UA" w:eastAsia="uk-UA"/>
              </w:rPr>
              <w:t>6000.2.9.06 Елементи ртутні сухі зіпсовані або відпрацьовані</w:t>
            </w:r>
          </w:p>
        </w:tc>
        <w:tc>
          <w:tcPr>
            <w:tcW w:w="1247" w:type="dxa"/>
            <w:hideMark/>
          </w:tcPr>
          <w:p w14:paraId="0896B7D1" w14:textId="77777777" w:rsidR="00583161" w:rsidRPr="00C22C49" w:rsidRDefault="00583161" w:rsidP="00481B9A">
            <w:pPr>
              <w:pStyle w:val="Table"/>
              <w:jc w:val="right"/>
              <w:rPr>
                <w:szCs w:val="22"/>
                <w:lang w:val="uk-UA" w:eastAsia="uk-UA"/>
              </w:rPr>
            </w:pPr>
            <w:r w:rsidRPr="00C22C49">
              <w:rPr>
                <w:szCs w:val="22"/>
                <w:lang w:val="uk-UA" w:eastAsia="uk-UA"/>
              </w:rPr>
              <w:t>6,244</w:t>
            </w:r>
          </w:p>
        </w:tc>
        <w:tc>
          <w:tcPr>
            <w:tcW w:w="1247" w:type="dxa"/>
            <w:hideMark/>
          </w:tcPr>
          <w:p w14:paraId="0896B7D2" w14:textId="77777777" w:rsidR="00583161" w:rsidRPr="00C22C49" w:rsidRDefault="00583161" w:rsidP="00481B9A">
            <w:pPr>
              <w:pStyle w:val="Table"/>
              <w:jc w:val="right"/>
              <w:rPr>
                <w:szCs w:val="22"/>
                <w:lang w:val="uk-UA" w:eastAsia="uk-UA"/>
              </w:rPr>
            </w:pPr>
            <w:r w:rsidRPr="00C22C49">
              <w:rPr>
                <w:szCs w:val="22"/>
                <w:lang w:val="uk-UA" w:eastAsia="uk-UA"/>
              </w:rPr>
              <w:t>6,244</w:t>
            </w:r>
          </w:p>
        </w:tc>
        <w:tc>
          <w:tcPr>
            <w:tcW w:w="1247" w:type="dxa"/>
            <w:hideMark/>
          </w:tcPr>
          <w:p w14:paraId="0896B7D3" w14:textId="77777777" w:rsidR="00583161" w:rsidRPr="00C22C49" w:rsidRDefault="00583161" w:rsidP="00481B9A">
            <w:pPr>
              <w:pStyle w:val="Table"/>
              <w:jc w:val="right"/>
              <w:rPr>
                <w:szCs w:val="22"/>
                <w:lang w:val="uk-UA" w:eastAsia="uk-UA"/>
              </w:rPr>
            </w:pPr>
            <w:r w:rsidRPr="00C22C49">
              <w:rPr>
                <w:szCs w:val="22"/>
                <w:lang w:val="uk-UA" w:eastAsia="uk-UA"/>
              </w:rPr>
              <w:t>6,244</w:t>
            </w:r>
          </w:p>
        </w:tc>
        <w:tc>
          <w:tcPr>
            <w:tcW w:w="1247" w:type="dxa"/>
            <w:noWrap/>
            <w:hideMark/>
          </w:tcPr>
          <w:p w14:paraId="0896B7D4" w14:textId="77777777" w:rsidR="00583161" w:rsidRPr="00C22C49" w:rsidRDefault="00583161" w:rsidP="00481B9A">
            <w:pPr>
              <w:pStyle w:val="Table"/>
              <w:jc w:val="right"/>
              <w:rPr>
                <w:szCs w:val="22"/>
                <w:lang w:val="uk-UA" w:eastAsia="uk-UA"/>
              </w:rPr>
            </w:pPr>
            <w:r w:rsidRPr="00C22C49">
              <w:rPr>
                <w:szCs w:val="22"/>
                <w:lang w:val="uk-UA" w:eastAsia="uk-UA"/>
              </w:rPr>
              <w:t>6,49</w:t>
            </w:r>
            <w:r w:rsidR="00481B9A" w:rsidRPr="00C22C49">
              <w:rPr>
                <w:szCs w:val="22"/>
                <w:lang w:val="uk-UA" w:eastAsia="uk-UA"/>
              </w:rPr>
              <w:t>4</w:t>
            </w:r>
          </w:p>
        </w:tc>
        <w:tc>
          <w:tcPr>
            <w:tcW w:w="1247" w:type="dxa"/>
            <w:noWrap/>
            <w:hideMark/>
          </w:tcPr>
          <w:p w14:paraId="0896B7D5" w14:textId="77777777" w:rsidR="00583161" w:rsidRPr="00C22C49" w:rsidRDefault="00583161" w:rsidP="00481B9A">
            <w:pPr>
              <w:pStyle w:val="Table"/>
              <w:jc w:val="right"/>
              <w:rPr>
                <w:szCs w:val="22"/>
                <w:lang w:val="uk-UA" w:eastAsia="uk-UA"/>
              </w:rPr>
            </w:pPr>
            <w:r w:rsidRPr="00C22C49">
              <w:rPr>
                <w:szCs w:val="22"/>
                <w:lang w:val="uk-UA" w:eastAsia="uk-UA"/>
              </w:rPr>
              <w:t>5,844</w:t>
            </w:r>
          </w:p>
        </w:tc>
      </w:tr>
    </w:tbl>
    <w:p w14:paraId="0896B7D7" w14:textId="77777777" w:rsidR="00701681" w:rsidRPr="00C22C49" w:rsidRDefault="008A6305" w:rsidP="006813AE">
      <w:r w:rsidRPr="00C22C49">
        <w:t xml:space="preserve">До війни ртутні відходи переробляла тільки </w:t>
      </w:r>
      <w:r w:rsidR="00315A2B" w:rsidRPr="00C22C49">
        <w:t>Горлівська</w:t>
      </w:r>
      <w:r w:rsidRPr="00C22C49">
        <w:t xml:space="preserve"> компанія «Микитртуть». На даний час поблизу Львова (с. Муроване) ДП «Боднарівка» ЛКП "Зелений Львів" побудовано сучасний завод</w:t>
      </w:r>
      <w:r w:rsidR="0094127F" w:rsidRPr="00C22C49">
        <w:t xml:space="preserve"> для</w:t>
      </w:r>
      <w:r w:rsidRPr="00C22C49">
        <w:t xml:space="preserve"> </w:t>
      </w:r>
      <w:r w:rsidR="0094127F" w:rsidRPr="00C22C49">
        <w:t>оброблення</w:t>
      </w:r>
      <w:r w:rsidRPr="00C22C49">
        <w:t xml:space="preserve"> ртуть-вмісних відходів (ламп, градусників).</w:t>
      </w:r>
      <w:r w:rsidR="00CD73B0" w:rsidRPr="00C22C49">
        <w:t xml:space="preserve"> Потужність заводу: за годину тут переробляється 800 компактних або 500 трубчатих люмінесцентних ламп. Цього достатньо для утилізації люмінесцентних ламп з усієї західної частини України.</w:t>
      </w:r>
    </w:p>
    <w:p w14:paraId="0896B7D8" w14:textId="77777777" w:rsidR="005C2E1F" w:rsidRPr="00C22C49" w:rsidRDefault="00E05310" w:rsidP="00720A82">
      <w:pPr>
        <w:pStyle w:val="REDBoldonly"/>
      </w:pPr>
      <w:r w:rsidRPr="00C22C49">
        <w:t>Х</w:t>
      </w:r>
      <w:r w:rsidR="005C2E1F" w:rsidRPr="00C22C49">
        <w:t xml:space="preserve">арактеристика систем збирання </w:t>
      </w:r>
      <w:r w:rsidR="00720A82" w:rsidRPr="00C22C49">
        <w:t xml:space="preserve">небезпечних </w:t>
      </w:r>
      <w:r w:rsidR="005C2E1F" w:rsidRPr="00C22C49">
        <w:t>відходів</w:t>
      </w:r>
      <w:r w:rsidRPr="00C22C49">
        <w:t xml:space="preserve"> </w:t>
      </w:r>
      <w:r w:rsidR="003F62F3" w:rsidRPr="00C22C49">
        <w:t xml:space="preserve">та </w:t>
      </w:r>
      <w:r w:rsidR="005C2E1F" w:rsidRPr="00C22C49">
        <w:t xml:space="preserve">коротка характеристика об’єктів оброблення </w:t>
      </w:r>
      <w:r w:rsidR="00720A82" w:rsidRPr="00C22C49">
        <w:t xml:space="preserve">небезпечних </w:t>
      </w:r>
      <w:r w:rsidR="005C2E1F" w:rsidRPr="00C22C49">
        <w:t>відходів</w:t>
      </w:r>
    </w:p>
    <w:p w14:paraId="0896B7D9" w14:textId="726B366F" w:rsidR="005C2E1F" w:rsidRPr="00C22C49" w:rsidRDefault="000C393E" w:rsidP="00FD1A3A">
      <w:r w:rsidRPr="00C22C49">
        <w:t>Здійснення о</w:t>
      </w:r>
      <w:r w:rsidR="00DF41D6" w:rsidRPr="00C22C49">
        <w:t>пераці</w:t>
      </w:r>
      <w:r w:rsidRPr="00C22C49">
        <w:t>й</w:t>
      </w:r>
      <w:r w:rsidR="00DF41D6" w:rsidRPr="00C22C49">
        <w:t xml:space="preserve"> </w:t>
      </w:r>
      <w:r w:rsidRPr="00C22C49">
        <w:t xml:space="preserve">поводження з небезпечними відходами </w:t>
      </w:r>
      <w:r w:rsidR="00BE7F8D" w:rsidRPr="00C22C49">
        <w:t xml:space="preserve">здійснювалось на підставі ліцензії на </w:t>
      </w:r>
      <w:r w:rsidR="00BE7F8D" w:rsidRPr="00C22C49">
        <w:rPr>
          <w:b/>
          <w:bCs/>
        </w:rPr>
        <w:t>операції поводження з небезпечними відходами</w:t>
      </w:r>
      <w:r w:rsidR="00022C52" w:rsidRPr="00014615">
        <w:t xml:space="preserve">. </w:t>
      </w:r>
      <w:r w:rsidR="008F3C89" w:rsidRPr="00014615">
        <w:t>(</w:t>
      </w:r>
      <w:r w:rsidR="00D27411" w:rsidRPr="00014615">
        <w:t xml:space="preserve">Після прийняття Закону «Про управління відходами» необхідне </w:t>
      </w:r>
      <w:r w:rsidR="00480D9A" w:rsidRPr="00014615">
        <w:t xml:space="preserve">буде </w:t>
      </w:r>
      <w:r w:rsidR="00D27411" w:rsidRPr="00014615">
        <w:t xml:space="preserve">отримання ліцензії на здійснення </w:t>
      </w:r>
      <w:r w:rsidR="00D27411" w:rsidRPr="00014615">
        <w:rPr>
          <w:b/>
          <w:bCs/>
        </w:rPr>
        <w:t>комплексу операцій з управління небезпечними відходами</w:t>
      </w:r>
      <w:r w:rsidR="00D27411" w:rsidRPr="00014615">
        <w:t>.</w:t>
      </w:r>
      <w:r w:rsidR="008F3C89" w:rsidRPr="00014615">
        <w:t>)</w:t>
      </w:r>
      <w:r w:rsidR="00D27411" w:rsidRPr="00014615">
        <w:t xml:space="preserve"> </w:t>
      </w:r>
      <w:r w:rsidR="00F722EE" w:rsidRPr="00014615">
        <w:t>Відповідно до Реєстру виданих ліцензій на провадження господарської діяльності з поводження з небезпечними</w:t>
      </w:r>
      <w:r w:rsidR="00F722EE" w:rsidRPr="00C22C49">
        <w:t xml:space="preserve"> відходами в Україні станом на 2023 функціонує 188 підприємств, що мають ліцензію за здійснення діяльності пов’язаної з управлінням небезпечними відходами. За результатами перевірених Міндовкілля підприємств, що мають ліцензії на управління небезпечними відходами встановлено, що понад 50% не мають матеріально-технічної бази, заявленої у документах. Третина ліцензіатів взагалі не знайдена за місцем провадження господарської діяльності, зазначеним у ліцензіях.</w:t>
      </w:r>
      <w:r w:rsidR="00CB6B33" w:rsidRPr="00C22C49">
        <w:t xml:space="preserve"> Відповідно до Реєстру виданих ліцензій на провадження господарської діяльності з поводження з небезпечними відходами, ряд областей України (Волинська, Луганська, Тернопільська, Хмельницька, Чернівецька та Чернігівська області) не мають жодного підприємства, яке б мало діючі потужності та могло б переробити, знешкодити, утилізувати, видалити чи захоронити небезпечні відходи.</w:t>
      </w:r>
    </w:p>
    <w:p w14:paraId="0896B7DA" w14:textId="77777777" w:rsidR="00E05310" w:rsidRPr="00C22C49" w:rsidRDefault="00E05310" w:rsidP="005265C2">
      <w:pPr>
        <w:pStyle w:val="af9"/>
      </w:pPr>
      <w:r w:rsidRPr="00C22C49">
        <w:t>В Україні існує близько 300 накопичувачів небезпечних відходів, які побудовані без належного технічного захисту і стали джерелом екологічної небезпеки регіонального масштабу. Обладнані сховища для зберігання небезпечних відходів і установки для їх знешкодження та регенерації мають лише окремі суб’єкти господарювання.</w:t>
      </w:r>
      <w:r w:rsidR="002D737B" w:rsidRPr="00C22C49">
        <w:t xml:space="preserve"> </w:t>
      </w:r>
    </w:p>
    <w:p w14:paraId="0896B7DB" w14:textId="77777777" w:rsidR="002D737B" w:rsidRPr="00C22C49" w:rsidRDefault="002D737B" w:rsidP="002D737B">
      <w:pPr>
        <w:rPr>
          <w:rFonts w:cs="Times New Roman"/>
          <w:szCs w:val="24"/>
          <w:lang w:eastAsia="uk-UA"/>
        </w:rPr>
      </w:pPr>
      <w:r w:rsidRPr="00C22C49">
        <w:rPr>
          <w:rFonts w:cs="Times New Roman"/>
          <w:szCs w:val="24"/>
          <w:lang w:eastAsia="uk-UA"/>
        </w:rPr>
        <w:t xml:space="preserve">На даний час в Україні відсутні промислових потужностей для повного відновлення та видалення відходів, що містять СОЗ. Збирання та зберігання здійснюється компаніями, що мають ліцензії на поводження з небезпечними відходами. Для оброблення відходи, що містять СОЗ передають за кордон, відповідно до умов транскордонного переміщення відходів. Ця діяльність, зазвичай, відбувається в рамках проектів міжнародної технічної допомоги. Створення власної системи управління такими відходами відображено в стратегічних документах України. </w:t>
      </w:r>
    </w:p>
    <w:p w14:paraId="0896B7E4" w14:textId="204039DC" w:rsidR="00BF3521" w:rsidRPr="00D22201" w:rsidRDefault="00586F90" w:rsidP="00DB6139">
      <w:pPr>
        <w:rPr>
          <w:rFonts w:cs="Times New Roman"/>
          <w:szCs w:val="24"/>
          <w:lang w:eastAsia="uk-UA"/>
        </w:rPr>
        <w:sectPr w:rsidR="00BF3521" w:rsidRPr="00D22201" w:rsidSect="00406EB3">
          <w:headerReference w:type="even" r:id="rId12"/>
          <w:footerReference w:type="even" r:id="rId13"/>
          <w:footerReference w:type="default" r:id="rId14"/>
          <w:pgSz w:w="11900" w:h="16840"/>
          <w:pgMar w:top="1440" w:right="1080" w:bottom="1440" w:left="1080" w:header="709" w:footer="709" w:gutter="0"/>
          <w:cols w:space="708"/>
          <w:docGrid w:linePitch="360"/>
        </w:sectPr>
      </w:pPr>
      <w:r w:rsidRPr="00C22C49">
        <w:rPr>
          <w:rFonts w:cs="Times New Roman"/>
          <w:szCs w:val="24"/>
          <w:lang w:eastAsia="uk-UA"/>
        </w:rPr>
        <w:t>Збирання ртут</w:t>
      </w:r>
      <w:r w:rsidR="00E72CE9" w:rsidRPr="00C22C49">
        <w:rPr>
          <w:rFonts w:cs="Times New Roman"/>
          <w:szCs w:val="24"/>
          <w:lang w:eastAsia="uk-UA"/>
        </w:rPr>
        <w:t>ь</w:t>
      </w:r>
      <w:r w:rsidRPr="00C22C49">
        <w:rPr>
          <w:rFonts w:cs="Times New Roman"/>
          <w:szCs w:val="24"/>
          <w:lang w:eastAsia="uk-UA"/>
        </w:rPr>
        <w:t xml:space="preserve">вмісних </w:t>
      </w:r>
      <w:r w:rsidR="004D70C1" w:rsidRPr="00C22C49">
        <w:rPr>
          <w:rFonts w:cs="Times New Roman"/>
          <w:szCs w:val="24"/>
          <w:lang w:eastAsia="uk-UA"/>
        </w:rPr>
        <w:t xml:space="preserve">відходів від населення, зокрема ламп та термометрів здійснюється </w:t>
      </w:r>
      <w:r w:rsidR="00B67E22" w:rsidRPr="00C22C49">
        <w:rPr>
          <w:rFonts w:cs="Times New Roman"/>
          <w:szCs w:val="24"/>
          <w:lang w:eastAsia="uk-UA"/>
        </w:rPr>
        <w:t>в деяких населених пунктах</w:t>
      </w:r>
      <w:r w:rsidR="00181290" w:rsidRPr="00C22C49">
        <w:rPr>
          <w:rFonts w:cs="Times New Roman"/>
          <w:szCs w:val="24"/>
          <w:lang w:eastAsia="uk-UA"/>
        </w:rPr>
        <w:t>. Як частина системи збирання небезпечних відходів</w:t>
      </w:r>
      <w:r w:rsidR="00201169" w:rsidRPr="00C22C49">
        <w:rPr>
          <w:rFonts w:cs="Times New Roman"/>
          <w:szCs w:val="24"/>
          <w:lang w:eastAsia="uk-UA"/>
        </w:rPr>
        <w:t xml:space="preserve">, шляхом розставлення спеціальних контейнерів для небезпечних відходів або </w:t>
      </w:r>
      <w:r w:rsidR="001A49ED" w:rsidRPr="00C22C49">
        <w:rPr>
          <w:rFonts w:cs="Times New Roman"/>
          <w:szCs w:val="24"/>
          <w:lang w:eastAsia="uk-UA"/>
        </w:rPr>
        <w:t>запровадження курсування спеціального «еко-бусу» для збирання таких відходів за визначеним розкладом.</w:t>
      </w:r>
    </w:p>
    <w:p w14:paraId="0896B7E6" w14:textId="77777777" w:rsidR="007E0B57" w:rsidRPr="00C22C49" w:rsidRDefault="007E0B57" w:rsidP="007E0B57">
      <w:r w:rsidRPr="00C22C49">
        <w:t xml:space="preserve">Оскільки значна частина з майже 300 діючих накопичувачів небезпечних відходів опинилась в зоні бойових дій або на тимчасово окупованих територіях, що унеможливлює забезпечення їх належний технічний захист та експлуатацію, вони стали джерелом екологічної небезпеки регіонального масштабу. Як результат – зростання обсягів накопичення небезпечних відходів суб’єктами їх утворення на місцях тимчасового складування і зберігання. </w:t>
      </w:r>
    </w:p>
    <w:p w14:paraId="0896B7E7" w14:textId="77777777" w:rsidR="007E0B57" w:rsidRPr="00C22C49" w:rsidRDefault="007E0B57" w:rsidP="007E0B57">
      <w:r w:rsidRPr="00C22C49">
        <w:t xml:space="preserve">Це підтверджується і даними про загальний обсяг відходів I-III класів небезпеки, накопичених протягом експлуатації, у місцях видалення відходів за регіонами. Так на зону активних бойових дій та тимчасово окуповані території припадають максимальні обсяги накопичення: Запорізька область (7659 тис. т), Сумська область (2401,4 тис. т), Донецька область (815,7 тис. т), Луганська область (746,2 тис. т), Дніпропетровська область (185,8 тис. т), Харківська область (116,7 тис. т).  </w:t>
      </w:r>
    </w:p>
    <w:p w14:paraId="0896B7E8" w14:textId="77777777" w:rsidR="007E0B57" w:rsidRPr="00C22C49" w:rsidRDefault="007E0B57" w:rsidP="007E0B57">
      <w:r w:rsidRPr="00C22C49">
        <w:t>Ситуація ускладнюється тим, що багато ліцензіатів, які мають ліцензій на провадження господарської діяльності з поводження з небезпечними відходами в Україні, через військові дії  не можуть здійснювати свою діяльність, оскільки наявна  матеріально-технічної база знищена.</w:t>
      </w:r>
    </w:p>
    <w:p w14:paraId="0896B7E9" w14:textId="77777777" w:rsidR="00F722EE" w:rsidRPr="00C22C49" w:rsidRDefault="00271246" w:rsidP="00720A82">
      <w:pPr>
        <w:pStyle w:val="REDBoldonly"/>
      </w:pPr>
      <w:r w:rsidRPr="00C22C49">
        <w:t xml:space="preserve">Основними проблемами системи </w:t>
      </w:r>
      <w:r w:rsidR="00D17C8B" w:rsidRPr="00C22C49">
        <w:t>управління</w:t>
      </w:r>
      <w:r w:rsidRPr="00C22C49">
        <w:t xml:space="preserve"> </w:t>
      </w:r>
      <w:r w:rsidR="00A43F47" w:rsidRPr="00C22C49">
        <w:t>небезпечними</w:t>
      </w:r>
      <w:r w:rsidRPr="00C22C49">
        <w:t xml:space="preserve"> відходами і її функціонування є:</w:t>
      </w:r>
    </w:p>
    <w:p w14:paraId="0896B7EA" w14:textId="77777777" w:rsidR="0027459E" w:rsidRPr="00C22C49" w:rsidRDefault="0027459E" w:rsidP="00C97238">
      <w:pPr>
        <w:pStyle w:val="BulletRED"/>
      </w:pPr>
      <w:r w:rsidRPr="00C22C49">
        <w:t>Обсяг, якість та надійність даних про поводження з небезпечними відходами є недостатніми та надійним. Брак чітких вимог до документації та звітності у сфері поводження з небезпечними відходами перешкоджає прозорості, моніторингу та підзвітності у секторі.</w:t>
      </w:r>
    </w:p>
    <w:p w14:paraId="0896B7EB" w14:textId="77777777" w:rsidR="00271246" w:rsidRPr="00C22C49" w:rsidRDefault="002E7BEF" w:rsidP="00C97238">
      <w:pPr>
        <w:pStyle w:val="BulletRED"/>
      </w:pPr>
      <w:r w:rsidRPr="00C22C49">
        <w:t>Відсутність чітких вимог і технічних стандартів щодо</w:t>
      </w:r>
      <w:r w:rsidR="001F7CA3" w:rsidRPr="00C22C49">
        <w:t xml:space="preserve"> </w:t>
      </w:r>
      <w:r w:rsidR="00E342CA" w:rsidRPr="00C22C49">
        <w:t>операцій поводження з</w:t>
      </w:r>
      <w:r w:rsidRPr="00C22C49">
        <w:t xml:space="preserve"> </w:t>
      </w:r>
      <w:r w:rsidR="00E342CA" w:rsidRPr="00C22C49">
        <w:t xml:space="preserve">небезпечними </w:t>
      </w:r>
      <w:r w:rsidRPr="00C22C49">
        <w:t>відход</w:t>
      </w:r>
      <w:r w:rsidR="00E342CA" w:rsidRPr="00C22C49">
        <w:t>ами</w:t>
      </w:r>
      <w:r w:rsidRPr="00C22C49">
        <w:t xml:space="preserve">. Ця прогалина перешкоджає належному </w:t>
      </w:r>
      <w:r w:rsidR="0066578F" w:rsidRPr="00C22C49">
        <w:t>поводженю</w:t>
      </w:r>
      <w:r w:rsidR="00095D54" w:rsidRPr="00C22C49">
        <w:t xml:space="preserve"> </w:t>
      </w:r>
      <w:r w:rsidR="0066578F" w:rsidRPr="00C22C49">
        <w:t xml:space="preserve">з </w:t>
      </w:r>
      <w:r w:rsidRPr="00C22C49">
        <w:t>небезпечними відходами, що призводить до потенційних ризиків для довкілля та здоров'я людей.</w:t>
      </w:r>
    </w:p>
    <w:p w14:paraId="0896B7EC" w14:textId="77777777" w:rsidR="002E7BEF" w:rsidRPr="00C22C49" w:rsidRDefault="009D0584" w:rsidP="00C97238">
      <w:pPr>
        <w:pStyle w:val="BulletRED"/>
      </w:pPr>
      <w:r w:rsidRPr="00C22C49">
        <w:t>Неефективні процедури отримання дозволів на діяльність</w:t>
      </w:r>
      <w:r w:rsidR="0027459E" w:rsidRPr="00C22C49">
        <w:t xml:space="preserve"> </w:t>
      </w:r>
      <w:r w:rsidRPr="00C22C49">
        <w:t>поводженням з небезпечними відходами,</w:t>
      </w:r>
      <w:r w:rsidR="009244BB" w:rsidRPr="00C22C49">
        <w:t xml:space="preserve"> при </w:t>
      </w:r>
      <w:r w:rsidR="00583748" w:rsidRPr="00C22C49">
        <w:t>виданні ліцензії на поводження з небезпечними відходами відсутній обов’язок перевіряти наявність матеріально-технічної бази</w:t>
      </w:r>
      <w:r w:rsidR="009244BB" w:rsidRPr="00C22C49">
        <w:t>,</w:t>
      </w:r>
      <w:r w:rsidR="00583748" w:rsidRPr="00C22C49">
        <w:t xml:space="preserve"> що призводить до затримок, адміністративних проблем та фіктивного поводження з небезпечними відходами.</w:t>
      </w:r>
    </w:p>
    <w:p w14:paraId="0896B7ED" w14:textId="77777777" w:rsidR="00A43CCA" w:rsidRPr="00C22C49" w:rsidRDefault="0039659A" w:rsidP="00C97238">
      <w:pPr>
        <w:pStyle w:val="BulletRED"/>
      </w:pPr>
      <w:r w:rsidRPr="00C22C49">
        <w:t>Витрати на поводження з небезпечними відходами знаходяться на надто низькому рівні</w:t>
      </w:r>
      <w:r w:rsidR="00486DE6" w:rsidRPr="00C22C49">
        <w:t>.</w:t>
      </w:r>
      <w:r w:rsidRPr="00C22C49">
        <w:t xml:space="preserve"> </w:t>
      </w:r>
      <w:r w:rsidR="00A43CCA" w:rsidRPr="00C22C49">
        <w:t>Існує поширена практика, коли у тендерах беруть участь так звані ліцензіати-посередники, які не маючи ліцензій на кінцеві операції (перероблення, знешкодження, утилізацію тощо), уклали договір з кінцевим ліцензіатом, якому вони завідомо не планують передавати зібрані відходи.</w:t>
      </w:r>
      <w:r w:rsidR="003C46EB" w:rsidRPr="00C22C49">
        <w:t xml:space="preserve"> </w:t>
      </w:r>
      <w:r w:rsidR="00121D27" w:rsidRPr="00C22C49">
        <w:t xml:space="preserve">Практика заниження </w:t>
      </w:r>
      <w:r w:rsidR="00D36D3C" w:rsidRPr="00C22C49">
        <w:t xml:space="preserve">вартості поводження з небезпечними відходами </w:t>
      </w:r>
      <w:r w:rsidR="00941294" w:rsidRPr="00C22C49">
        <w:t xml:space="preserve">при проведенні тендерів </w:t>
      </w:r>
      <w:r w:rsidR="00D36D3C" w:rsidRPr="00C22C49">
        <w:t xml:space="preserve">ставить у не конкурентне становище компанії, </w:t>
      </w:r>
      <w:r w:rsidR="00941294" w:rsidRPr="00C22C49">
        <w:t>які дійсно надають ці послуги на практиці, а не на папері</w:t>
      </w:r>
      <w:r w:rsidR="006B1FEB" w:rsidRPr="00C22C49">
        <w:t>.</w:t>
      </w:r>
    </w:p>
    <w:p w14:paraId="0896B7EE" w14:textId="77777777" w:rsidR="00583748" w:rsidRPr="00C22C49" w:rsidRDefault="00583748" w:rsidP="00C97238">
      <w:pPr>
        <w:pStyle w:val="BulletRED"/>
      </w:pPr>
      <w:r w:rsidRPr="00C22C49">
        <w:t>Відсутні ефективні процедури контролю та правозастосування притягнення до відповідальності утворювачів та власників небезпечних відходів.</w:t>
      </w:r>
    </w:p>
    <w:p w14:paraId="0896B7EF" w14:textId="77777777" w:rsidR="0027459E" w:rsidRPr="00C22C49" w:rsidRDefault="0027459E" w:rsidP="00C97238">
      <w:pPr>
        <w:pStyle w:val="BulletRED"/>
      </w:pPr>
      <w:r w:rsidRPr="00C22C49">
        <w:t>Не налагоджене роздільне збирання небезпечних відходів у складі побутових.</w:t>
      </w:r>
      <w:r w:rsidR="00782DBC" w:rsidRPr="00C22C49">
        <w:t xml:space="preserve"> У складі побутових відходів небезпечні складають близько 1 % і </w:t>
      </w:r>
      <w:r w:rsidR="006D01D8" w:rsidRPr="00C22C49">
        <w:t>часто видаляються на полігони та сміттєзвалища.</w:t>
      </w:r>
    </w:p>
    <w:p w14:paraId="0896B7F0" w14:textId="77777777" w:rsidR="00A43CCA" w:rsidRPr="00C22C49" w:rsidRDefault="00255FB4" w:rsidP="00C97238">
      <w:pPr>
        <w:pStyle w:val="BulletRED"/>
      </w:pPr>
      <w:r w:rsidRPr="00C22C49">
        <w:t xml:space="preserve">Відсутність в сільській місцевості інфраструктури та досвіду поводження з небезпечними відходами. Якщо раніше номенклатура небезпечних відходів </w:t>
      </w:r>
      <w:r w:rsidR="006D01D8" w:rsidRPr="00C22C49">
        <w:t>була обмежена</w:t>
      </w:r>
      <w:r w:rsidRPr="00C22C49">
        <w:t xml:space="preserve">, на даний час кількість видів таких засобів та їх обсяги значно зросли за рахунок </w:t>
      </w:r>
      <w:r w:rsidR="0027459E" w:rsidRPr="00C22C49">
        <w:t>ВЕЕО</w:t>
      </w:r>
      <w:r w:rsidRPr="00C22C49">
        <w:t>, батарей та акумуляторів, хлорвмісних полімерів</w:t>
      </w:r>
      <w:r w:rsidR="0027459E" w:rsidRPr="00C22C49">
        <w:t xml:space="preserve"> т</w:t>
      </w:r>
      <w:r w:rsidRPr="00C22C49">
        <w:t>ощо.</w:t>
      </w:r>
    </w:p>
    <w:p w14:paraId="0896B7F1" w14:textId="77777777" w:rsidR="00B666BA" w:rsidRPr="00C22C49" w:rsidRDefault="00C97238" w:rsidP="00C97238">
      <w:pPr>
        <w:pStyle w:val="BulletRED"/>
      </w:pPr>
      <w:r w:rsidRPr="00C22C49">
        <w:t>В</w:t>
      </w:r>
      <w:r w:rsidR="00B666BA" w:rsidRPr="00C22C49">
        <w:t>ідсутність обізнаності серед населення щодо негативного впливу небезпечних відходів на здоров’я та довкілля та методів безпечного поводження з такими відходами</w:t>
      </w:r>
      <w:r w:rsidRPr="00C22C49">
        <w:t>.</w:t>
      </w:r>
    </w:p>
    <w:p w14:paraId="0896B7F2" w14:textId="77777777" w:rsidR="003F272A" w:rsidRPr="00C22C49" w:rsidRDefault="001F1C78" w:rsidP="00C97238">
      <w:pPr>
        <w:pStyle w:val="BulletRED"/>
      </w:pPr>
      <w:r w:rsidRPr="00C22C49">
        <w:t>Брак технічних потужностей для відновлення чи видалення певних категорій відходів призводить до їх неконтрольованого видалення чи викидання у навколишнє середовище.</w:t>
      </w:r>
    </w:p>
    <w:p w14:paraId="0896B7F3" w14:textId="77777777" w:rsidR="001F1C78" w:rsidRPr="00C22C49" w:rsidRDefault="00A206D0" w:rsidP="00C97238">
      <w:pPr>
        <w:pStyle w:val="BulletRED"/>
      </w:pPr>
      <w:r w:rsidRPr="00C22C49">
        <w:t>Більшість об'єктів з відновлення та видалення небезпечних відходів не відповідають чинному законодавству та сучасним технічним стандартам. Продовження експлуатації цих об'єктів наражає на ризик здоров'я населення та навколишнє середовище</w:t>
      </w:r>
      <w:r w:rsidR="0027459E" w:rsidRPr="00C22C49">
        <w:t>.</w:t>
      </w:r>
    </w:p>
    <w:p w14:paraId="0896B7F4" w14:textId="77777777" w:rsidR="0027459E" w:rsidRPr="00C22C49" w:rsidRDefault="0027459E" w:rsidP="00C97238">
      <w:pPr>
        <w:pStyle w:val="BulletRED"/>
      </w:pPr>
      <w:r w:rsidRPr="00C22C49">
        <w:t>Не реалізується принцип наближеності, який передбачає для зменшення потенційних ризиків від забруднення відходами їх перероблення якомога ближче до джерел утворення.</w:t>
      </w:r>
    </w:p>
    <w:p w14:paraId="0896B7F5" w14:textId="77777777" w:rsidR="00FD1A3A" w:rsidRPr="00C22C49" w:rsidRDefault="0058773D" w:rsidP="0009065A">
      <w:pPr>
        <w:pStyle w:val="Heading4boldRED"/>
        <w:rPr>
          <w:rStyle w:val="affe"/>
          <w:iCs w:val="0"/>
          <w:sz w:val="26"/>
          <w:lang w:val="uk-UA"/>
        </w:rPr>
      </w:pPr>
      <w:r w:rsidRPr="00C22C49">
        <w:rPr>
          <w:rStyle w:val="affe"/>
          <w:iCs w:val="0"/>
          <w:sz w:val="26"/>
          <w:lang w:val="uk-UA"/>
        </w:rPr>
        <w:t>Промислові відходи</w:t>
      </w:r>
    </w:p>
    <w:p w14:paraId="0896B7F6" w14:textId="77777777" w:rsidR="00B479B5" w:rsidRPr="00C22C49" w:rsidRDefault="00B479B5" w:rsidP="00B479B5">
      <w:pPr>
        <w:pStyle w:val="REDBoldonly"/>
      </w:pPr>
      <w:r w:rsidRPr="00C22C49">
        <w:t xml:space="preserve">Основні утворювачі </w:t>
      </w:r>
      <w:r w:rsidR="00175716" w:rsidRPr="00C22C49">
        <w:t xml:space="preserve">промислових </w:t>
      </w:r>
      <w:r w:rsidRPr="00C22C49">
        <w:t>відходів</w:t>
      </w:r>
    </w:p>
    <w:p w14:paraId="0896B7F7" w14:textId="77777777" w:rsidR="00863A94" w:rsidRPr="00C22C49" w:rsidRDefault="00863A94" w:rsidP="00B479B5">
      <w:r w:rsidRPr="00C22C49">
        <w:t>Більшість промислових відходів утворюються у таких галузях:</w:t>
      </w:r>
    </w:p>
    <w:p w14:paraId="0896B7F8" w14:textId="77777777" w:rsidR="00863A94" w:rsidRPr="00C22C49" w:rsidRDefault="00863A94" w:rsidP="00863A94">
      <w:pPr>
        <w:pStyle w:val="BulletRED"/>
      </w:pPr>
      <w:r w:rsidRPr="00C22C49">
        <w:t>добувної промисловості;</w:t>
      </w:r>
    </w:p>
    <w:p w14:paraId="0896B7F9" w14:textId="77777777" w:rsidR="00863A94" w:rsidRPr="00C22C49" w:rsidRDefault="00863A94" w:rsidP="00863A94">
      <w:pPr>
        <w:pStyle w:val="BulletRED"/>
      </w:pPr>
      <w:r w:rsidRPr="00C22C49">
        <w:t>чорної та кольорової металургії;</w:t>
      </w:r>
    </w:p>
    <w:p w14:paraId="0896B7FA" w14:textId="77777777" w:rsidR="00863A94" w:rsidRPr="00C22C49" w:rsidRDefault="00863A94" w:rsidP="00863A94">
      <w:pPr>
        <w:pStyle w:val="BulletRED"/>
      </w:pPr>
      <w:r w:rsidRPr="00C22C49">
        <w:t>інженерної та металообробної промисловості;</w:t>
      </w:r>
    </w:p>
    <w:p w14:paraId="0896B7FB" w14:textId="77777777" w:rsidR="00863A94" w:rsidRPr="00C22C49" w:rsidRDefault="00863A94" w:rsidP="00863A94">
      <w:pPr>
        <w:pStyle w:val="BulletRED"/>
      </w:pPr>
      <w:r w:rsidRPr="00C22C49">
        <w:t>лісової та деревообробної промисловості;</w:t>
      </w:r>
    </w:p>
    <w:p w14:paraId="0896B7FC" w14:textId="77777777" w:rsidR="00863A94" w:rsidRPr="00C22C49" w:rsidRDefault="00863A94" w:rsidP="00863A94">
      <w:pPr>
        <w:pStyle w:val="BulletRED"/>
      </w:pPr>
      <w:r w:rsidRPr="00C22C49">
        <w:t>енергетичної промисловості;</w:t>
      </w:r>
    </w:p>
    <w:p w14:paraId="0896B7FD" w14:textId="77777777" w:rsidR="00863A94" w:rsidRPr="00C22C49" w:rsidRDefault="00863A94" w:rsidP="00863A94">
      <w:pPr>
        <w:pStyle w:val="BulletRED"/>
      </w:pPr>
      <w:r w:rsidRPr="00C22C49">
        <w:t>хімічної, нафтохімічної та суміжних галузей промисловості;</w:t>
      </w:r>
    </w:p>
    <w:p w14:paraId="0896B7FE" w14:textId="77777777" w:rsidR="00863A94" w:rsidRPr="00C22C49" w:rsidRDefault="00863A94" w:rsidP="00863A94">
      <w:pPr>
        <w:pStyle w:val="BulletRED"/>
      </w:pPr>
      <w:r w:rsidRPr="00C22C49">
        <w:t>харчової промисловості;</w:t>
      </w:r>
    </w:p>
    <w:p w14:paraId="0896B7FF" w14:textId="77777777" w:rsidR="00863A94" w:rsidRPr="00C22C49" w:rsidRDefault="00863A94" w:rsidP="00863A94">
      <w:pPr>
        <w:pStyle w:val="BulletRED"/>
      </w:pPr>
      <w:r w:rsidRPr="00C22C49">
        <w:t>легкої промисловості.</w:t>
      </w:r>
    </w:p>
    <w:p w14:paraId="0896B800" w14:textId="77777777" w:rsidR="00A14773" w:rsidRPr="00C22C49" w:rsidRDefault="00D86407" w:rsidP="00720A82">
      <w:pPr>
        <w:pStyle w:val="REDBoldonly"/>
      </w:pPr>
      <w:r w:rsidRPr="00C22C49">
        <w:t>О</w:t>
      </w:r>
      <w:r w:rsidR="00A14773" w:rsidRPr="00C22C49">
        <w:t>сновні показники</w:t>
      </w:r>
      <w:r w:rsidRPr="00C22C49">
        <w:t xml:space="preserve"> </w:t>
      </w:r>
      <w:r w:rsidR="00A14773" w:rsidRPr="00C22C49">
        <w:t xml:space="preserve">управління </w:t>
      </w:r>
      <w:r w:rsidRPr="00C22C49">
        <w:t xml:space="preserve">промисловими </w:t>
      </w:r>
      <w:r w:rsidR="00A14773" w:rsidRPr="00C22C49">
        <w:t xml:space="preserve">відходами </w:t>
      </w:r>
    </w:p>
    <w:p w14:paraId="0896B801" w14:textId="5AAF475E" w:rsidR="00BF691F" w:rsidRPr="00C22C49" w:rsidRDefault="00BF691F" w:rsidP="00851581">
      <w:pPr>
        <w:rPr>
          <w:color w:val="000000" w:themeColor="text1"/>
        </w:rPr>
      </w:pPr>
      <w:r w:rsidRPr="00C22C49">
        <w:t xml:space="preserve">Відходів від переробної промисловості було утворено 52311,0 тис. т, найбільшу частку становило утворення відходів від металургійного виробництва. Слід зазначити, що дані щодо </w:t>
      </w:r>
      <w:r w:rsidR="00FE1A24">
        <w:rPr>
          <w:color w:val="000000" w:themeColor="text1"/>
        </w:rPr>
        <w:t>обсягів</w:t>
      </w:r>
      <w:r w:rsidR="00FE1A24" w:rsidRPr="00C22C49">
        <w:rPr>
          <w:color w:val="000000" w:themeColor="text1"/>
        </w:rPr>
        <w:t xml:space="preserve"> </w:t>
      </w:r>
      <w:r w:rsidRPr="00C22C49">
        <w:rPr>
          <w:color w:val="000000" w:themeColor="text1"/>
        </w:rPr>
        <w:t>утворення відходів не відображають реальну ситуацію і потребують уточнення та покращення ведення обліку із застосуванням єдиних підходів ведення звітності по регіонах та підприємствах усіх форм власності.</w:t>
      </w:r>
    </w:p>
    <w:p w14:paraId="0896B802" w14:textId="77777777" w:rsidR="00D77ABA" w:rsidRPr="00C22C49" w:rsidRDefault="00957E48" w:rsidP="00851581">
      <w:r w:rsidRPr="00C22C49">
        <w:t>Велика кількість різних видів відходів утворюються при переробленні сировинного концентрату в готову продукцію на кожній технологічній операції. На деяких підприємствах утворюється більше 200 найменувань відходів основного та допоміжного виробництв (доменні, феросплавні і сталеплавильні шлаки, зола, паливні шлаки, фуси, кисла смолка, кислі гудрони та ін.). Відходи споживання утворюються при використанні готової продукції. До них відносяться металобрухт, обладнання, що вийшло з ладу, вироби технічного призначення з гуми, пластмас, скла та ін.</w:t>
      </w:r>
    </w:p>
    <w:p w14:paraId="0896B803" w14:textId="77777777" w:rsidR="00957E48" w:rsidRPr="00C22C49" w:rsidRDefault="00957E48" w:rsidP="00957E48">
      <w:r w:rsidRPr="00C22C49">
        <w:t>З розвитком гірничодобувної, металургійної й інших галузей промисловості на території багатьох населених пунктів України почали розміщувати відвали розкривних і шахтних порід, шлаків, шламосховища.</w:t>
      </w:r>
    </w:p>
    <w:p w14:paraId="0896B804" w14:textId="77777777" w:rsidR="00851581" w:rsidRDefault="0058773D" w:rsidP="00851581">
      <w:r w:rsidRPr="00C22C49">
        <w:t>З</w:t>
      </w:r>
      <w:r w:rsidR="002A7005" w:rsidRPr="00C22C49">
        <w:t xml:space="preserve">а даними національної статистики (дані Держстату), за 2020 рік в Україні було утворено </w:t>
      </w:r>
      <w:r w:rsidR="00651E46" w:rsidRPr="00C22C49">
        <w:t xml:space="preserve">391077,9 тис.т відходів </w:t>
      </w:r>
      <w:r w:rsidR="00D132DC" w:rsidRPr="00C22C49">
        <w:t>добувної промисловості і розроблення кар'єрів</w:t>
      </w:r>
      <w:r w:rsidR="002B1997" w:rsidRPr="00C22C49">
        <w:t xml:space="preserve">. </w:t>
      </w:r>
      <w:r w:rsidR="005A15D6" w:rsidRPr="00C22C49">
        <w:t>Найбільше утворювалось відходів від добування металевих руд</w:t>
      </w:r>
      <w:r w:rsidR="002B1997" w:rsidRPr="00C22C49">
        <w:t>, що скла</w:t>
      </w:r>
      <w:r w:rsidR="00731FE5" w:rsidRPr="00C22C49">
        <w:t>ло</w:t>
      </w:r>
      <w:r w:rsidR="002B1997" w:rsidRPr="00C22C49">
        <w:t xml:space="preserve"> </w:t>
      </w:r>
      <w:r w:rsidR="00731FE5" w:rsidRPr="00C22C49">
        <w:t>майже 94</w:t>
      </w:r>
      <w:r w:rsidR="002B1997" w:rsidRPr="00C22C49">
        <w:t>% від загального утворення відходів</w:t>
      </w:r>
      <w:r w:rsidR="00731FE5" w:rsidRPr="00C22C49">
        <w:t xml:space="preserve"> </w:t>
      </w:r>
      <w:r w:rsidR="002534C4" w:rsidRPr="00C22C49">
        <w:t>видобувної промисловості</w:t>
      </w:r>
      <w:r w:rsidR="005A15D6" w:rsidRPr="00C22C49">
        <w:t>.</w:t>
      </w:r>
      <w:r w:rsidR="00D132DC" w:rsidRPr="00C22C49">
        <w:t xml:space="preserve"> </w:t>
      </w:r>
    </w:p>
    <w:p w14:paraId="1D208872" w14:textId="77777777" w:rsidR="00FC2C58" w:rsidRDefault="00FC2C58" w:rsidP="00851581"/>
    <w:p w14:paraId="5A0256F6" w14:textId="29DDD09E" w:rsidR="00FC2C58" w:rsidRPr="003339EC" w:rsidRDefault="00FC2C58" w:rsidP="00D22201">
      <w:pPr>
        <w:jc w:val="center"/>
        <w:rPr>
          <w:b/>
          <w:bCs/>
        </w:rPr>
      </w:pPr>
      <w:r w:rsidRPr="003339EC">
        <w:rPr>
          <w:b/>
          <w:bCs/>
        </w:rPr>
        <w:t>Таблиця. Утворення відходів переробної промисловості, тис.т</w:t>
      </w:r>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8"/>
        <w:gridCol w:w="1522"/>
        <w:gridCol w:w="1521"/>
        <w:gridCol w:w="1522"/>
        <w:gridCol w:w="1636"/>
        <w:gridCol w:w="1522"/>
      </w:tblGrid>
      <w:tr w:rsidR="00FC2C58" w:rsidRPr="00D22201" w14:paraId="2B70FE59" w14:textId="77777777" w:rsidTr="003339EC">
        <w:trPr>
          <w:trHeight w:val="290"/>
        </w:trPr>
        <w:tc>
          <w:tcPr>
            <w:tcW w:w="789" w:type="pct"/>
            <w:vAlign w:val="center"/>
          </w:tcPr>
          <w:p w14:paraId="5F258E8F" w14:textId="0C8AB934" w:rsidR="00FC2C58" w:rsidRPr="00D22201" w:rsidRDefault="003339EC"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рік</w:t>
            </w:r>
          </w:p>
        </w:tc>
        <w:tc>
          <w:tcPr>
            <w:tcW w:w="829" w:type="pct"/>
            <w:vAlign w:val="center"/>
          </w:tcPr>
          <w:p w14:paraId="3EDAF7DD"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виробництво харчових продуктів</w:t>
            </w:r>
          </w:p>
        </w:tc>
        <w:tc>
          <w:tcPr>
            <w:tcW w:w="829" w:type="pct"/>
            <w:vAlign w:val="center"/>
          </w:tcPr>
          <w:p w14:paraId="7163B30C"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виробництво напоїв</w:t>
            </w:r>
          </w:p>
        </w:tc>
        <w:tc>
          <w:tcPr>
            <w:tcW w:w="830" w:type="pct"/>
            <w:vAlign w:val="center"/>
          </w:tcPr>
          <w:p w14:paraId="18D8C46E"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виробництво хімічних речовин і хімічної продукції</w:t>
            </w:r>
          </w:p>
        </w:tc>
        <w:tc>
          <w:tcPr>
            <w:tcW w:w="892" w:type="pct"/>
            <w:vAlign w:val="center"/>
          </w:tcPr>
          <w:p w14:paraId="4EF4672F"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виробництво фармацевтичних продуктів і препаратів</w:t>
            </w:r>
          </w:p>
        </w:tc>
        <w:tc>
          <w:tcPr>
            <w:tcW w:w="830" w:type="pct"/>
            <w:vAlign w:val="center"/>
          </w:tcPr>
          <w:p w14:paraId="11274AE5"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металургійне виробництво</w:t>
            </w:r>
          </w:p>
        </w:tc>
      </w:tr>
      <w:tr w:rsidR="00FC2C58" w:rsidRPr="00D22201" w14:paraId="213B5223" w14:textId="77777777" w:rsidTr="003339EC">
        <w:trPr>
          <w:trHeight w:val="290"/>
        </w:trPr>
        <w:tc>
          <w:tcPr>
            <w:tcW w:w="789" w:type="pct"/>
            <w:vAlign w:val="center"/>
          </w:tcPr>
          <w:p w14:paraId="28DA56ED"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2010</w:t>
            </w:r>
          </w:p>
        </w:tc>
        <w:tc>
          <w:tcPr>
            <w:tcW w:w="829" w:type="pct"/>
            <w:vAlign w:val="center"/>
          </w:tcPr>
          <w:p w14:paraId="5B459D95"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7245,4</w:t>
            </w:r>
          </w:p>
        </w:tc>
        <w:tc>
          <w:tcPr>
            <w:tcW w:w="829" w:type="pct"/>
            <w:vAlign w:val="center"/>
          </w:tcPr>
          <w:p w14:paraId="18BB5504"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1522,2</w:t>
            </w:r>
          </w:p>
        </w:tc>
        <w:tc>
          <w:tcPr>
            <w:tcW w:w="830" w:type="pct"/>
            <w:vAlign w:val="center"/>
          </w:tcPr>
          <w:p w14:paraId="65B945E7"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2679</w:t>
            </w:r>
          </w:p>
        </w:tc>
        <w:tc>
          <w:tcPr>
            <w:tcW w:w="892" w:type="pct"/>
            <w:vAlign w:val="center"/>
          </w:tcPr>
          <w:p w14:paraId="0FBBABC0"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615,4</w:t>
            </w:r>
          </w:p>
        </w:tc>
        <w:tc>
          <w:tcPr>
            <w:tcW w:w="830" w:type="pct"/>
            <w:vAlign w:val="center"/>
          </w:tcPr>
          <w:p w14:paraId="2DB8AFC1"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32844,2</w:t>
            </w:r>
          </w:p>
        </w:tc>
      </w:tr>
      <w:tr w:rsidR="00FC2C58" w:rsidRPr="00D22201" w14:paraId="2D7DCFF1" w14:textId="77777777" w:rsidTr="003339EC">
        <w:trPr>
          <w:trHeight w:val="290"/>
        </w:trPr>
        <w:tc>
          <w:tcPr>
            <w:tcW w:w="789" w:type="pct"/>
            <w:vAlign w:val="center"/>
          </w:tcPr>
          <w:p w14:paraId="7BCAC614"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2015</w:t>
            </w:r>
          </w:p>
        </w:tc>
        <w:tc>
          <w:tcPr>
            <w:tcW w:w="829" w:type="pct"/>
            <w:vAlign w:val="center"/>
          </w:tcPr>
          <w:p w14:paraId="2D1DE467"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4222,2</w:t>
            </w:r>
          </w:p>
        </w:tc>
        <w:tc>
          <w:tcPr>
            <w:tcW w:w="829" w:type="pct"/>
            <w:vAlign w:val="center"/>
          </w:tcPr>
          <w:p w14:paraId="6ED01610"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939,2</w:t>
            </w:r>
          </w:p>
        </w:tc>
        <w:tc>
          <w:tcPr>
            <w:tcW w:w="830" w:type="pct"/>
            <w:vAlign w:val="center"/>
          </w:tcPr>
          <w:p w14:paraId="3FEB4B10"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703,3</w:t>
            </w:r>
          </w:p>
        </w:tc>
        <w:tc>
          <w:tcPr>
            <w:tcW w:w="892" w:type="pct"/>
            <w:vAlign w:val="center"/>
          </w:tcPr>
          <w:p w14:paraId="40AB8A57"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10,8</w:t>
            </w:r>
          </w:p>
        </w:tc>
        <w:tc>
          <w:tcPr>
            <w:tcW w:w="830" w:type="pct"/>
            <w:vAlign w:val="center"/>
          </w:tcPr>
          <w:p w14:paraId="0FE70A2B"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20725,6</w:t>
            </w:r>
          </w:p>
        </w:tc>
      </w:tr>
      <w:tr w:rsidR="00FC2C58" w:rsidRPr="00D22201" w14:paraId="0C6BEE63" w14:textId="77777777" w:rsidTr="003339EC">
        <w:trPr>
          <w:trHeight w:val="290"/>
        </w:trPr>
        <w:tc>
          <w:tcPr>
            <w:tcW w:w="789" w:type="pct"/>
            <w:vAlign w:val="center"/>
          </w:tcPr>
          <w:p w14:paraId="4E9F0C7E"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2020</w:t>
            </w:r>
          </w:p>
        </w:tc>
        <w:tc>
          <w:tcPr>
            <w:tcW w:w="829" w:type="pct"/>
            <w:vAlign w:val="center"/>
          </w:tcPr>
          <w:p w14:paraId="46AF239A"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4158,7</w:t>
            </w:r>
          </w:p>
        </w:tc>
        <w:tc>
          <w:tcPr>
            <w:tcW w:w="829" w:type="pct"/>
            <w:vAlign w:val="center"/>
          </w:tcPr>
          <w:p w14:paraId="47F59F04"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325,8</w:t>
            </w:r>
          </w:p>
        </w:tc>
        <w:tc>
          <w:tcPr>
            <w:tcW w:w="830" w:type="pct"/>
            <w:vAlign w:val="center"/>
          </w:tcPr>
          <w:p w14:paraId="34E22EA7"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1482,2</w:t>
            </w:r>
          </w:p>
        </w:tc>
        <w:tc>
          <w:tcPr>
            <w:tcW w:w="892" w:type="pct"/>
            <w:vAlign w:val="center"/>
          </w:tcPr>
          <w:p w14:paraId="64247A1B"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14,7</w:t>
            </w:r>
          </w:p>
        </w:tc>
        <w:tc>
          <w:tcPr>
            <w:tcW w:w="830" w:type="pct"/>
            <w:vAlign w:val="center"/>
          </w:tcPr>
          <w:p w14:paraId="666D5BE9"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43650</w:t>
            </w:r>
          </w:p>
        </w:tc>
      </w:tr>
      <w:tr w:rsidR="00FC2C58" w:rsidRPr="00D22201" w14:paraId="020749FA" w14:textId="77777777" w:rsidTr="003339EC">
        <w:trPr>
          <w:trHeight w:val="290"/>
        </w:trPr>
        <w:tc>
          <w:tcPr>
            <w:tcW w:w="789" w:type="pct"/>
            <w:vAlign w:val="center"/>
          </w:tcPr>
          <w:p w14:paraId="23A4FF4B"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2022</w:t>
            </w:r>
          </w:p>
        </w:tc>
        <w:tc>
          <w:tcPr>
            <w:tcW w:w="829" w:type="pct"/>
            <w:vAlign w:val="center"/>
          </w:tcPr>
          <w:p w14:paraId="0BE2A3FC"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3892,543</w:t>
            </w:r>
          </w:p>
        </w:tc>
        <w:tc>
          <w:tcPr>
            <w:tcW w:w="829" w:type="pct"/>
            <w:vAlign w:val="center"/>
          </w:tcPr>
          <w:p w14:paraId="10B9B5D2"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304,9488</w:t>
            </w:r>
          </w:p>
        </w:tc>
        <w:tc>
          <w:tcPr>
            <w:tcW w:w="830" w:type="pct"/>
            <w:vAlign w:val="center"/>
          </w:tcPr>
          <w:p w14:paraId="3F80E067"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1387,339</w:t>
            </w:r>
          </w:p>
        </w:tc>
        <w:tc>
          <w:tcPr>
            <w:tcW w:w="892" w:type="pct"/>
            <w:vAlign w:val="center"/>
          </w:tcPr>
          <w:p w14:paraId="4E2DA237"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13,7592</w:t>
            </w:r>
          </w:p>
        </w:tc>
        <w:tc>
          <w:tcPr>
            <w:tcW w:w="830" w:type="pct"/>
            <w:vAlign w:val="center"/>
          </w:tcPr>
          <w:p w14:paraId="47B4E6CE" w14:textId="77777777" w:rsidR="00FC2C58" w:rsidRPr="00D22201" w:rsidRDefault="00FC2C58"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40856,4</w:t>
            </w:r>
          </w:p>
        </w:tc>
      </w:tr>
    </w:tbl>
    <w:p w14:paraId="3A9C14DC" w14:textId="77777777" w:rsidR="00FC2C58" w:rsidRDefault="00FC2C58" w:rsidP="00851581"/>
    <w:p w14:paraId="19C4AEEC" w14:textId="58C95D38" w:rsidR="00FC2C58" w:rsidRPr="003339EC" w:rsidRDefault="00FC2C58" w:rsidP="003339EC">
      <w:pPr>
        <w:jc w:val="center"/>
        <w:rPr>
          <w:b/>
          <w:bCs/>
        </w:rPr>
      </w:pPr>
      <w:r w:rsidRPr="003339EC">
        <w:rPr>
          <w:b/>
          <w:bCs/>
        </w:rPr>
        <w:t>Таблиця. Утворення відходів добувної промисловості</w:t>
      </w:r>
      <w:r w:rsidR="00064AC2" w:rsidRPr="003339EC">
        <w:rPr>
          <w:b/>
          <w:bCs/>
        </w:rPr>
        <w:t>, тис.т</w:t>
      </w:r>
    </w:p>
    <w:tbl>
      <w:tblPr>
        <w:tblW w:w="4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78"/>
        <w:gridCol w:w="2127"/>
        <w:gridCol w:w="1844"/>
        <w:gridCol w:w="3118"/>
      </w:tblGrid>
      <w:tr w:rsidR="00064AC2" w:rsidRPr="00D22201" w14:paraId="44686BE9" w14:textId="77777777" w:rsidTr="00D22201">
        <w:trPr>
          <w:trHeight w:val="805"/>
          <w:jc w:val="center"/>
        </w:trPr>
        <w:tc>
          <w:tcPr>
            <w:tcW w:w="551" w:type="pct"/>
            <w:vAlign w:val="center"/>
          </w:tcPr>
          <w:p w14:paraId="3656AF7F" w14:textId="28437ACF" w:rsidR="00064AC2" w:rsidRPr="00D22201" w:rsidRDefault="003339EC"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рік</w:t>
            </w:r>
          </w:p>
        </w:tc>
        <w:tc>
          <w:tcPr>
            <w:tcW w:w="1335" w:type="pct"/>
            <w:vAlign w:val="center"/>
          </w:tcPr>
          <w:p w14:paraId="36976012"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добування кам'яного та бурого вугілля</w:t>
            </w:r>
          </w:p>
        </w:tc>
        <w:tc>
          <w:tcPr>
            <w:tcW w:w="1157" w:type="pct"/>
            <w:vAlign w:val="center"/>
          </w:tcPr>
          <w:p w14:paraId="684D7092"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добування металевих руд</w:t>
            </w:r>
          </w:p>
        </w:tc>
        <w:tc>
          <w:tcPr>
            <w:tcW w:w="1957" w:type="pct"/>
            <w:vAlign w:val="center"/>
          </w:tcPr>
          <w:p w14:paraId="7DE48FAA"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22201">
              <w:rPr>
                <w:rFonts w:cs="Times New Roman"/>
                <w:b/>
                <w:bCs/>
                <w:color w:val="000000"/>
                <w:sz w:val="20"/>
              </w:rPr>
              <w:t>добування інших корисних копалин та розроблення кар'єрів</w:t>
            </w:r>
          </w:p>
        </w:tc>
      </w:tr>
      <w:tr w:rsidR="00064AC2" w:rsidRPr="00D22201" w14:paraId="784AAB6C" w14:textId="77777777" w:rsidTr="00D22201">
        <w:trPr>
          <w:trHeight w:val="290"/>
          <w:jc w:val="center"/>
        </w:trPr>
        <w:tc>
          <w:tcPr>
            <w:tcW w:w="551" w:type="pct"/>
            <w:vAlign w:val="center"/>
          </w:tcPr>
          <w:p w14:paraId="7500ACEC"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2010</w:t>
            </w:r>
          </w:p>
        </w:tc>
        <w:tc>
          <w:tcPr>
            <w:tcW w:w="1335" w:type="pct"/>
            <w:vAlign w:val="center"/>
          </w:tcPr>
          <w:p w14:paraId="35F6CD6D"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37071,3</w:t>
            </w:r>
          </w:p>
        </w:tc>
        <w:tc>
          <w:tcPr>
            <w:tcW w:w="1157" w:type="pct"/>
            <w:vAlign w:val="center"/>
          </w:tcPr>
          <w:p w14:paraId="58339375"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267544,9</w:t>
            </w:r>
          </w:p>
        </w:tc>
        <w:tc>
          <w:tcPr>
            <w:tcW w:w="1957" w:type="pct"/>
            <w:vAlign w:val="center"/>
          </w:tcPr>
          <w:p w14:paraId="4DACC692"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16819,0</w:t>
            </w:r>
          </w:p>
        </w:tc>
      </w:tr>
      <w:tr w:rsidR="00064AC2" w:rsidRPr="00D22201" w14:paraId="16082BDE" w14:textId="77777777" w:rsidTr="00D22201">
        <w:trPr>
          <w:trHeight w:val="290"/>
          <w:jc w:val="center"/>
        </w:trPr>
        <w:tc>
          <w:tcPr>
            <w:tcW w:w="551" w:type="pct"/>
            <w:vAlign w:val="center"/>
          </w:tcPr>
          <w:p w14:paraId="639F4D03"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2015</w:t>
            </w:r>
          </w:p>
        </w:tc>
        <w:tc>
          <w:tcPr>
            <w:tcW w:w="1335" w:type="pct"/>
            <w:vAlign w:val="center"/>
          </w:tcPr>
          <w:p w14:paraId="715A52D0"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12084,7</w:t>
            </w:r>
          </w:p>
        </w:tc>
        <w:tc>
          <w:tcPr>
            <w:tcW w:w="1157" w:type="pct"/>
            <w:vAlign w:val="center"/>
          </w:tcPr>
          <w:p w14:paraId="3127F6E4"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238156,6</w:t>
            </w:r>
          </w:p>
        </w:tc>
        <w:tc>
          <w:tcPr>
            <w:tcW w:w="1957" w:type="pct"/>
            <w:vAlign w:val="center"/>
          </w:tcPr>
          <w:p w14:paraId="65375015"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1921,6</w:t>
            </w:r>
          </w:p>
        </w:tc>
      </w:tr>
      <w:tr w:rsidR="00064AC2" w:rsidRPr="00D22201" w14:paraId="592374A3" w14:textId="77777777" w:rsidTr="00D22201">
        <w:trPr>
          <w:trHeight w:val="290"/>
          <w:jc w:val="center"/>
        </w:trPr>
        <w:tc>
          <w:tcPr>
            <w:tcW w:w="551" w:type="pct"/>
            <w:vAlign w:val="center"/>
          </w:tcPr>
          <w:p w14:paraId="5287AF40"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2020</w:t>
            </w:r>
          </w:p>
        </w:tc>
        <w:tc>
          <w:tcPr>
            <w:tcW w:w="1335" w:type="pct"/>
            <w:vAlign w:val="center"/>
          </w:tcPr>
          <w:p w14:paraId="3A5B0EA8"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14576,7</w:t>
            </w:r>
          </w:p>
        </w:tc>
        <w:tc>
          <w:tcPr>
            <w:tcW w:w="1157" w:type="pct"/>
            <w:vAlign w:val="center"/>
          </w:tcPr>
          <w:p w14:paraId="524E05CB"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366901,0</w:t>
            </w:r>
          </w:p>
        </w:tc>
        <w:tc>
          <w:tcPr>
            <w:tcW w:w="1957" w:type="pct"/>
            <w:vAlign w:val="center"/>
          </w:tcPr>
          <w:p w14:paraId="16411085"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9299,7</w:t>
            </w:r>
          </w:p>
        </w:tc>
      </w:tr>
      <w:tr w:rsidR="00064AC2" w:rsidRPr="00D22201" w14:paraId="0CE55063" w14:textId="77777777" w:rsidTr="00D22201">
        <w:trPr>
          <w:trHeight w:val="290"/>
          <w:jc w:val="center"/>
        </w:trPr>
        <w:tc>
          <w:tcPr>
            <w:tcW w:w="551" w:type="pct"/>
            <w:vAlign w:val="center"/>
          </w:tcPr>
          <w:p w14:paraId="403E8581"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2022</w:t>
            </w:r>
          </w:p>
        </w:tc>
        <w:tc>
          <w:tcPr>
            <w:tcW w:w="1335" w:type="pct"/>
            <w:vAlign w:val="center"/>
          </w:tcPr>
          <w:p w14:paraId="39947C1B"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13643,8</w:t>
            </w:r>
          </w:p>
        </w:tc>
        <w:tc>
          <w:tcPr>
            <w:tcW w:w="1157" w:type="pct"/>
            <w:vAlign w:val="center"/>
          </w:tcPr>
          <w:p w14:paraId="1069F446"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343419,3</w:t>
            </w:r>
          </w:p>
        </w:tc>
        <w:tc>
          <w:tcPr>
            <w:tcW w:w="1957" w:type="pct"/>
            <w:vAlign w:val="center"/>
          </w:tcPr>
          <w:p w14:paraId="4BCCDA73" w14:textId="77777777" w:rsidR="00064AC2" w:rsidRPr="00D22201" w:rsidRDefault="00064AC2" w:rsidP="003339EC">
            <w:pPr>
              <w:tabs>
                <w:tab w:val="clear" w:pos="284"/>
                <w:tab w:val="clear" w:pos="1985"/>
              </w:tabs>
              <w:autoSpaceDE w:val="0"/>
              <w:autoSpaceDN w:val="0"/>
              <w:adjustRightInd w:val="0"/>
              <w:spacing w:before="0" w:after="0" w:line="240" w:lineRule="auto"/>
              <w:jc w:val="center"/>
              <w:rPr>
                <w:rFonts w:cs="Times New Roman"/>
                <w:color w:val="000000"/>
                <w:sz w:val="20"/>
              </w:rPr>
            </w:pPr>
            <w:r w:rsidRPr="00D22201">
              <w:rPr>
                <w:rFonts w:cs="Times New Roman"/>
                <w:color w:val="000000"/>
                <w:sz w:val="20"/>
              </w:rPr>
              <w:t>8704,5</w:t>
            </w:r>
          </w:p>
        </w:tc>
      </w:tr>
    </w:tbl>
    <w:p w14:paraId="0896B805" w14:textId="52290C72" w:rsidR="00423029" w:rsidRPr="00C22C49" w:rsidRDefault="00423029" w:rsidP="006E6BDE"/>
    <w:p w14:paraId="0896B807" w14:textId="77777777" w:rsidR="00957E48" w:rsidRPr="00C22C49" w:rsidRDefault="00957E48" w:rsidP="00957E48">
      <w:r w:rsidRPr="00C22C49">
        <w:t>Аналіз тенденцій за період 2010-2022 рр. показує зниження утворення відходів з 2013 року, що пов’язано із спадом економічної активності та окупацією частини регіонів України із наступним відновленням та ростом у 2020 році.</w:t>
      </w:r>
    </w:p>
    <w:p w14:paraId="0896B808" w14:textId="77777777" w:rsidR="00957E48" w:rsidRPr="00C22C49" w:rsidRDefault="00957E48" w:rsidP="00957E48"/>
    <w:p w14:paraId="0896B809" w14:textId="77777777" w:rsidR="006E6BDE" w:rsidRPr="00C22C49" w:rsidRDefault="006E6BDE" w:rsidP="00720A82">
      <w:pPr>
        <w:pStyle w:val="REDBoldonly"/>
      </w:pPr>
      <w:r w:rsidRPr="00C22C49">
        <w:t>Характеристика об’єктів оброблення</w:t>
      </w:r>
      <w:r w:rsidR="00175716" w:rsidRPr="00C22C49">
        <w:t xml:space="preserve"> промислових</w:t>
      </w:r>
      <w:r w:rsidRPr="00C22C49">
        <w:t xml:space="preserve"> відходів.</w:t>
      </w:r>
    </w:p>
    <w:p w14:paraId="0896B80A" w14:textId="77777777" w:rsidR="007D42CF" w:rsidRPr="00C22C49" w:rsidRDefault="00680CAE" w:rsidP="007D42CF">
      <w:r w:rsidRPr="00C22C49">
        <w:t>Операції з у</w:t>
      </w:r>
      <w:r w:rsidR="007D42CF" w:rsidRPr="00C22C49">
        <w:t>тилізаці</w:t>
      </w:r>
      <w:r w:rsidRPr="00C22C49">
        <w:t>ї</w:t>
      </w:r>
      <w:r w:rsidR="007D42CF" w:rsidRPr="00C22C49">
        <w:t xml:space="preserve"> та знешкодження </w:t>
      </w:r>
      <w:r w:rsidRPr="00C22C49">
        <w:t xml:space="preserve">небезпечних </w:t>
      </w:r>
      <w:r w:rsidR="007D42CF" w:rsidRPr="00C22C49">
        <w:t xml:space="preserve">відходів проводить незначна кількість підприємств, які фактично не забезпечені належною технологічною базою. </w:t>
      </w:r>
    </w:p>
    <w:p w14:paraId="0896B80B" w14:textId="77777777" w:rsidR="007D42CF" w:rsidRPr="00C22C49" w:rsidRDefault="007D42CF" w:rsidP="007D42CF">
      <w:r w:rsidRPr="00C22C49">
        <w:t>Основну масу відходів видаляють до відвалів, териконів, шламо-, і хвостосховищ, звалищ, полігонів та інших накопичувачів, яких вже нараховують декілька тисяч. Для цих накопичувачів відчужують значні площі земельних угідь, а також більші</w:t>
      </w:r>
      <w:r w:rsidR="001C22A1" w:rsidRPr="00C22C49">
        <w:t>сть з них</w:t>
      </w:r>
      <w:r w:rsidRPr="00C22C49">
        <w:t xml:space="preserve"> не забезпечен</w:t>
      </w:r>
      <w:r w:rsidR="001C22A1" w:rsidRPr="00C22C49">
        <w:t>і</w:t>
      </w:r>
      <w:r w:rsidRPr="00C22C49">
        <w:t xml:space="preserve"> надійн</w:t>
      </w:r>
      <w:r w:rsidR="001C22A1" w:rsidRPr="00C22C49">
        <w:t>ою</w:t>
      </w:r>
      <w:r w:rsidRPr="00C22C49">
        <w:t xml:space="preserve"> ізоляці</w:t>
      </w:r>
      <w:r w:rsidR="001C22A1" w:rsidRPr="00C22C49">
        <w:t>єю</w:t>
      </w:r>
      <w:r w:rsidR="00322694" w:rsidRPr="00C22C49">
        <w:t xml:space="preserve"> для запобігання</w:t>
      </w:r>
      <w:r w:rsidRPr="00C22C49">
        <w:t xml:space="preserve"> </w:t>
      </w:r>
      <w:r w:rsidR="00322694" w:rsidRPr="00C22C49">
        <w:t xml:space="preserve">забруднення </w:t>
      </w:r>
      <w:r w:rsidRPr="00C22C49">
        <w:t xml:space="preserve">навколишнього середовища. </w:t>
      </w:r>
      <w:r w:rsidR="00983069" w:rsidRPr="00C22C49">
        <w:t>Так, наприклад, у Донецькому регіоні є численні терикони відвальних порід вугільних шахт, у Маріуполі - відвали шлаків, шламосховища, у Харкові - відвали горілої формувальної землі, шламосховища.</w:t>
      </w:r>
    </w:p>
    <w:p w14:paraId="0896B80C" w14:textId="77777777" w:rsidR="00C65F01" w:rsidRPr="00C22C49" w:rsidRDefault="007D42CF" w:rsidP="007D42CF">
      <w:r w:rsidRPr="00C22C49">
        <w:t xml:space="preserve">В багатьох випадках відходи </w:t>
      </w:r>
      <w:r w:rsidR="00E15664" w:rsidRPr="00C22C49">
        <w:t xml:space="preserve">промисловості </w:t>
      </w:r>
      <w:r w:rsidRPr="00C22C49">
        <w:t xml:space="preserve">містять у своєму складі чорні, кольорові, рідкісні, благородні метали, а також нерудну сировину. Серед них, насамперед, відходи гальванічних виробництв, чорної і кольорової металургії, хімічної промисловості тощо. </w:t>
      </w:r>
    </w:p>
    <w:p w14:paraId="0896B80F" w14:textId="77777777" w:rsidR="00CB257D" w:rsidRPr="00C22C49" w:rsidRDefault="00CB257D" w:rsidP="007D42CF"/>
    <w:p w14:paraId="0896B810" w14:textId="77777777" w:rsidR="007112AD" w:rsidRPr="00C22C49" w:rsidRDefault="00A43F47" w:rsidP="008A7D40">
      <w:pPr>
        <w:pStyle w:val="REDBoldonly"/>
      </w:pPr>
      <w:r w:rsidRPr="00C22C49">
        <w:t xml:space="preserve">Основними проблемами системи </w:t>
      </w:r>
      <w:r w:rsidR="00957E48" w:rsidRPr="00C22C49">
        <w:t xml:space="preserve">управління </w:t>
      </w:r>
      <w:r w:rsidRPr="00C22C49">
        <w:t>промисловими відходами і її функціонування є:</w:t>
      </w:r>
    </w:p>
    <w:p w14:paraId="0896B811" w14:textId="77777777" w:rsidR="00C153D1" w:rsidRPr="00C22C49" w:rsidRDefault="00056B4C" w:rsidP="00C153D1">
      <w:r w:rsidRPr="00C22C49">
        <w:t>Питання управління промисловими відходами в Україні врегульоване на законодавчому рівні, але існують такі недоліки, як відсутність програмних та інших  нормативно-правових актів, спрямованих на вирішення проблеми промислових відходів</w:t>
      </w:r>
      <w:r w:rsidR="0058773D" w:rsidRPr="00C22C49">
        <w:t>:</w:t>
      </w:r>
    </w:p>
    <w:p w14:paraId="0896B812" w14:textId="77777777" w:rsidR="00A14773" w:rsidRPr="00C22C49" w:rsidRDefault="00C153D1" w:rsidP="00C153D1">
      <w:pPr>
        <w:pStyle w:val="BulletRED"/>
      </w:pPr>
      <w:r w:rsidRPr="00C22C49">
        <w:rPr>
          <w:b/>
        </w:rPr>
        <w:t xml:space="preserve">Невизначеність </w:t>
      </w:r>
      <w:r w:rsidR="00056B4C" w:rsidRPr="00C22C49">
        <w:rPr>
          <w:b/>
        </w:rPr>
        <w:t>пріоритетних цілей та недостатній рівень інтеграції</w:t>
      </w:r>
      <w:r w:rsidR="00056B4C" w:rsidRPr="00C22C49">
        <w:t xml:space="preserve"> питань охорони навколишнього природного середовища у галузевій стратегії, програми і заходи.</w:t>
      </w:r>
    </w:p>
    <w:p w14:paraId="0896B813" w14:textId="77777777" w:rsidR="006044F8" w:rsidRPr="00C22C49" w:rsidRDefault="006044F8" w:rsidP="00923BFB">
      <w:pPr>
        <w:pStyle w:val="BulletRED"/>
      </w:pPr>
      <w:r w:rsidRPr="00C22C49">
        <w:rPr>
          <w:b/>
        </w:rPr>
        <w:t>Недоліки у інституційній спроможності</w:t>
      </w:r>
      <w:r w:rsidRPr="00C22C49">
        <w:t xml:space="preserve"> державних та місцевих органів, які задіяні у формуванні політики в сфері промислових відходів, виданні дозволів та ліцензій, управлінні даними, забезпеченні виконання законодавства та проведенні контролю.</w:t>
      </w:r>
    </w:p>
    <w:p w14:paraId="0896B814" w14:textId="77777777" w:rsidR="00F87E80" w:rsidRPr="00C22C49" w:rsidRDefault="00F87E80" w:rsidP="00B86F32">
      <w:pPr>
        <w:pStyle w:val="BulletRED"/>
      </w:pPr>
      <w:r w:rsidRPr="00C22C49">
        <w:rPr>
          <w:b/>
        </w:rPr>
        <w:t>Низька якість (недостовірність, неточність, неактуальність) даних</w:t>
      </w:r>
      <w:r w:rsidRPr="00C22C49">
        <w:t xml:space="preserve"> щодо утворення та методів поводження з промисловими відходами на підприємствах та в організаціях.</w:t>
      </w:r>
    </w:p>
    <w:p w14:paraId="0896B815" w14:textId="77777777" w:rsidR="006B4BB6" w:rsidRPr="00C22C49" w:rsidRDefault="006B4BB6" w:rsidP="00B86F32">
      <w:pPr>
        <w:pStyle w:val="BulletRED"/>
      </w:pPr>
      <w:r w:rsidRPr="00C22C49">
        <w:rPr>
          <w:b/>
        </w:rPr>
        <w:t>Відсутність застосування принципу «забруднювач платить»,</w:t>
      </w:r>
      <w:r w:rsidRPr="00C22C49">
        <w:t xml:space="preserve"> ті, хто утворюють відходи повинні нести відповідальність за сплату витрат за належне поводження з ними.</w:t>
      </w:r>
    </w:p>
    <w:p w14:paraId="0896B816" w14:textId="77777777" w:rsidR="000103BD" w:rsidRPr="00C22C49" w:rsidRDefault="000103BD" w:rsidP="00B86F32">
      <w:pPr>
        <w:pStyle w:val="BulletRED"/>
      </w:pPr>
      <w:r w:rsidRPr="00C22C49">
        <w:rPr>
          <w:b/>
        </w:rPr>
        <w:t>Високий рівень накопичення відходів</w:t>
      </w:r>
      <w:r w:rsidRPr="00C22C49">
        <w:t xml:space="preserve"> суб’єктами господарювання в місцях провадження господарської діяльності без подальшого перероблення та утилізації.</w:t>
      </w:r>
    </w:p>
    <w:p w14:paraId="0896B817" w14:textId="1151BB5E" w:rsidR="002463AD" w:rsidRPr="00C22C49" w:rsidRDefault="002463AD" w:rsidP="00B86F32">
      <w:pPr>
        <w:pStyle w:val="BulletRED"/>
      </w:pPr>
      <w:r w:rsidRPr="00C22C49">
        <w:rPr>
          <w:b/>
        </w:rPr>
        <w:t>Видалення промислових відходів</w:t>
      </w:r>
      <w:r w:rsidR="004D5906">
        <w:rPr>
          <w:b/>
        </w:rPr>
        <w:t xml:space="preserve"> на ООВ, які не відповідають вимогам.</w:t>
      </w:r>
      <w:r w:rsidRPr="00C22C49">
        <w:rPr>
          <w:b/>
        </w:rPr>
        <w:t xml:space="preserve"> </w:t>
      </w:r>
      <w:r w:rsidRPr="00C22C49">
        <w:t>;</w:t>
      </w:r>
    </w:p>
    <w:p w14:paraId="0896B818" w14:textId="77777777" w:rsidR="006044F8" w:rsidRPr="00C22C49" w:rsidRDefault="00C153D1" w:rsidP="00B86F32">
      <w:pPr>
        <w:pStyle w:val="BulletRED"/>
      </w:pPr>
      <w:r w:rsidRPr="00C22C49">
        <w:t>Переважання</w:t>
      </w:r>
      <w:r w:rsidRPr="00C22C49" w:rsidDel="00C153D1">
        <w:t xml:space="preserve"> </w:t>
      </w:r>
      <w:r w:rsidR="006044F8" w:rsidRPr="00C22C49">
        <w:t>об'єктів видалення промислових відходів (відвалів, шламо/хвостозвалищ, полігонів тощо), які не відповідають екологічним нормам.</w:t>
      </w:r>
    </w:p>
    <w:p w14:paraId="0896B819" w14:textId="77777777" w:rsidR="00A31D65" w:rsidRPr="00C22C49" w:rsidRDefault="00A31D65" w:rsidP="00923BFB">
      <w:pPr>
        <w:pStyle w:val="BulletRED"/>
      </w:pPr>
      <w:r w:rsidRPr="00C22C49">
        <w:rPr>
          <w:b/>
        </w:rPr>
        <w:t>Недостатність інфраструктури управління промисловими відходами</w:t>
      </w:r>
      <w:r w:rsidRPr="00C22C49">
        <w:t>. Відсутність технологічного обладнання для відновлення (рециклінгу) різних видів промислових відходів.</w:t>
      </w:r>
      <w:r w:rsidR="00923BFB" w:rsidRPr="00C22C49">
        <w:t xml:space="preserve"> Недостатня кількість місць видалення промислових відходів, які забезпечують вимоги екологічної безпеки.</w:t>
      </w:r>
    </w:p>
    <w:p w14:paraId="0896B81A" w14:textId="77777777" w:rsidR="00F463F7" w:rsidRPr="00C22C49" w:rsidRDefault="001E66CA" w:rsidP="00B86F32">
      <w:pPr>
        <w:pStyle w:val="BulletRED"/>
      </w:pPr>
      <w:r w:rsidRPr="00C22C49">
        <w:rPr>
          <w:b/>
        </w:rPr>
        <w:t>Відсутність знань</w:t>
      </w:r>
      <w:r w:rsidR="00FA05F8" w:rsidRPr="00C22C49">
        <w:t xml:space="preserve">. </w:t>
      </w:r>
      <w:r w:rsidR="00B86F32" w:rsidRPr="00C22C49">
        <w:t>Часто промисловість не має достатній знань або зацікавленості в дослідженні перспектив рециклінгу або повторного використання відходів.</w:t>
      </w:r>
    </w:p>
    <w:p w14:paraId="0896B81B" w14:textId="77777777" w:rsidR="00F80B71" w:rsidRPr="00C22C49" w:rsidRDefault="00DC5D69" w:rsidP="00B86F32">
      <w:pPr>
        <w:pStyle w:val="BulletRED"/>
      </w:pPr>
      <w:r w:rsidRPr="00C22C49">
        <w:t>Низькі ставки екологічного податку</w:t>
      </w:r>
      <w:r w:rsidR="0058773D" w:rsidRPr="00C22C49">
        <w:t xml:space="preserve"> на розміщення</w:t>
      </w:r>
      <w:r w:rsidR="00383161" w:rsidRPr="00C22C49">
        <w:t xml:space="preserve"> </w:t>
      </w:r>
      <w:r w:rsidR="0058773D" w:rsidRPr="00C22C49">
        <w:t>відходів</w:t>
      </w:r>
      <w:r w:rsidRPr="00C22C49">
        <w:t xml:space="preserve"> та рентної плати за користування природними ресурсами зумовлюють високий показник утворення відходів на одиницю виробленої продукції</w:t>
      </w:r>
      <w:r w:rsidR="0058773D" w:rsidRPr="00C22C49">
        <w:t xml:space="preserve"> (наприклад, </w:t>
      </w:r>
      <w:r w:rsidRPr="00C22C49">
        <w:t>ставки</w:t>
      </w:r>
      <w:r w:rsidR="00F80B71" w:rsidRPr="00C22C49">
        <w:t xml:space="preserve"> екологічн</w:t>
      </w:r>
      <w:r w:rsidRPr="00C22C49">
        <w:t>ого</w:t>
      </w:r>
      <w:r w:rsidR="00F80B71" w:rsidRPr="00C22C49">
        <w:t xml:space="preserve"> податк</w:t>
      </w:r>
      <w:r w:rsidRPr="00C22C49">
        <w:t>у</w:t>
      </w:r>
      <w:r w:rsidR="00F80B71" w:rsidRPr="00C22C49">
        <w:t xml:space="preserve"> на розміщення </w:t>
      </w:r>
      <w:r w:rsidR="002967AB" w:rsidRPr="00C22C49">
        <w:t xml:space="preserve">гірничих </w:t>
      </w:r>
      <w:r w:rsidR="00F80B71" w:rsidRPr="00C22C49">
        <w:t xml:space="preserve">відходів </w:t>
      </w:r>
      <w:r w:rsidR="0050074C" w:rsidRPr="00C22C49">
        <w:t xml:space="preserve">- </w:t>
      </w:r>
      <w:r w:rsidR="00FB046A" w:rsidRPr="00C22C49">
        <w:t>0,54</w:t>
      </w:r>
      <w:r w:rsidR="0058773D" w:rsidRPr="00C22C49">
        <w:t xml:space="preserve"> </w:t>
      </w:r>
      <w:r w:rsidR="00FB046A" w:rsidRPr="00C22C49">
        <w:t>грн за тону</w:t>
      </w:r>
      <w:r w:rsidR="00BC2AEE" w:rsidRPr="00C22C49">
        <w:rPr>
          <w:rStyle w:val="ac"/>
        </w:rPr>
        <w:footnoteReference w:id="3"/>
      </w:r>
      <w:r w:rsidR="0058773D" w:rsidRPr="00C22C49">
        <w:t>)</w:t>
      </w:r>
      <w:r w:rsidR="00FB046A" w:rsidRPr="00C22C49">
        <w:t>.</w:t>
      </w:r>
      <w:r w:rsidR="0058773D" w:rsidRPr="00C22C49">
        <w:t xml:space="preserve"> </w:t>
      </w:r>
    </w:p>
    <w:p w14:paraId="0896B81C" w14:textId="77777777" w:rsidR="004665E0" w:rsidRPr="00C22C49" w:rsidRDefault="004665E0" w:rsidP="00B86F32">
      <w:pPr>
        <w:pStyle w:val="BulletRED"/>
      </w:pPr>
      <w:r w:rsidRPr="00C22C49">
        <w:rPr>
          <w:b/>
        </w:rPr>
        <w:t>Загроза забруднення компонентів довкілля</w:t>
      </w:r>
      <w:r w:rsidRPr="00C22C49">
        <w:t xml:space="preserve"> (повітря, ґрунту, поверхневих та підземних вод) внаслідок складування промислових відходів.</w:t>
      </w:r>
    </w:p>
    <w:p w14:paraId="0896B81D" w14:textId="77777777" w:rsidR="00BC3D4A" w:rsidRPr="00C22C49" w:rsidRDefault="00BC3D4A" w:rsidP="00B86F32">
      <w:pPr>
        <w:pStyle w:val="BulletRED"/>
      </w:pPr>
      <w:r w:rsidRPr="00C22C49">
        <w:rPr>
          <w:b/>
        </w:rPr>
        <w:t>Втрата цінних мінеральних та енергетичних ресурсів</w:t>
      </w:r>
      <w:r w:rsidRPr="00C22C49">
        <w:t xml:space="preserve"> внаслідок низького рівня рециклінгу промислових відходів.</w:t>
      </w:r>
    </w:p>
    <w:p w14:paraId="0896B81F" w14:textId="77777777" w:rsidR="00FD1A3A" w:rsidRPr="00C22C49" w:rsidRDefault="0058773D" w:rsidP="00266E1E">
      <w:pPr>
        <w:pStyle w:val="Heading4boldRED"/>
        <w:rPr>
          <w:rStyle w:val="affe"/>
          <w:iCs w:val="0"/>
          <w:sz w:val="26"/>
          <w:lang w:val="uk-UA"/>
        </w:rPr>
      </w:pPr>
      <w:r w:rsidRPr="00C22C49">
        <w:rPr>
          <w:rStyle w:val="affe"/>
          <w:iCs w:val="0"/>
          <w:sz w:val="26"/>
          <w:lang w:val="uk-UA"/>
        </w:rPr>
        <w:t>Відходи будівництва та знесення</w:t>
      </w:r>
    </w:p>
    <w:p w14:paraId="0896B820" w14:textId="77777777" w:rsidR="00A14773" w:rsidRPr="00C22C49" w:rsidRDefault="00C6248D" w:rsidP="008A7D40">
      <w:pPr>
        <w:pStyle w:val="REDBoldonly"/>
      </w:pPr>
      <w:r w:rsidRPr="00C22C49">
        <w:t>О</w:t>
      </w:r>
      <w:r w:rsidR="00A14773" w:rsidRPr="00C22C49">
        <w:t>сновні утворювачі відходів</w:t>
      </w:r>
      <w:r w:rsidR="00175716" w:rsidRPr="00C22C49">
        <w:t xml:space="preserve"> будівництва та знесення</w:t>
      </w:r>
    </w:p>
    <w:p w14:paraId="0896B821" w14:textId="77777777" w:rsidR="005F6334" w:rsidRPr="00C22C49" w:rsidRDefault="005F6334" w:rsidP="005F6334">
      <w:r w:rsidRPr="00C22C49">
        <w:t>Відходи будівництва та знесення (ВБЗ) утворю</w:t>
      </w:r>
      <w:r w:rsidR="006D296B" w:rsidRPr="00C22C49">
        <w:t xml:space="preserve">ються </w:t>
      </w:r>
      <w:r w:rsidRPr="00C22C49">
        <w:t>у результаті життєдіяльності людини, в населених пунктах і місцях виробничої інфраструктури при будівництві нових будівель і споруд, а також при ремонті або знесенні</w:t>
      </w:r>
      <w:r w:rsidR="0005103E" w:rsidRPr="00C22C49">
        <w:t xml:space="preserve"> </w:t>
      </w:r>
      <w:r w:rsidRPr="00C22C49">
        <w:t>(включаючи роботи з розбирання).</w:t>
      </w:r>
    </w:p>
    <w:p w14:paraId="0896B822" w14:textId="078DACF0" w:rsidR="005F6334" w:rsidRPr="00C22C49" w:rsidRDefault="005F6334" w:rsidP="005F6334">
      <w:r w:rsidRPr="00C22C49">
        <w:t xml:space="preserve">Згідно з Українською класифікатором відходів, </w:t>
      </w:r>
      <w:r w:rsidR="003C65EE">
        <w:t>в</w:t>
      </w:r>
      <w:r w:rsidR="003C65EE" w:rsidRPr="003C65EE">
        <w:t>ідходи будівництва та знесення</w:t>
      </w:r>
      <w:r w:rsidRPr="00C22C49">
        <w:t xml:space="preserve"> належать до 4-го класу небезпеки та належать до групи 45 системи і включає такі класифікаційні групи:</w:t>
      </w:r>
    </w:p>
    <w:p w14:paraId="0896B823" w14:textId="77777777" w:rsidR="005F6334" w:rsidRPr="00C22C49" w:rsidRDefault="005F6334" w:rsidP="00C6248D">
      <w:pPr>
        <w:pStyle w:val="BulletRED"/>
      </w:pPr>
      <w:r w:rsidRPr="00C22C49">
        <w:t>Відходи будівництва, знесення та ремонту будівель та споруд (451);</w:t>
      </w:r>
    </w:p>
    <w:p w14:paraId="0896B824" w14:textId="77777777" w:rsidR="005F6334" w:rsidRPr="00C22C49" w:rsidRDefault="005F6334" w:rsidP="00C6248D">
      <w:pPr>
        <w:pStyle w:val="BulletRED"/>
      </w:pPr>
      <w:r w:rsidRPr="00C22C49">
        <w:t>Відходи, утворені в результаті антропогенних катастроф (аварії), стихійних лих і природних явищ (459).</w:t>
      </w:r>
    </w:p>
    <w:p w14:paraId="0896B825" w14:textId="77777777" w:rsidR="005F6334" w:rsidRPr="00C22C49" w:rsidRDefault="005F6334" w:rsidP="005F6334">
      <w:r w:rsidRPr="00C22C49">
        <w:t>Утворюються відходи будівництва і знесення з наступних джерел:</w:t>
      </w:r>
    </w:p>
    <w:p w14:paraId="0896B826" w14:textId="77777777" w:rsidR="005F6334" w:rsidRPr="00C22C49" w:rsidRDefault="005F6334" w:rsidP="005F6334">
      <w:pPr>
        <w:pStyle w:val="BulletRED"/>
      </w:pPr>
      <w:r w:rsidRPr="00C22C49">
        <w:t>нове будівництво</w:t>
      </w:r>
      <w:r w:rsidR="00C6248D" w:rsidRPr="00C22C49">
        <w:t>;</w:t>
      </w:r>
      <w:r w:rsidRPr="00C22C49">
        <w:t xml:space="preserve"> </w:t>
      </w:r>
    </w:p>
    <w:p w14:paraId="0896B827" w14:textId="77777777" w:rsidR="005F6334" w:rsidRPr="00C22C49" w:rsidRDefault="005F6334" w:rsidP="005F6334">
      <w:pPr>
        <w:pStyle w:val="BulletRED"/>
      </w:pPr>
      <w:r w:rsidRPr="00C22C49">
        <w:t>знесення будівель</w:t>
      </w:r>
      <w:r w:rsidR="00C6248D" w:rsidRPr="00C22C49">
        <w:t>;</w:t>
      </w:r>
    </w:p>
    <w:p w14:paraId="0896B828" w14:textId="77777777" w:rsidR="00732C29" w:rsidRPr="00C22C49" w:rsidRDefault="005F6334" w:rsidP="005F6334">
      <w:pPr>
        <w:pStyle w:val="BulletRED"/>
      </w:pPr>
      <w:r w:rsidRPr="00C22C49">
        <w:t>ремонтн</w:t>
      </w:r>
      <w:r w:rsidR="0005103E" w:rsidRPr="00C22C49">
        <w:t>і</w:t>
      </w:r>
      <w:r w:rsidRPr="00C22C49">
        <w:t xml:space="preserve"> роб</w:t>
      </w:r>
      <w:r w:rsidR="0005103E" w:rsidRPr="00C22C49">
        <w:t>оти</w:t>
      </w:r>
      <w:r w:rsidR="00C6248D" w:rsidRPr="00C22C49">
        <w:t>.</w:t>
      </w:r>
    </w:p>
    <w:p w14:paraId="0896B829" w14:textId="77777777" w:rsidR="00A14773" w:rsidRPr="00C22C49" w:rsidRDefault="007002DF" w:rsidP="008A7D40">
      <w:pPr>
        <w:pStyle w:val="REDBoldonly"/>
      </w:pPr>
      <w:r w:rsidRPr="00C22C49">
        <w:t>О</w:t>
      </w:r>
      <w:r w:rsidR="00A14773" w:rsidRPr="00C22C49">
        <w:t>сновні показники управління відходами</w:t>
      </w:r>
      <w:r w:rsidR="00175716" w:rsidRPr="00C22C49">
        <w:t xml:space="preserve"> будівництва та знесення</w:t>
      </w:r>
    </w:p>
    <w:p w14:paraId="0896B82A" w14:textId="77777777" w:rsidR="0095228F" w:rsidRPr="00C22C49" w:rsidRDefault="0095228F" w:rsidP="0095228F">
      <w:r w:rsidRPr="00C22C49">
        <w:t xml:space="preserve">Згідно з екологічними звітами, обсяги утворення відходів будівництва та знесення зменшились з 1,4 млн т. (2015 р.) до 0,8 млн. т (2022 р.), що становить відповідно  33 кг та 19 кг на одного мешканця на рік. </w:t>
      </w:r>
    </w:p>
    <w:p w14:paraId="0896B82B" w14:textId="77777777" w:rsidR="00732C29" w:rsidRPr="00C22C49" w:rsidRDefault="0095228F" w:rsidP="0095228F">
      <w:r w:rsidRPr="00C22C49">
        <w:t>Офіційні дані щодо відходів будівництва та знесення в Україні не відображають всі види діяльності, які призводять до утворення відходів будівництва та знесення. За нашими підрахунками, кількість цього виду відходів на людину в середньому буде становити від 175 кг, або близько 7,3 млн т. на рік. Це приблизна оцінка обсягів відходів, що утворилися при будівництві, ремонті та знесенні будівель, доріг, мостів та інших споруд. Оцінка заснована на загальнодоступних даних про споживання матеріалів, наданих державними та промисловими організаціями.</w:t>
      </w:r>
    </w:p>
    <w:p w14:paraId="0896B82C" w14:textId="77777777" w:rsidR="00A14773" w:rsidRPr="00C22C49" w:rsidRDefault="00427400" w:rsidP="008A7D40">
      <w:pPr>
        <w:pStyle w:val="REDBoldonly"/>
      </w:pPr>
      <w:r w:rsidRPr="00C22C49">
        <w:t>Х</w:t>
      </w:r>
      <w:r w:rsidR="00A14773" w:rsidRPr="00C22C49">
        <w:t xml:space="preserve">арактеристика систем збирання </w:t>
      </w:r>
      <w:r w:rsidR="00047973" w:rsidRPr="00C22C49">
        <w:t xml:space="preserve">та </w:t>
      </w:r>
      <w:r w:rsidR="00A14773" w:rsidRPr="00C22C49">
        <w:t>об’єктів оброблення відходів</w:t>
      </w:r>
      <w:r w:rsidR="00175716" w:rsidRPr="00C22C49">
        <w:t xml:space="preserve"> будівництва та знесення</w:t>
      </w:r>
    </w:p>
    <w:p w14:paraId="0896B82D" w14:textId="77777777" w:rsidR="00A14773" w:rsidRPr="00C22C49" w:rsidRDefault="004A33F4" w:rsidP="00A14773">
      <w:r w:rsidRPr="00C22C49">
        <w:t>На сьогодні спеціалізованих полігонів для видалення будівельних відходів в Україні практично н</w:t>
      </w:r>
      <w:r w:rsidR="005E670F" w:rsidRPr="00C22C49">
        <w:t>емає. Є лише у Києві (полігон №</w:t>
      </w:r>
      <w:r w:rsidR="0058773D" w:rsidRPr="00C22C49">
        <w:t xml:space="preserve"> </w:t>
      </w:r>
      <w:r w:rsidRPr="00C22C49">
        <w:t>6) та майданчик у Харкові. В інших містах ці відходи потрапляють на полігони та звалища побутових відходів, або в гіршому випадку — на несанкціоновані звалища.</w:t>
      </w:r>
      <w:r w:rsidR="003B320A" w:rsidRPr="00C22C49">
        <w:t xml:space="preserve"> В Україні немає компаній, здатних надати комплексну послугу з відходами будівництва та знесення.</w:t>
      </w:r>
      <w:r w:rsidR="00427400" w:rsidRPr="00C22C49">
        <w:t xml:space="preserve"> Основна проблема – мала кількість спеціалізованого обладнання з демонтажу будівель - екскаваторів зі спеціальними насадками, дробарок для твердих будівельних матеріалів, яке в основному є власністю  приватних компаній.</w:t>
      </w:r>
    </w:p>
    <w:p w14:paraId="0896B82E" w14:textId="77777777" w:rsidR="004A33F4" w:rsidRPr="00C22C49" w:rsidRDefault="00AF5E08" w:rsidP="00AF5E08">
      <w:r w:rsidRPr="00C22C49">
        <w:t>Обсяг ринку відходів будівництва та знесення. За розрахунками, приблизний обсяг ринку послуг з вивезення будівельних відходів, демонтажу будівель і реалізації відходів, становить від 12 млрд гривень на рік. При тому, що 525 мільйонів коштує захоронення 3,5 млн.т. відходів. За правильного підходу щодо розділення відходів під час знесення, ці витрати можуть стати доходом у 300−350 млн гривень.</w:t>
      </w:r>
    </w:p>
    <w:p w14:paraId="0896B82F" w14:textId="77777777" w:rsidR="00246B65" w:rsidRPr="00C22C49" w:rsidRDefault="00246B65" w:rsidP="008A7D40">
      <w:pPr>
        <w:pStyle w:val="REDBoldonly"/>
      </w:pPr>
      <w:r w:rsidRPr="00C22C49">
        <w:t xml:space="preserve">Основними проблемами системи </w:t>
      </w:r>
      <w:r w:rsidR="003936D5" w:rsidRPr="00C22C49">
        <w:t>управління</w:t>
      </w:r>
      <w:r w:rsidRPr="00C22C49">
        <w:t xml:space="preserve"> </w:t>
      </w:r>
      <w:r w:rsidR="003936D5" w:rsidRPr="00C22C49">
        <w:t>відходами будівництва та знесення</w:t>
      </w:r>
      <w:r w:rsidRPr="00C22C49">
        <w:t xml:space="preserve"> і її функціонування є:</w:t>
      </w:r>
    </w:p>
    <w:p w14:paraId="0896B830" w14:textId="77777777" w:rsidR="004F1E37" w:rsidRPr="00C22C49" w:rsidRDefault="004F1E37" w:rsidP="00735B63">
      <w:pPr>
        <w:pStyle w:val="BulletRED"/>
      </w:pPr>
      <w:r w:rsidRPr="00C22C49">
        <w:t>Низька якість даних щодо утворення та методів поводження з відходами будівництва та знесення</w:t>
      </w:r>
      <w:r w:rsidR="00EF10CA" w:rsidRPr="00C22C49">
        <w:t>.</w:t>
      </w:r>
    </w:p>
    <w:p w14:paraId="0896B831" w14:textId="77777777" w:rsidR="005E56EE" w:rsidRPr="00C22C49" w:rsidRDefault="003463CB" w:rsidP="00735B63">
      <w:pPr>
        <w:pStyle w:val="BulletRED"/>
      </w:pPr>
      <w:r w:rsidRPr="00C22C49">
        <w:t>Велика кількість відходів руйнувань, утворених внаслідок воєнних дій.</w:t>
      </w:r>
      <w:r w:rsidR="004F1E37" w:rsidRPr="00C22C49">
        <w:t xml:space="preserve"> </w:t>
      </w:r>
      <w:r w:rsidR="00EF10CA" w:rsidRPr="00C22C49">
        <w:t>Відсутні обладнанні місця для їх тимчасового збирання та інфраструктура для оброблення.</w:t>
      </w:r>
    </w:p>
    <w:p w14:paraId="0896B832" w14:textId="77777777" w:rsidR="005E56EE" w:rsidRPr="00C22C49" w:rsidRDefault="005E56EE" w:rsidP="00735B63">
      <w:pPr>
        <w:pStyle w:val="BulletRED"/>
      </w:pPr>
      <w:r w:rsidRPr="00C22C49">
        <w:t xml:space="preserve">Демонтаж будівель та конструкцій не належно регульований на законодавчому рівні в Україні, </w:t>
      </w:r>
      <w:r w:rsidR="00814495" w:rsidRPr="00C22C49">
        <w:t>що сприяє</w:t>
      </w:r>
      <w:r w:rsidRPr="00C22C49">
        <w:t xml:space="preserve"> </w:t>
      </w:r>
      <w:r w:rsidR="00814495" w:rsidRPr="00C22C49">
        <w:t xml:space="preserve">перебуванню </w:t>
      </w:r>
      <w:r w:rsidRPr="00C22C49">
        <w:t>сектор</w:t>
      </w:r>
      <w:r w:rsidR="00814495" w:rsidRPr="00C22C49">
        <w:t>у</w:t>
      </w:r>
      <w:r w:rsidRPr="00C22C49">
        <w:t xml:space="preserve"> </w:t>
      </w:r>
      <w:r w:rsidR="00814495" w:rsidRPr="00C22C49">
        <w:t>в</w:t>
      </w:r>
      <w:r w:rsidRPr="00C22C49">
        <w:t xml:space="preserve"> тіньов</w:t>
      </w:r>
      <w:r w:rsidR="00814495" w:rsidRPr="00C22C49">
        <w:t>ій</w:t>
      </w:r>
      <w:r w:rsidRPr="00C22C49">
        <w:t xml:space="preserve"> економі</w:t>
      </w:r>
      <w:r w:rsidR="00814495" w:rsidRPr="00C22C49">
        <w:t>ці</w:t>
      </w:r>
      <w:r w:rsidRPr="00C22C49">
        <w:t>.</w:t>
      </w:r>
    </w:p>
    <w:p w14:paraId="0896B833" w14:textId="77777777" w:rsidR="005E56EE" w:rsidRPr="00C22C49" w:rsidRDefault="005E56EE" w:rsidP="00735B63">
      <w:pPr>
        <w:pStyle w:val="BulletRED"/>
      </w:pPr>
      <w:r w:rsidRPr="00C22C49">
        <w:t>Підприємства, що займаються вивезенням будівельних відходів, не зобов'язані мати дозвіл або ліцензію на ці види робіт, що утруднює контроль і моніторинг їх діяльності.</w:t>
      </w:r>
    </w:p>
    <w:p w14:paraId="0896B834" w14:textId="77777777" w:rsidR="005E56EE" w:rsidRPr="00C22C49" w:rsidRDefault="005E56EE" w:rsidP="00735B63">
      <w:pPr>
        <w:pStyle w:val="BulletRED"/>
      </w:pPr>
      <w:r w:rsidRPr="00C22C49">
        <w:t>Відсутність офіційних процедур ціноутворення на надані послуги</w:t>
      </w:r>
      <w:r w:rsidR="008840AD" w:rsidRPr="00C22C49">
        <w:t xml:space="preserve">, що </w:t>
      </w:r>
      <w:r w:rsidRPr="00C22C49">
        <w:t>при</w:t>
      </w:r>
      <w:r w:rsidR="008840AD" w:rsidRPr="00C22C49">
        <w:t>зводить</w:t>
      </w:r>
      <w:r w:rsidRPr="00C22C49">
        <w:t xml:space="preserve"> до встановлення </w:t>
      </w:r>
      <w:r w:rsidR="00814495" w:rsidRPr="00C22C49">
        <w:t>необґрунтованих</w:t>
      </w:r>
      <w:r w:rsidRPr="00C22C49">
        <w:t xml:space="preserve"> цін.</w:t>
      </w:r>
    </w:p>
    <w:p w14:paraId="0896B835" w14:textId="77777777" w:rsidR="005E56EE" w:rsidRPr="00C22C49" w:rsidRDefault="005E56EE" w:rsidP="00735B63">
      <w:pPr>
        <w:pStyle w:val="BulletRED"/>
      </w:pPr>
      <w:r w:rsidRPr="00C22C49">
        <w:t>Питання гарантій та страхування виконавців та їх обладнання залишається нерозв'язаним.</w:t>
      </w:r>
    </w:p>
    <w:p w14:paraId="0896B836" w14:textId="77777777" w:rsidR="00246B65" w:rsidRPr="00C22C49" w:rsidRDefault="008840AD" w:rsidP="00735B63">
      <w:pPr>
        <w:pStyle w:val="BulletRED"/>
      </w:pPr>
      <w:r w:rsidRPr="00C22C49">
        <w:t xml:space="preserve">Відсутність стандартів </w:t>
      </w:r>
      <w:r w:rsidR="003463CB" w:rsidRPr="00C22C49">
        <w:t xml:space="preserve">та вимог </w:t>
      </w:r>
      <w:r w:rsidRPr="00C22C49">
        <w:t>сорт</w:t>
      </w:r>
      <w:r w:rsidR="003463CB" w:rsidRPr="00C22C49">
        <w:t>ування</w:t>
      </w:r>
      <w:r w:rsidRPr="00C22C49">
        <w:t xml:space="preserve"> матеріалів</w:t>
      </w:r>
      <w:r w:rsidR="003463CB" w:rsidRPr="00C22C49">
        <w:t xml:space="preserve"> </w:t>
      </w:r>
      <w:r w:rsidR="003936D5" w:rsidRPr="00C22C49">
        <w:t>відход</w:t>
      </w:r>
      <w:r w:rsidR="00E63984" w:rsidRPr="00C22C49">
        <w:t>ів</w:t>
      </w:r>
      <w:r w:rsidR="003936D5" w:rsidRPr="00C22C49">
        <w:t xml:space="preserve"> будівництва та знесення</w:t>
      </w:r>
      <w:r w:rsidRPr="00C22C49">
        <w:t xml:space="preserve"> ускладнює їх реалізацію і повторне використання. </w:t>
      </w:r>
      <w:r w:rsidR="005E56EE" w:rsidRPr="00C22C49">
        <w:t xml:space="preserve">Велика кількість відходів, що можуть бути повторно використані або відсортовані, часто </w:t>
      </w:r>
      <w:r w:rsidR="00E63984" w:rsidRPr="00C22C49">
        <w:t>відходи будівництва та знесення</w:t>
      </w:r>
      <w:r w:rsidRPr="00C22C49">
        <w:t xml:space="preserve"> </w:t>
      </w:r>
      <w:r w:rsidR="005E56EE" w:rsidRPr="00C22C49">
        <w:t>невідокремлен</w:t>
      </w:r>
      <w:r w:rsidRPr="00C22C49">
        <w:t>і</w:t>
      </w:r>
      <w:r w:rsidR="005E56EE" w:rsidRPr="00C22C49">
        <w:t xml:space="preserve"> та забруднен</w:t>
      </w:r>
      <w:r w:rsidRPr="00C22C49">
        <w:t>і</w:t>
      </w:r>
      <w:r w:rsidR="005E56EE" w:rsidRPr="00C22C49">
        <w:t xml:space="preserve">, що </w:t>
      </w:r>
      <w:r w:rsidRPr="00C22C49">
        <w:t>призводить до</w:t>
      </w:r>
      <w:r w:rsidR="005E56EE" w:rsidRPr="00C22C49">
        <w:t xml:space="preserve"> їх захорон</w:t>
      </w:r>
      <w:r w:rsidRPr="00C22C49">
        <w:t xml:space="preserve">ення </w:t>
      </w:r>
      <w:r w:rsidR="005E56EE" w:rsidRPr="00C22C49">
        <w:t xml:space="preserve">на полігоні. </w:t>
      </w:r>
    </w:p>
    <w:p w14:paraId="0896B837" w14:textId="77777777" w:rsidR="005E56EE" w:rsidRPr="00C22C49" w:rsidRDefault="005E56EE" w:rsidP="00AF5E08"/>
    <w:p w14:paraId="0896B838" w14:textId="77777777" w:rsidR="00FD1A3A" w:rsidRPr="00C22C49" w:rsidRDefault="0058773D" w:rsidP="00266E1E">
      <w:pPr>
        <w:pStyle w:val="Heading4boldRED"/>
        <w:rPr>
          <w:rStyle w:val="affe"/>
          <w:iCs w:val="0"/>
          <w:sz w:val="26"/>
          <w:lang w:val="uk-UA"/>
        </w:rPr>
      </w:pPr>
      <w:r w:rsidRPr="00C22C49">
        <w:rPr>
          <w:rStyle w:val="affe"/>
          <w:iCs w:val="0"/>
          <w:sz w:val="26"/>
          <w:lang w:val="uk-UA"/>
        </w:rPr>
        <w:t>Відходи сільського господарства</w:t>
      </w:r>
    </w:p>
    <w:p w14:paraId="0896B839" w14:textId="77777777" w:rsidR="00AF1E8A" w:rsidRPr="00C22C49" w:rsidRDefault="00AF1E8A" w:rsidP="008A7D40">
      <w:pPr>
        <w:pStyle w:val="REDBoldonly"/>
      </w:pPr>
      <w:r w:rsidRPr="00C22C49">
        <w:t>Основні утворювачі відходів</w:t>
      </w:r>
      <w:r w:rsidR="00175716" w:rsidRPr="00C22C49">
        <w:t xml:space="preserve"> сільського господарства</w:t>
      </w:r>
    </w:p>
    <w:p w14:paraId="0896B83A" w14:textId="77777777" w:rsidR="00CE6CF3" w:rsidRPr="00C22C49" w:rsidRDefault="00582505" w:rsidP="00FD1A3A">
      <w:r w:rsidRPr="00C22C49">
        <w:t xml:space="preserve">Сільськогосподарські відходи в Україні </w:t>
      </w:r>
      <w:r w:rsidR="005B32AD" w:rsidRPr="00C22C49">
        <w:t>поділяються за походженням</w:t>
      </w:r>
      <w:r w:rsidRPr="00C22C49">
        <w:t xml:space="preserve"> на відходи рослинництва, тваринництва (включно з птахівництвом)</w:t>
      </w:r>
      <w:r w:rsidR="005B32AD" w:rsidRPr="00C22C49">
        <w:t>,</w:t>
      </w:r>
      <w:r w:rsidRPr="00C22C49">
        <w:t xml:space="preserve"> агрохімічні відходи (залишкові добрива, хімічні та органічні засоби захисту рослин, ветеринарні препарати) та аквакультуру</w:t>
      </w:r>
      <w:r w:rsidR="005B32AD" w:rsidRPr="00C22C49">
        <w:t>.</w:t>
      </w:r>
    </w:p>
    <w:p w14:paraId="0896B83B" w14:textId="77777777" w:rsidR="00CE6CF3" w:rsidRPr="00C22C49" w:rsidRDefault="00BC2CC7" w:rsidP="00FD1A3A">
      <w:r w:rsidRPr="00C22C49">
        <w:t>Відходи виробництва сільського господарства складаються з відходів тваринного походження (гній, туші тварин), відходів харчової переробки, сільськогосподарських відходів (залишки від круп, очерет, фрукти, овочі, обрізки) та токсичних сільськогосподарських відходів (пестициди, інсектициди та гербіциди).</w:t>
      </w:r>
    </w:p>
    <w:p w14:paraId="0896B83C" w14:textId="77777777" w:rsidR="00AF1E8A" w:rsidRPr="00C22C49" w:rsidRDefault="00AF1E8A" w:rsidP="00CC0AF8">
      <w:pPr>
        <w:pStyle w:val="REDBoldonly"/>
      </w:pPr>
      <w:r w:rsidRPr="00C22C49">
        <w:t>Основні показники управління відходами</w:t>
      </w:r>
      <w:r w:rsidR="00175716" w:rsidRPr="00C22C49">
        <w:t xml:space="preserve"> сільського господарства</w:t>
      </w:r>
    </w:p>
    <w:p w14:paraId="0896B83D" w14:textId="77777777" w:rsidR="00CE6CF3" w:rsidRPr="00C22C49" w:rsidRDefault="00755D39" w:rsidP="00FD1A3A">
      <w:r w:rsidRPr="00C22C49">
        <w:t>Звітні дані за формою № 1- відходи подають тільки юридичні особи, діяльність яких пов’язана з утворенням і поводженням з відходами І-IV класів небезпеки, тому офіційною статистикою охоплено далеко не повний перелік виробників сільськогосподарської продукції – продуцентів відходів.</w:t>
      </w:r>
    </w:p>
    <w:p w14:paraId="0896B83E" w14:textId="77777777" w:rsidR="00144BD1" w:rsidRPr="00C22C49" w:rsidRDefault="00144BD1" w:rsidP="00144BD1">
      <w:r w:rsidRPr="00C22C49">
        <w:t xml:space="preserve">За даними офіційної статистики, частка відходів сільського господарства в загальному обсязі утворених відходів незначна. За період статистичних спостережень в Україні – не більше 4%. Основна маса сільськогосподарських відходів належить до IV класу небезпеки. Утворення відходів I-III класів є незначним. </w:t>
      </w:r>
    </w:p>
    <w:p w14:paraId="0896B83F" w14:textId="77777777" w:rsidR="00144BD1" w:rsidRPr="00C22C49" w:rsidRDefault="00DB6532" w:rsidP="00144BD1">
      <w:r w:rsidRPr="00C22C49">
        <w:t>Офіційною статистикою охоплено лише юридичні особи, поза державним обліком  домогосподарства  - виробники сільськогосподарської продукції – утворювачі відходів, частка яких у виробництві продукції тваринництва - 50,96%  та 44,13% продукції рослинництва (третина зернових і зернобобових, соняшнику, дві третини  поголів’я великої рогатої худоби, половина свиней та птиці).</w:t>
      </w:r>
    </w:p>
    <w:p w14:paraId="0896B840" w14:textId="77777777" w:rsidR="00CE6CF3" w:rsidRPr="00C22C49" w:rsidRDefault="00144BD1" w:rsidP="00144BD1">
      <w:pPr>
        <w:rPr>
          <w:b/>
          <w:bCs/>
        </w:rPr>
      </w:pPr>
      <w:r w:rsidRPr="00C22C49">
        <w:t xml:space="preserve">Отже, </w:t>
      </w:r>
      <w:r w:rsidRPr="00C22C49">
        <w:rPr>
          <w:b/>
          <w:bCs/>
        </w:rPr>
        <w:t>офіційна статистика не забезпечує повноти даних</w:t>
      </w:r>
      <w:r w:rsidRPr="00C22C49">
        <w:t xml:space="preserve"> про обсяги утворених відходів сільського господарства й потребує доповнень. Більш репрезентативними за таких обставин будуть розрахункові дані.</w:t>
      </w:r>
      <w:r w:rsidR="00DD0468" w:rsidRPr="00C22C49">
        <w:t xml:space="preserve"> Загальний </w:t>
      </w:r>
      <w:r w:rsidR="00DD0468" w:rsidRPr="00C22C49">
        <w:rPr>
          <w:b/>
          <w:bCs/>
        </w:rPr>
        <w:t xml:space="preserve">розрахунковий обсяг відходів рослинництва в Україні </w:t>
      </w:r>
      <w:r w:rsidR="001C11BA" w:rsidRPr="00C22C49">
        <w:rPr>
          <w:b/>
          <w:bCs/>
        </w:rPr>
        <w:t>становив 127,849 млн т</w:t>
      </w:r>
      <w:r w:rsidR="001C11BA" w:rsidRPr="00C22C49">
        <w:t xml:space="preserve">. проти 8,848 млн т за даними Держстату </w:t>
      </w:r>
      <w:r w:rsidR="00DD0468" w:rsidRPr="00C22C49">
        <w:t>(крім Автономної Республіки Крим та тимчасово окупованих територій Донецької та Луганської областей) у 2022 р.. На відходи кукурудзи припадає 42,1% усіх відходів рослинництва, соняшнику – 23,9%,  пшениці – 22,2%. Меншу частку займають відходи ячменю – 5,6%, ріпаку – 5,1%, інших зернових – 1,3%. Найбільші розрахункові обсяги відходів рослинництва спостерігаються в областях степової та лісостепової зон України (Полтавська – 10,273 млн т, Вінницька – 9,796 млн т, Кіровоградська – 8,839 млн т), менші – в областях Карпатського регіону (Закарпатська – 0,016 млн т, Чернівецька – 0,069 млн т, Івано-Франківська – 0,122 млн т).</w:t>
      </w:r>
    </w:p>
    <w:p w14:paraId="0896B841" w14:textId="613037F8" w:rsidR="00CE6CF3" w:rsidRPr="00C22C49" w:rsidRDefault="00DC3136" w:rsidP="00FD1A3A">
      <w:r w:rsidRPr="00C22C49">
        <w:t xml:space="preserve">Узагальнення даних утворення відходів тваринництва дає підстави для визначення питомих показників відходів стосовно поголів’я великої рогатої худоби, свиней і птиці, на основі чого здійснено розрахунки основної маси відходів тваринництва, які складаються з гною та посліду. </w:t>
      </w:r>
      <w:r w:rsidRPr="00C22C49">
        <w:rPr>
          <w:b/>
          <w:bCs/>
        </w:rPr>
        <w:t xml:space="preserve">Розрахунковий обсяг </w:t>
      </w:r>
      <w:r w:rsidR="004F3DE2" w:rsidRPr="00C22C49">
        <w:rPr>
          <w:b/>
          <w:bCs/>
        </w:rPr>
        <w:t xml:space="preserve">відходів тваринництва </w:t>
      </w:r>
      <w:r w:rsidRPr="00C22C49">
        <w:rPr>
          <w:b/>
          <w:bCs/>
        </w:rPr>
        <w:t>становить 49,646 млн т.</w:t>
      </w:r>
      <w:r w:rsidRPr="00C22C49">
        <w:t xml:space="preserve"> На відходи </w:t>
      </w:r>
      <w:r w:rsidR="00B97DC4">
        <w:t xml:space="preserve">великої рогатої худоби (ВРХ) </w:t>
      </w:r>
      <w:r w:rsidRPr="00C22C49">
        <w:t>припадає 62,3% усіх відходів тваринництва, свинарства – 34,6%, птахівництва – 3,1%. Найбільшими обсяги утворення відходів тваринництва є у Хмельницькій (3,207 млн т), Вінницькій (3,206 млн т) і Полтавській (2,957 млн т) областях. За цією групою відходів немає такої великої розбіжності за обсягами між областями, як це має місце щодо відходів рослинництва. Лише в Миколаївській, Луганській та Чернівецькій областях показник відходів тваринництва був меншим від 1 млн. т.</w:t>
      </w:r>
    </w:p>
    <w:p w14:paraId="0896B842" w14:textId="77777777" w:rsidR="00EE297C" w:rsidRPr="00C22C49" w:rsidRDefault="00EE297C" w:rsidP="00FD1A3A">
      <w:r w:rsidRPr="00C22C49">
        <w:t xml:space="preserve">До відходів тваринництва належать також </w:t>
      </w:r>
      <w:r w:rsidRPr="00C22C49">
        <w:rPr>
          <w:b/>
          <w:bCs/>
        </w:rPr>
        <w:t>побічні продукти тваринного походження</w:t>
      </w:r>
      <w:r w:rsidRPr="00C22C49">
        <w:t xml:space="preserve">, не призначені для споживання людиною – туші та частини туш забитих, загиблих тварин, продукти тваринного походження, визнані непридатними для споживання людиною тощо. Обсяги таких відходів є порівняно невеликі. За нормативами падіж птиці може становити 3,5%, що спричинить утворення 3570 тонн біовідходів на рік. Щорічний загальний обсяг відходів з тканин тварин в Україні </w:t>
      </w:r>
      <w:r w:rsidRPr="00C22C49">
        <w:rPr>
          <w:b/>
          <w:bCs/>
        </w:rPr>
        <w:t>оцінюється в</w:t>
      </w:r>
      <w:r w:rsidRPr="00C22C49">
        <w:t xml:space="preserve"> </w:t>
      </w:r>
      <w:r w:rsidRPr="00C22C49">
        <w:rPr>
          <w:b/>
          <w:bCs/>
        </w:rPr>
        <w:t>0,9 млн. т</w:t>
      </w:r>
      <w:r w:rsidRPr="00C22C49">
        <w:t>, що становить менше 2% розрахункового обсягу відходів з гною та посліду.</w:t>
      </w:r>
    </w:p>
    <w:p w14:paraId="0896B843" w14:textId="77777777" w:rsidR="005D0F63" w:rsidRPr="00C22C49" w:rsidRDefault="005D0F63" w:rsidP="00FD1A3A">
      <w:pPr>
        <w:rPr>
          <w:color w:val="000000" w:themeColor="text1"/>
        </w:rPr>
      </w:pPr>
      <w:r w:rsidRPr="00C22C49">
        <w:rPr>
          <w:b/>
        </w:rPr>
        <w:t>Сумарний розрахунковий обсяг відходів сільського господарства</w:t>
      </w:r>
      <w:r w:rsidRPr="00C22C49">
        <w:t xml:space="preserve"> (без агрохімічних відходів і відходів з тканин тварин) оцінено у 17</w:t>
      </w:r>
      <w:r w:rsidR="00911E98" w:rsidRPr="00C22C49">
        <w:t>8</w:t>
      </w:r>
      <w:r w:rsidRPr="00C22C49">
        <w:t xml:space="preserve"> млн. т.</w:t>
      </w:r>
      <w:r w:rsidR="005D4BD2" w:rsidRPr="00C22C49">
        <w:t xml:space="preserve">, </w:t>
      </w:r>
      <w:r w:rsidR="005D4BD2" w:rsidRPr="00C22C49">
        <w:rPr>
          <w:color w:val="000000" w:themeColor="text1"/>
        </w:rPr>
        <w:t>але тільки близько 5% їх відображено в статистичній звітності. За таких обставин немає можливості вести мову про формування дієвої державної системи поводження з відходами, яка, зокрема, забезпечувала б введення значних ресурсів рослинного й тваринного походження в господарський оборот через рециклінг відходів.</w:t>
      </w:r>
    </w:p>
    <w:p w14:paraId="0896B844" w14:textId="77777777" w:rsidR="000253DA" w:rsidRPr="00C22C49" w:rsidRDefault="002D53D8" w:rsidP="00CC0AF8">
      <w:pPr>
        <w:pStyle w:val="REDBoldonly"/>
      </w:pPr>
      <w:r w:rsidRPr="00C22C49">
        <w:t>Агрохімічні відходи</w:t>
      </w:r>
    </w:p>
    <w:p w14:paraId="0896B845" w14:textId="77777777" w:rsidR="0048143E" w:rsidRPr="00C22C49" w:rsidRDefault="0048143E" w:rsidP="0048143E">
      <w:r w:rsidRPr="00C22C49">
        <w:t>Агрохімічні відходи (засоби захисту рослин) включають пестициди, гербіциди, фунгіциди, хімічні та біологічні стимулятори росту рослин. Окрема група засобів захисту рослин включає непридатні та заборонені пестициди, які в основному вироблялися та накопичувались за часів СРСР.</w:t>
      </w:r>
      <w:r w:rsidR="00CC2C6E" w:rsidRPr="00C22C49">
        <w:t xml:space="preserve"> </w:t>
      </w:r>
    </w:p>
    <w:p w14:paraId="0896B846" w14:textId="77777777" w:rsidR="002D53D8" w:rsidRPr="00C22C49" w:rsidRDefault="0048143E" w:rsidP="0048143E">
      <w:r w:rsidRPr="00C22C49">
        <w:t>Агрохімічні відходи в Україні мають значно менші обсяги. За наявними даними, накопичені в країні непридатні хімічні засоби захисту рослин можуть становити близько 8,5 тис. т, що порівняно з розрахунковим обсягом відходів рослинництва є малопомітною величиною.</w:t>
      </w:r>
      <w:r w:rsidR="00CC2C6E" w:rsidRPr="00C22C49">
        <w:t xml:space="preserve"> Слід зазначити, що використані статистичні дані щодо обсягів утворення та поводження з відходами є неповними внаслідок того, що значна кількість підприємств, посилаючись на комерційну таємницю, не оприлюднюють фактичні обсяги утворення сільськогосподарських відходів.</w:t>
      </w:r>
    </w:p>
    <w:p w14:paraId="0896B847" w14:textId="77777777" w:rsidR="00AF1E8A" w:rsidRPr="00C22C49" w:rsidRDefault="00AF1E8A" w:rsidP="0005471C">
      <w:pPr>
        <w:pStyle w:val="REDBoldonly"/>
      </w:pPr>
      <w:r w:rsidRPr="00C22C49">
        <w:t>Характеристика систем збирання та об’єктів оброблення відходів</w:t>
      </w:r>
      <w:r w:rsidR="00CE6CE1" w:rsidRPr="00C22C49">
        <w:t xml:space="preserve"> сільського господарства</w:t>
      </w:r>
    </w:p>
    <w:p w14:paraId="0896B848" w14:textId="77777777" w:rsidR="00CE6CF3" w:rsidRPr="00C22C49" w:rsidRDefault="00BF5760" w:rsidP="00FD1A3A">
      <w:r w:rsidRPr="00C22C49">
        <w:t>Реальні обсяги відходів сільського господарства в Україні, понад 90% яких можуть застосовуватися у процесах рециклінгу, багаторазово перевищують показники, що наводить офіційна статистика. Здійснені розрахунки показують, що річний обсяг утворення сільськогосподарських відходів сягає 177,5 млн т, але тільки близько 5% їх відображено в статистичній звітності.</w:t>
      </w:r>
      <w:r w:rsidR="00C30640" w:rsidRPr="00C22C49">
        <w:t xml:space="preserve"> </w:t>
      </w:r>
      <w:r w:rsidRPr="00C22C49">
        <w:t xml:space="preserve"> За таких обставин немає можливості вести мову про формування дієвої державної системи поводження з відходами, яка, зокрема, забезпечувала б введення значних ресурсів рослинного й тваринного походження в господарський оборот через рециклінг відходів. Водночас важливо також ураховувати конкурентність форм і напрямів рециклінгу відходів сільського господарства з огляду на загальноекономічну та екологічну доцільність.</w:t>
      </w:r>
      <w:r w:rsidR="002A2351" w:rsidRPr="00C22C49">
        <w:t xml:space="preserve"> </w:t>
      </w:r>
      <w:r w:rsidR="000B3104" w:rsidRPr="00C22C49">
        <w:t xml:space="preserve">Фермерські господарства більшу частину відходів використовують </w:t>
      </w:r>
      <w:r w:rsidR="00104358" w:rsidRPr="00C22C49">
        <w:t>у власних господарських цілях</w:t>
      </w:r>
      <w:r w:rsidR="009A2AA3" w:rsidRPr="00C22C49">
        <w:t xml:space="preserve">. За даними Держстату у 2020 році </w:t>
      </w:r>
      <w:r w:rsidR="002D2EB9" w:rsidRPr="00C22C49">
        <w:t>480 тис.т відходів рослинного походження було спалено</w:t>
      </w:r>
      <w:r w:rsidR="001E3718" w:rsidRPr="00C22C49">
        <w:t xml:space="preserve">, </w:t>
      </w:r>
      <w:r w:rsidR="00414017" w:rsidRPr="00C22C49">
        <w:t>а 1</w:t>
      </w:r>
      <w:r w:rsidR="00E04E8A" w:rsidRPr="00C22C49">
        <w:t>502</w:t>
      </w:r>
      <w:r w:rsidR="00173203" w:rsidRPr="00C22C49">
        <w:t>,5 тис</w:t>
      </w:r>
      <w:r w:rsidR="00414017" w:rsidRPr="00C22C49">
        <w:t>.тон – утилізовано</w:t>
      </w:r>
      <w:r w:rsidR="00E04E8A" w:rsidRPr="00C22C49">
        <w:t>, 15,5 тис.т - видалено</w:t>
      </w:r>
      <w:r w:rsidR="00414017" w:rsidRPr="00C22C49">
        <w:t>.</w:t>
      </w:r>
      <w:r w:rsidR="00B13F16" w:rsidRPr="00C22C49">
        <w:t xml:space="preserve"> </w:t>
      </w:r>
      <w:r w:rsidR="00F47FFB" w:rsidRPr="00C22C49">
        <w:t>У к</w:t>
      </w:r>
      <w:r w:rsidR="009138A9" w:rsidRPr="00C22C49">
        <w:t>атегорі</w:t>
      </w:r>
      <w:r w:rsidR="00F47FFB" w:rsidRPr="00C22C49">
        <w:t>ї</w:t>
      </w:r>
      <w:r w:rsidR="009138A9" w:rsidRPr="00C22C49">
        <w:t xml:space="preserve"> матеріалів «тваринні екскременти, сеча та гній» 2</w:t>
      </w:r>
      <w:r w:rsidR="00173203" w:rsidRPr="00C22C49">
        <w:t>324,6 тис</w:t>
      </w:r>
      <w:r w:rsidR="0007548C" w:rsidRPr="00C22C49">
        <w:t xml:space="preserve">.тон </w:t>
      </w:r>
      <w:r w:rsidR="00F47FFB" w:rsidRPr="00C22C49">
        <w:t xml:space="preserve">відходів </w:t>
      </w:r>
      <w:r w:rsidR="0007548C" w:rsidRPr="00C22C49">
        <w:t>було утилізовано</w:t>
      </w:r>
      <w:r w:rsidR="00F45557" w:rsidRPr="00C22C49">
        <w:t>, спалюванн</w:t>
      </w:r>
      <w:r w:rsidR="0017739B" w:rsidRPr="00C22C49">
        <w:t xml:space="preserve">ю </w:t>
      </w:r>
      <w:r w:rsidR="00F45557" w:rsidRPr="00C22C49">
        <w:t>та видаленн</w:t>
      </w:r>
      <w:r w:rsidR="0017739B" w:rsidRPr="00C22C49">
        <w:t>ю, за офіційною статистикою, не піддавались</w:t>
      </w:r>
      <w:r w:rsidR="0007548C" w:rsidRPr="00C22C49">
        <w:t>.</w:t>
      </w:r>
    </w:p>
    <w:p w14:paraId="0896B849" w14:textId="77777777" w:rsidR="00C8616A" w:rsidRPr="00C22C49" w:rsidRDefault="00C8616A" w:rsidP="00C8616A">
      <w:r w:rsidRPr="00C22C49">
        <w:t xml:space="preserve">Підвидом відходів виробництва продукції сільського господарства є вирощування морських продуктів, які є найтяжчими для збирання й переробки, оскільки саме вони більше всього забруднюють воду під час самого процесу виробництва. Зі зростанням використання кормів збільшилась кількість відходів аквакультур, 30% яких займають тверді побутові відходи. </w:t>
      </w:r>
    </w:p>
    <w:p w14:paraId="0896B84A" w14:textId="77777777" w:rsidR="00CE6CF3" w:rsidRDefault="00C8616A" w:rsidP="00C8616A">
      <w:r w:rsidRPr="00C22C49">
        <w:t>Загалом у процесі виробництва продукції сільського господарства будь-якого типу можна виокремити сталу схему нагромадження відходів.</w:t>
      </w:r>
    </w:p>
    <w:p w14:paraId="16F78910" w14:textId="1D1EC39A" w:rsidR="007A5773" w:rsidRPr="00181BE4" w:rsidRDefault="00E97826" w:rsidP="00C8616A">
      <w:pPr>
        <w:rPr>
          <w:lang w:val="en-US"/>
        </w:rPr>
      </w:pPr>
      <w:r>
        <w:t xml:space="preserve">Оброблення </w:t>
      </w:r>
      <w:r w:rsidR="00B8364F">
        <w:t xml:space="preserve">відходів </w:t>
      </w:r>
      <w:r w:rsidR="007A5773">
        <w:t>тваринного</w:t>
      </w:r>
      <w:r w:rsidR="00B8364F">
        <w:t xml:space="preserve"> походження </w:t>
      </w:r>
    </w:p>
    <w:p w14:paraId="1CB1BD38" w14:textId="0EEF8A9D" w:rsidR="00E97826" w:rsidRPr="00014615" w:rsidRDefault="00F31F60" w:rsidP="00C8616A">
      <w:r w:rsidRPr="00F31F60">
        <w:t xml:space="preserve">За даними Держенергоефективності, </w:t>
      </w:r>
      <w:r w:rsidR="008A20AA">
        <w:t xml:space="preserve">станом на </w:t>
      </w:r>
      <w:r w:rsidR="00CE25AC">
        <w:t xml:space="preserve">2020 рік </w:t>
      </w:r>
      <w:r w:rsidR="00CE25AC" w:rsidRPr="00F31F60">
        <w:t>21</w:t>
      </w:r>
      <w:r w:rsidRPr="00F31F60">
        <w:t xml:space="preserve"> установк</w:t>
      </w:r>
      <w:r w:rsidR="007A5773">
        <w:t xml:space="preserve">а </w:t>
      </w:r>
      <w:r w:rsidR="007A5773" w:rsidRPr="00CE25AC">
        <w:t>працю</w:t>
      </w:r>
      <w:r w:rsidR="007A5773">
        <w:t>є</w:t>
      </w:r>
      <w:r w:rsidR="007A5773" w:rsidRPr="00CE25AC">
        <w:t xml:space="preserve"> на відходах сільського господарства</w:t>
      </w:r>
      <w:r w:rsidR="007A5773">
        <w:t xml:space="preserve"> та</w:t>
      </w:r>
      <w:r w:rsidR="007A5773" w:rsidRPr="00F31F60">
        <w:t xml:space="preserve"> </w:t>
      </w:r>
      <w:r w:rsidRPr="00F31F60">
        <w:t>виробля</w:t>
      </w:r>
      <w:r w:rsidR="007A5773">
        <w:t>є</w:t>
      </w:r>
      <w:r w:rsidRPr="00F31F60">
        <w:t xml:space="preserve"> енергію з біогазу</w:t>
      </w:r>
      <w:r w:rsidR="007A5773">
        <w:t xml:space="preserve"> (</w:t>
      </w:r>
      <w:r w:rsidRPr="00F31F60">
        <w:t>потужність 59 МВт</w:t>
      </w:r>
      <w:r w:rsidR="007A5773">
        <w:t>)</w:t>
      </w:r>
      <w:r w:rsidR="00711E65">
        <w:t>.</w:t>
      </w:r>
      <w:r w:rsidR="007A5773">
        <w:t xml:space="preserve"> </w:t>
      </w:r>
      <w:r w:rsidR="007A5773" w:rsidRPr="007A5773">
        <w:t xml:space="preserve">Перелік видів сировини, що використовується в Україні для виробництва біогазу, обмежується 5 основними видами: гній свиней, гній ВРХ, послід курячий, жом цукрових буряків та силос кукурудзи. При цьому, за оцінкою Біоенергетичної асоціації України (UABIO), загальний потенціал жому використовується орієнтовно на 20 %, гною свиней – на 6 %, гною ВРХ – на 4 %, курячого посліду – на 1 %, Використання потенціалу інших видів сировини для виробництва біогазу не </w:t>
      </w:r>
      <w:r w:rsidR="007A5773" w:rsidRPr="00014615">
        <w:t>перевищує 1–2 %.</w:t>
      </w:r>
    </w:p>
    <w:p w14:paraId="7011376A" w14:textId="4F311C90" w:rsidR="00181BE4" w:rsidRPr="00014615" w:rsidRDefault="00181BE4" w:rsidP="00DB777C">
      <w:r w:rsidRPr="00014615">
        <w:t>В Україні існують</w:t>
      </w:r>
      <w:r w:rsidR="001E1703" w:rsidRPr="00014615">
        <w:t xml:space="preserve">, так званні «ветсанзаводи», що мають потенціал оброблення відходів тваринного походження та побічних продуктів тваринного походження. </w:t>
      </w:r>
      <w:r w:rsidR="00FF036F" w:rsidRPr="00014615">
        <w:t xml:space="preserve">В роботі на даний час знаходиться всього декілька з них, що порожує </w:t>
      </w:r>
      <w:r w:rsidR="00BE73D1" w:rsidRPr="00014615">
        <w:t xml:space="preserve">небезпечну ситуацію з управлінням цим потоком відходів у місцях, де заводи </w:t>
      </w:r>
      <w:r w:rsidR="003F6899" w:rsidRPr="00014615">
        <w:t xml:space="preserve">не експлуатуються. Залишається поширена практика використання </w:t>
      </w:r>
      <w:r w:rsidR="00DB777C" w:rsidRPr="00014615">
        <w:t>худобомогильників та біотермічних ям для захоронення трупів тварин у населених  пунктах України.</w:t>
      </w:r>
      <w:r w:rsidR="00DB7F1E" w:rsidRPr="00014615">
        <w:t xml:space="preserve"> Після ліквідації </w:t>
      </w:r>
      <w:r w:rsidR="00A323AC" w:rsidRPr="00014615">
        <w:t>Д</w:t>
      </w:r>
      <w:r w:rsidR="00DB7F1E" w:rsidRPr="00014615">
        <w:t xml:space="preserve">ержветслужби </w:t>
      </w:r>
      <w:r w:rsidR="00B31F5B" w:rsidRPr="00014615">
        <w:t xml:space="preserve">повні </w:t>
      </w:r>
      <w:r w:rsidR="00DB7F1E" w:rsidRPr="00014615">
        <w:t>дані про знаходження цих об’єктів на території України</w:t>
      </w:r>
      <w:r w:rsidR="00A323AC" w:rsidRPr="00014615">
        <w:t xml:space="preserve"> невідомі, що також спричиняє небезпеку навколишньому середовищу та здоров’ю населення.</w:t>
      </w:r>
    </w:p>
    <w:p w14:paraId="37FFAD67" w14:textId="5EF72780" w:rsidR="004C5549" w:rsidRPr="00014615" w:rsidRDefault="00401A80" w:rsidP="00C8616A">
      <w:r w:rsidRPr="00014615">
        <w:t>Об’єкти оброблення непридатних засобів захисту рослин відсутні на території України</w:t>
      </w:r>
      <w:r w:rsidR="00FF3D57" w:rsidRPr="00014615">
        <w:t xml:space="preserve">, їх оброблення здійснюється шляхом </w:t>
      </w:r>
      <w:r w:rsidR="00E82663" w:rsidRPr="00014615">
        <w:t xml:space="preserve">відправлення на відповідні </w:t>
      </w:r>
      <w:r w:rsidR="00C15E7B">
        <w:t>о</w:t>
      </w:r>
      <w:r w:rsidR="00C15E7B" w:rsidRPr="00C15E7B">
        <w:t>б’єкт</w:t>
      </w:r>
      <w:r w:rsidR="00C15E7B">
        <w:t>и</w:t>
      </w:r>
      <w:r w:rsidR="00C15E7B" w:rsidRPr="00C15E7B">
        <w:t xml:space="preserve"> оброблення відходів </w:t>
      </w:r>
      <w:r w:rsidR="00C15E7B">
        <w:t>(</w:t>
      </w:r>
      <w:r w:rsidR="00E82663" w:rsidRPr="00014615">
        <w:t>ООВ</w:t>
      </w:r>
      <w:r w:rsidR="00C15E7B">
        <w:t>)</w:t>
      </w:r>
      <w:r w:rsidR="00E82663" w:rsidRPr="00014615">
        <w:t xml:space="preserve"> за кордоном</w:t>
      </w:r>
      <w:r w:rsidR="00021332" w:rsidRPr="00014615">
        <w:t xml:space="preserve">, але така практика </w:t>
      </w:r>
      <w:r w:rsidR="00A16C55" w:rsidRPr="00014615">
        <w:t xml:space="preserve">рідко застосовується, часто </w:t>
      </w:r>
      <w:r w:rsidR="00583E58" w:rsidRPr="00014615">
        <w:t xml:space="preserve">непридатні засоби захисту рослин збрерігаються </w:t>
      </w:r>
      <w:r w:rsidR="00E97826" w:rsidRPr="00014615">
        <w:t>у необладнаних місцях.</w:t>
      </w:r>
    </w:p>
    <w:p w14:paraId="0896B84B" w14:textId="77777777" w:rsidR="00AF1E8A" w:rsidRPr="00C22C49" w:rsidRDefault="00AF1E8A" w:rsidP="0005471C">
      <w:pPr>
        <w:pStyle w:val="REDBoldonly"/>
      </w:pPr>
      <w:r w:rsidRPr="00C22C49">
        <w:t xml:space="preserve">Основними проблемами системи </w:t>
      </w:r>
      <w:r w:rsidR="00E63984" w:rsidRPr="00C22C49">
        <w:t>управління</w:t>
      </w:r>
      <w:r w:rsidRPr="00C22C49">
        <w:t xml:space="preserve"> </w:t>
      </w:r>
      <w:r w:rsidR="00D71637" w:rsidRPr="00C22C49">
        <w:t xml:space="preserve">відходами </w:t>
      </w:r>
      <w:r w:rsidR="00CE6CE1" w:rsidRPr="00C22C49">
        <w:t xml:space="preserve">сільського господарства </w:t>
      </w:r>
      <w:r w:rsidRPr="00C22C49">
        <w:t>і її функціонування є:</w:t>
      </w:r>
    </w:p>
    <w:p w14:paraId="0896B84C" w14:textId="77777777" w:rsidR="00CE6CF3" w:rsidRPr="00C22C49" w:rsidRDefault="00AD7E7F" w:rsidP="00161339">
      <w:pPr>
        <w:pStyle w:val="BulletRED"/>
      </w:pPr>
      <w:r w:rsidRPr="00C22C49">
        <w:t>Відсут</w:t>
      </w:r>
      <w:r w:rsidR="00EF0020" w:rsidRPr="00C22C49">
        <w:t>ність належно</w:t>
      </w:r>
      <w:r w:rsidR="00E01FEF" w:rsidRPr="00C22C49">
        <w:t xml:space="preserve"> упорядкованого державного статистичного обліку відходів сільського господарства</w:t>
      </w:r>
      <w:r w:rsidR="00D41CE8" w:rsidRPr="00C22C49">
        <w:t>.</w:t>
      </w:r>
    </w:p>
    <w:p w14:paraId="0896B84D" w14:textId="77777777" w:rsidR="00D41CE8" w:rsidRPr="00C22C49" w:rsidRDefault="00D41CE8" w:rsidP="00161339">
      <w:pPr>
        <w:pStyle w:val="BulletRED"/>
      </w:pPr>
      <w:r w:rsidRPr="00C22C49">
        <w:t xml:space="preserve">Реєстр обліку </w:t>
      </w:r>
      <w:r w:rsidR="002F4640" w:rsidRPr="00C22C49">
        <w:t>худоби</w:t>
      </w:r>
      <w:r w:rsidRPr="00C22C49">
        <w:t xml:space="preserve"> </w:t>
      </w:r>
      <w:r w:rsidR="002F4640" w:rsidRPr="00C22C49">
        <w:t>здійснюється приватною компанією, що ускладнює доступ до даних.</w:t>
      </w:r>
    </w:p>
    <w:p w14:paraId="0896B84E" w14:textId="77777777" w:rsidR="002F4640" w:rsidRPr="00C22C49" w:rsidRDefault="0098242B" w:rsidP="00161339">
      <w:pPr>
        <w:pStyle w:val="BulletRED"/>
      </w:pPr>
      <w:r w:rsidRPr="00C22C49">
        <w:t>Відсутність нормативно-правових актів регулювання питання управління відходами сільського господарства (</w:t>
      </w:r>
      <w:r w:rsidR="00161339" w:rsidRPr="00C22C49">
        <w:t>рослинництва</w:t>
      </w:r>
      <w:r w:rsidRPr="00C22C49">
        <w:t>, тваринництва, агрохімічні засоби тощо) всіма суб'єктами господарської діяльності у сфері сільськогосподарського виробництва  (домогосподарства, фермерські господарства, агрофірми та агрокомплекси, тощо)</w:t>
      </w:r>
      <w:r w:rsidR="00A723DF" w:rsidRPr="00C22C49">
        <w:t>.</w:t>
      </w:r>
    </w:p>
    <w:p w14:paraId="0896B84F" w14:textId="77777777" w:rsidR="00A723DF" w:rsidRDefault="00A723DF" w:rsidP="00161339">
      <w:pPr>
        <w:pStyle w:val="BulletRED"/>
      </w:pPr>
      <w:r w:rsidRPr="00C22C49">
        <w:t>Існуючі практики управління відходами сільського господарства негативно впливають на природні ресурси, що призводить до забруднення ґрунту, води та повітря,  дикої природи.</w:t>
      </w:r>
    </w:p>
    <w:p w14:paraId="5E01786C" w14:textId="482E5B95" w:rsidR="00B716E9" w:rsidRPr="00014615" w:rsidRDefault="00B716E9" w:rsidP="00161339">
      <w:pPr>
        <w:pStyle w:val="BulletRED"/>
      </w:pPr>
      <w:r w:rsidRPr="00014615">
        <w:t>Відсутність</w:t>
      </w:r>
      <w:r w:rsidR="000A080A" w:rsidRPr="00014615">
        <w:t>об’єктів</w:t>
      </w:r>
      <w:r w:rsidRPr="00014615">
        <w:t xml:space="preserve"> </w:t>
      </w:r>
      <w:r w:rsidR="000A080A" w:rsidRPr="00014615">
        <w:t>оброблення непридатних засобів захисту рослин на території України та</w:t>
      </w:r>
      <w:r w:rsidR="00E8374F" w:rsidRPr="00014615">
        <w:t xml:space="preserve"> практик</w:t>
      </w:r>
      <w:r w:rsidR="005F4518" w:rsidRPr="00014615">
        <w:t xml:space="preserve"> вивезення за кордон для оброблення на ліцензованих об’єктах.</w:t>
      </w:r>
    </w:p>
    <w:p w14:paraId="795BA8DA" w14:textId="5EFAEAC0" w:rsidR="005F4518" w:rsidRPr="00014615" w:rsidRDefault="005F4518" w:rsidP="00161339">
      <w:pPr>
        <w:pStyle w:val="BulletRED"/>
      </w:pPr>
      <w:r w:rsidRPr="00014615">
        <w:t>Неналежні місця зберігання непридатних засобів захисту рослин.</w:t>
      </w:r>
    </w:p>
    <w:p w14:paraId="062F4A1A" w14:textId="77777777" w:rsidR="002F0681" w:rsidRPr="00014615" w:rsidRDefault="00E85677" w:rsidP="00161339">
      <w:pPr>
        <w:pStyle w:val="BulletRED"/>
      </w:pPr>
      <w:r w:rsidRPr="00014615">
        <w:t>Закриття та зупинка роботи Ветсанзаводів</w:t>
      </w:r>
      <w:r w:rsidR="0033685D" w:rsidRPr="00014615">
        <w:t xml:space="preserve">. </w:t>
      </w:r>
    </w:p>
    <w:p w14:paraId="6FABA1A6" w14:textId="60DE092A" w:rsidR="00E85677" w:rsidRPr="00014615" w:rsidRDefault="0033685D" w:rsidP="00161339">
      <w:pPr>
        <w:pStyle w:val="BulletRED"/>
      </w:pPr>
      <w:r w:rsidRPr="00014615">
        <w:t>Нерозвинутий ринок</w:t>
      </w:r>
      <w:r w:rsidR="00040064" w:rsidRPr="00014615">
        <w:t xml:space="preserve"> оброблення (рендерингу) побічних продуктів тваринного походження. Законодавч</w:t>
      </w:r>
      <w:r w:rsidR="00D80FBD" w:rsidRPr="00014615">
        <w:t xml:space="preserve">е віднесення об’єктів такого типу до об’єктів підвищенної небезпеки, що </w:t>
      </w:r>
      <w:r w:rsidR="002F0681" w:rsidRPr="00014615">
        <w:t>створює перешкоди будівництва таких заводів.</w:t>
      </w:r>
      <w:r w:rsidRPr="00014615">
        <w:t xml:space="preserve"> </w:t>
      </w:r>
    </w:p>
    <w:p w14:paraId="163F9D4D" w14:textId="2B082FC2" w:rsidR="00F90418" w:rsidRPr="00014615" w:rsidRDefault="00F90418" w:rsidP="00161339">
      <w:pPr>
        <w:pStyle w:val="BulletRED"/>
      </w:pPr>
      <w:r w:rsidRPr="00014615">
        <w:t>Продовження практик використання худобомогильників та біотермічних ям для захоронення трупів тварин</w:t>
      </w:r>
      <w:r w:rsidR="00040064" w:rsidRPr="00014615">
        <w:t>.</w:t>
      </w:r>
    </w:p>
    <w:p w14:paraId="0896B850" w14:textId="77777777" w:rsidR="001259EB" w:rsidRPr="00C22C49" w:rsidRDefault="001259EB" w:rsidP="00161339">
      <w:pPr>
        <w:pStyle w:val="BulletRED"/>
      </w:pPr>
      <w:r w:rsidRPr="00014615">
        <w:t>Низька обізнаність суб'єктів господарювання щодо можливостей та переваг оброблення або повторного використання</w:t>
      </w:r>
      <w:r w:rsidRPr="00C22C49">
        <w:t xml:space="preserve"> сільськогосподарських відходів.</w:t>
      </w:r>
    </w:p>
    <w:p w14:paraId="0896B851" w14:textId="77777777" w:rsidR="00477C22" w:rsidRPr="00C22C49" w:rsidRDefault="00477C22" w:rsidP="00161339">
      <w:pPr>
        <w:pStyle w:val="BulletRED"/>
      </w:pPr>
      <w:r w:rsidRPr="00C22C49">
        <w:t>Неналежна робота з формування ринку біопалива з відходів рослинництва та тваринництва для потреб господарського комплексу на місцевому та регіональному рівнях.</w:t>
      </w:r>
    </w:p>
    <w:p w14:paraId="0896B852" w14:textId="77777777" w:rsidR="00161339" w:rsidRPr="00C22C49" w:rsidRDefault="00161339" w:rsidP="00161339">
      <w:pPr>
        <w:pStyle w:val="BulletRED"/>
      </w:pPr>
      <w:r w:rsidRPr="00C22C49">
        <w:t>Проблеми з технічним забезпеченням процесів збирання</w:t>
      </w:r>
      <w:r w:rsidR="00E63984" w:rsidRPr="00C22C49">
        <w:t xml:space="preserve"> та</w:t>
      </w:r>
      <w:r w:rsidRPr="00C22C49">
        <w:t xml:space="preserve"> оброблення відходів сільського господарства, особливо агрохімічних засобів.</w:t>
      </w:r>
    </w:p>
    <w:p w14:paraId="0896B853" w14:textId="77777777" w:rsidR="00161339" w:rsidRPr="00C22C49" w:rsidRDefault="00161339" w:rsidP="00161339">
      <w:pPr>
        <w:pStyle w:val="BulletRED"/>
      </w:pPr>
      <w:r w:rsidRPr="00C22C49">
        <w:t>Відсутність об'єктів для відновлення та видалення відходів сільського господарства в регіонах.</w:t>
      </w:r>
    </w:p>
    <w:p w14:paraId="0896B854" w14:textId="77777777" w:rsidR="00CE6CF3" w:rsidRPr="00C22C49" w:rsidRDefault="00CE6CF3" w:rsidP="00FD1A3A"/>
    <w:p w14:paraId="0896B855" w14:textId="77777777" w:rsidR="00FD1A3A" w:rsidRPr="00C22C49" w:rsidRDefault="0058773D" w:rsidP="005138DD">
      <w:pPr>
        <w:pStyle w:val="Heading4boldRED"/>
        <w:rPr>
          <w:rStyle w:val="affe"/>
          <w:b w:val="0"/>
          <w:bCs/>
          <w:lang w:val="uk-UA"/>
        </w:rPr>
      </w:pPr>
      <w:r w:rsidRPr="00C22C49">
        <w:rPr>
          <w:rStyle w:val="affe"/>
          <w:iCs w:val="0"/>
          <w:sz w:val="26"/>
          <w:lang w:val="uk-UA"/>
        </w:rPr>
        <w:t>Медичні</w:t>
      </w:r>
      <w:r w:rsidR="00FD1A3A" w:rsidRPr="00C22C49">
        <w:rPr>
          <w:rStyle w:val="affe"/>
          <w:bCs/>
          <w:lang w:val="uk-UA"/>
        </w:rPr>
        <w:t xml:space="preserve"> відходи</w:t>
      </w:r>
    </w:p>
    <w:p w14:paraId="0896B856" w14:textId="77777777" w:rsidR="00AF1E8A" w:rsidRPr="00C22C49" w:rsidRDefault="00AF1E8A" w:rsidP="005138DD">
      <w:pPr>
        <w:pStyle w:val="REDBoldonly"/>
      </w:pPr>
      <w:r w:rsidRPr="00C22C49">
        <w:t xml:space="preserve">Основні утворювачі </w:t>
      </w:r>
      <w:r w:rsidR="00175716" w:rsidRPr="00C22C49">
        <w:t xml:space="preserve">медичних </w:t>
      </w:r>
      <w:r w:rsidRPr="00C22C49">
        <w:t>відходів</w:t>
      </w:r>
    </w:p>
    <w:p w14:paraId="0896B857" w14:textId="77777777" w:rsidR="00A07BE7" w:rsidRPr="00C22C49" w:rsidRDefault="00A07BE7" w:rsidP="00A07BE7">
      <w:pPr>
        <w:rPr>
          <w:rFonts w:cs="Times New Roman"/>
          <w:szCs w:val="24"/>
          <w:lang w:eastAsia="bg-BG"/>
        </w:rPr>
      </w:pPr>
      <w:r w:rsidRPr="00C22C49">
        <w:rPr>
          <w:rFonts w:cs="Times New Roman"/>
          <w:szCs w:val="24"/>
          <w:lang w:eastAsia="bg-BG"/>
        </w:rPr>
        <w:t>Медичні відходи утворюються внаслідок обслуговування у закладах охорони здоров’я та фізичними особами-підприємцями,</w:t>
      </w:r>
      <w:r w:rsidRPr="00C22C49">
        <w:rPr>
          <w:rFonts w:cs="Times New Roman"/>
          <w:szCs w:val="24"/>
        </w:rPr>
        <w:t xml:space="preserve"> </w:t>
      </w:r>
      <w:r w:rsidRPr="00C22C49">
        <w:rPr>
          <w:rFonts w:cs="Times New Roman"/>
          <w:szCs w:val="24"/>
          <w:lang w:eastAsia="bg-BG"/>
        </w:rPr>
        <w:t xml:space="preserve">які зареєстровані в установленому законом порядку та одержали ліцензію на провадження господарської діяльності з медичної практики, що забезпечують медичне обслуговування населення відповідної території, громадськими об’єднаннями і благодійними організаціями, що здійснюють діяльність у сфері протидії поширенню ВІЛ-інфекції, окрім підприємств з виробництва фармацевтичної продукції та медичних відходів, що утворюються у побуті. </w:t>
      </w:r>
    </w:p>
    <w:p w14:paraId="0896B858" w14:textId="77777777" w:rsidR="00DC3D68" w:rsidRPr="00C22C49" w:rsidRDefault="00DC3D68" w:rsidP="00DC3D68">
      <w:r w:rsidRPr="00C22C49">
        <w:t>В України діють Державні санітарно-протиепідемічні правила і норми щодо поводження з медичними відходами де наведена їх класифікація та поділ на такі категорії:</w:t>
      </w:r>
    </w:p>
    <w:p w14:paraId="0896B859" w14:textId="77777777" w:rsidR="00DC3D68" w:rsidRPr="00C22C49" w:rsidRDefault="00DC3D68" w:rsidP="00DC3D68">
      <w:pPr>
        <w:pStyle w:val="BulletRED"/>
      </w:pPr>
      <w:r w:rsidRPr="00C22C49">
        <w:t>Категорія A – епідемічно безпечні МВ;</w:t>
      </w:r>
    </w:p>
    <w:p w14:paraId="0896B85A" w14:textId="77777777" w:rsidR="00DC3D68" w:rsidRPr="00C22C49" w:rsidRDefault="00DC3D68" w:rsidP="00DC3D68">
      <w:pPr>
        <w:pStyle w:val="BulletRED"/>
      </w:pPr>
      <w:r w:rsidRPr="00C22C49">
        <w:t xml:space="preserve">Категорія </w:t>
      </w:r>
      <w:r w:rsidR="0058773D" w:rsidRPr="00C22C49">
        <w:t>B</w:t>
      </w:r>
      <w:r w:rsidR="00C61AC5" w:rsidRPr="00C22C49">
        <w:t xml:space="preserve"> – </w:t>
      </w:r>
      <w:r w:rsidRPr="00C22C49">
        <w:t>епідемічно небезпечні МВ;</w:t>
      </w:r>
    </w:p>
    <w:p w14:paraId="0896B85B" w14:textId="77777777" w:rsidR="00DC3D68" w:rsidRPr="00C22C49" w:rsidRDefault="00DC3D68" w:rsidP="00DC3D68">
      <w:pPr>
        <w:pStyle w:val="BulletRED"/>
      </w:pPr>
      <w:r w:rsidRPr="00C22C49">
        <w:t xml:space="preserve">Категорія </w:t>
      </w:r>
      <w:r w:rsidR="0058773D" w:rsidRPr="00C22C49">
        <w:t>C</w:t>
      </w:r>
      <w:r w:rsidRPr="00C22C49">
        <w:t xml:space="preserve"> – токсикологічно небезпечні МВ;</w:t>
      </w:r>
    </w:p>
    <w:p w14:paraId="0896B85C" w14:textId="77777777" w:rsidR="00A07BE7" w:rsidRPr="00C22C49" w:rsidRDefault="00DC3D68" w:rsidP="00DC3D68">
      <w:pPr>
        <w:pStyle w:val="BulletRED"/>
      </w:pPr>
      <w:r w:rsidRPr="00C22C49">
        <w:t xml:space="preserve">Категорія </w:t>
      </w:r>
      <w:r w:rsidR="0058773D" w:rsidRPr="00C22C49">
        <w:t>D</w:t>
      </w:r>
      <w:r w:rsidRPr="00C22C49">
        <w:t xml:space="preserve"> – радіологічно небезпечні МВ.</w:t>
      </w:r>
    </w:p>
    <w:p w14:paraId="0896B85D" w14:textId="77777777" w:rsidR="00AF1E8A" w:rsidRPr="00C22C49" w:rsidRDefault="00AF1E8A" w:rsidP="00F93B13">
      <w:pPr>
        <w:pStyle w:val="REDBoldonly"/>
      </w:pPr>
      <w:r w:rsidRPr="00C22C49">
        <w:t xml:space="preserve">Основні показники управління </w:t>
      </w:r>
      <w:r w:rsidR="00175716" w:rsidRPr="00C22C49">
        <w:t xml:space="preserve">медичними </w:t>
      </w:r>
      <w:r w:rsidRPr="00C22C49">
        <w:t>відходами</w:t>
      </w:r>
    </w:p>
    <w:p w14:paraId="0896B85E" w14:textId="77777777" w:rsidR="00E80E3D" w:rsidRPr="00C22C49" w:rsidRDefault="00144E26" w:rsidP="00AF1E8A">
      <w:r w:rsidRPr="00C22C49">
        <w:t>Станом на 2020 рік</w:t>
      </w:r>
      <w:r w:rsidR="00841945" w:rsidRPr="00C22C49">
        <w:t>,</w:t>
      </w:r>
      <w:r w:rsidR="00A66BDF" w:rsidRPr="00C22C49">
        <w:t xml:space="preserve"> </w:t>
      </w:r>
      <w:r w:rsidR="00841945" w:rsidRPr="00C22C49">
        <w:t xml:space="preserve">число </w:t>
      </w:r>
      <w:r w:rsidR="009131A2" w:rsidRPr="00C22C49">
        <w:t>лікарняних</w:t>
      </w:r>
      <w:r w:rsidR="00841945" w:rsidRPr="00C22C49">
        <w:t xml:space="preserve"> закладів становить 1302 од. із ліжковим фондом 250</w:t>
      </w:r>
      <w:r w:rsidR="003E055E" w:rsidRPr="00C22C49">
        <w:t>662.</w:t>
      </w:r>
      <w:r w:rsidR="009B3A8A" w:rsidRPr="00C22C49">
        <w:t xml:space="preserve"> Мережа закладів системи МОЗ, які надають амбулаторно-поліклінічну допомогу (включаючи структурні та відокремлені структурні підрозділи, які надають первинну медичну допомогу) включає 8730 закладів та підрозділів.</w:t>
      </w:r>
    </w:p>
    <w:p w14:paraId="0896B85F" w14:textId="77777777" w:rsidR="00211FF3" w:rsidRPr="00C22C49" w:rsidRDefault="00211FF3" w:rsidP="00211FF3">
      <w:r w:rsidRPr="00C22C49">
        <w:t xml:space="preserve">Результати показують що рівень утворення медичних відходів у країнах з низьким і середнім рівнем доходу значно нижчий, ніж у розвинених країнах і країнах з високим рівнем доходу. Загалом середній рівень утворення відходів коливається від 0,3–8,4 кг/ліжко/добу. </w:t>
      </w:r>
    </w:p>
    <w:p w14:paraId="0896B860" w14:textId="77777777" w:rsidR="00211FF3" w:rsidRPr="00C22C49" w:rsidRDefault="00211FF3" w:rsidP="00211FF3">
      <w:r w:rsidRPr="00C22C49">
        <w:t>За даними Consortium Resources and Waste Advisory Group Limited, UK and COWI A/S, Denmark, грудень 2016 р., передбачувані обсяги медичних відходів наведено в таблиці 10  по лікарняних ліжках і розрахункова складають 1,04 кг на одного жителя України в рік, з яких інфекційні відходи – 0,26 кг, інші – 0,78 кг. Таким чином розрахунковий обсяг медичних відходів складає 116 273,96 т на рік, з яких інфекційні – 29 068,49 т, інші – 87 205,47 т.</w:t>
      </w:r>
    </w:p>
    <w:p w14:paraId="0896B861" w14:textId="77777777" w:rsidR="007E5BB3" w:rsidRPr="00C22C49" w:rsidRDefault="007E5BB3" w:rsidP="00211FF3">
      <w:r w:rsidRPr="00C22C49">
        <w:t>Основна частина медичних відходів, як правило, виробляється лікарнями. (1% усіх закладів охорони здоров’я), утворюється 71% від загального річного обсягу медичних відходів. Лікарські кабінети, будинки престарілих, клініки та медичні лабораторії (36% від загальної кількості закладів), створюють 22% відходів охорони здоров'я.</w:t>
      </w:r>
    </w:p>
    <w:p w14:paraId="0896B862" w14:textId="77777777" w:rsidR="00AF1E8A" w:rsidRPr="00C22C49" w:rsidRDefault="00AF1E8A" w:rsidP="00F93B13">
      <w:pPr>
        <w:pStyle w:val="REDBoldonly"/>
      </w:pPr>
      <w:r w:rsidRPr="00C22C49">
        <w:t xml:space="preserve">Характеристика систем збирання та об’єктів оброблення </w:t>
      </w:r>
      <w:r w:rsidR="00175716" w:rsidRPr="00C22C49">
        <w:t xml:space="preserve">медичних </w:t>
      </w:r>
      <w:r w:rsidRPr="00C22C49">
        <w:t>відходів</w:t>
      </w:r>
    </w:p>
    <w:p w14:paraId="0896B863" w14:textId="77777777" w:rsidR="00DA3850" w:rsidRPr="00C22C49" w:rsidRDefault="00DA3850" w:rsidP="00DA3850">
      <w:r w:rsidRPr="00C22C49">
        <w:t xml:space="preserve">При роздільному збиранні медичних відходів найбільша частка припадає на відходи категорії А (від 75 до 90 відсотків), які не мають контакту з біологічними рідинами пацієнтів, інфекційними хворими, наближені за складом до побутових відходів та видаляються на полігонах і сміттєзвалищах, як відходи категорії ІУ (побутові відходи). </w:t>
      </w:r>
    </w:p>
    <w:p w14:paraId="0896B864" w14:textId="14ED31D6" w:rsidR="00DA3850" w:rsidRPr="00C22C49" w:rsidRDefault="00DA3850" w:rsidP="00DA3850">
      <w:r w:rsidRPr="00C22C49">
        <w:t xml:space="preserve">Решта 10-25% медичних відходів належать до категорії небезпечних (В, С, D) і можуть бути факторами ризику для навколишнього природного середовища і здоров’я людини. Найбільшу групу серед небезпечних відходів, утворюваних закладами охорони здоров’я складають відходи категорії В (9-24% від загального обсягу) інфіковані та потенційно інфіковані відходи. Дана категорія відходів підлягає обов’язковому знезараженню. Відходи категорії С (до 1%) збирають у марковані ємності з кришками, які щільно прилягають, та зберігають у спеціально виділених приміщеннях і передаються спеціалізованим підприємствам, що мають ліцензію на здійснення операцій у сфері поводження з небезпечними відходами. Збирання, зберігання, транспортування та видалення відходів категорії </w:t>
      </w:r>
      <w:r w:rsidR="0058773D" w:rsidRPr="00C22C49">
        <w:t>D</w:t>
      </w:r>
      <w:r w:rsidRPr="00C22C49">
        <w:t xml:space="preserve"> здійснюються відповідно до вимог законодавства України щодо поводження з радіоактивними відходами, нормами радіаційної безпеки</w:t>
      </w:r>
      <w:r w:rsidRPr="00014615">
        <w:t>.</w:t>
      </w:r>
      <w:r w:rsidR="00D716EF" w:rsidRPr="00014615">
        <w:t xml:space="preserve"> </w:t>
      </w:r>
      <w:r w:rsidR="00440261" w:rsidRPr="00014615">
        <w:t>Здійснення операцій поводження з медичними небезпечними відходами вимагає отримання ліценції на операції поводження з небезпечними відходами (вид 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Актуальна інформація щодо ліцензіатів знаходиться у відкритому доступі у Реєстрі виданих ліцензій на провадження господарської діяльності з поводження з небезпечними відходами  в Україні. Через воєнні дії частина підприємств зупинила роботу. Безпечно працюють, станом на 2022, в західному регіоні України 11 підприємств, що мають ліцензію за здійснення повного комплексу операцій поводження з небезпечними відходами ( збиранням, зберіганням, оброблення, знешкодження, видалення). Після прийняття Закону «Про управління відходами» необхідне отримання ліцензії на здійснення комплексу операцій з управління небезпечними відходами.</w:t>
      </w:r>
    </w:p>
    <w:p w14:paraId="0896B865" w14:textId="77777777" w:rsidR="00AF1E8A" w:rsidRPr="00C22C49" w:rsidRDefault="00AF1E8A" w:rsidP="00F93B13">
      <w:pPr>
        <w:pStyle w:val="REDBoldonly"/>
      </w:pPr>
      <w:r w:rsidRPr="00C22C49">
        <w:t xml:space="preserve">Основними проблемами системи поводження з </w:t>
      </w:r>
      <w:r w:rsidR="00D71637" w:rsidRPr="00C22C49">
        <w:t xml:space="preserve">медичними відходами </w:t>
      </w:r>
      <w:r w:rsidRPr="00C22C49">
        <w:t>і її функціонування є:</w:t>
      </w:r>
    </w:p>
    <w:p w14:paraId="0896B866" w14:textId="77777777" w:rsidR="00513EEB" w:rsidRPr="00C22C49" w:rsidRDefault="00B418AF" w:rsidP="00B87F1B">
      <w:pPr>
        <w:pStyle w:val="BulletRED"/>
      </w:pPr>
      <w:r w:rsidRPr="00C22C49">
        <w:t xml:space="preserve">Потребує розробки та приведення у відповідність до стандартів ЄС нормативно-правова база з управління медичними відходами, їх класифікації, а також організації їх обліку та звітності. </w:t>
      </w:r>
    </w:p>
    <w:p w14:paraId="0896B867" w14:textId="77777777" w:rsidR="00513EEB" w:rsidRPr="00C22C49" w:rsidRDefault="00775B95" w:rsidP="00B87F1B">
      <w:pPr>
        <w:pStyle w:val="BulletRED"/>
      </w:pPr>
      <w:r w:rsidRPr="00C22C49">
        <w:t xml:space="preserve">Відсутність правил управління, пунктів </w:t>
      </w:r>
      <w:r w:rsidR="0058773D" w:rsidRPr="00C22C49">
        <w:t>розд</w:t>
      </w:r>
      <w:r w:rsidR="00681288" w:rsidRPr="00C22C49">
        <w:t>і</w:t>
      </w:r>
      <w:r w:rsidR="0058773D" w:rsidRPr="00C22C49">
        <w:t xml:space="preserve">льного </w:t>
      </w:r>
      <w:r w:rsidRPr="00C22C49">
        <w:t xml:space="preserve">збирання </w:t>
      </w:r>
      <w:r w:rsidR="00DC4FFF" w:rsidRPr="00C22C49">
        <w:t>медичних відходів, які утворюються в побуті у населення, в аптеках, тощо.</w:t>
      </w:r>
    </w:p>
    <w:p w14:paraId="0896B868" w14:textId="77777777" w:rsidR="005D719E" w:rsidRPr="00C22C49" w:rsidRDefault="005D719E" w:rsidP="00B87F1B">
      <w:pPr>
        <w:pStyle w:val="BulletRED"/>
      </w:pPr>
      <w:r w:rsidRPr="00C22C49">
        <w:t>Відсутність належного контролю дотримання вимог законодавства в закладах охорони здоров’я при поводженні з медичними відходами різних категорій.</w:t>
      </w:r>
    </w:p>
    <w:p w14:paraId="0896B869" w14:textId="77777777" w:rsidR="005D719E" w:rsidRPr="00C22C49" w:rsidRDefault="005D719E" w:rsidP="00B87F1B">
      <w:pPr>
        <w:pStyle w:val="BulletRED"/>
      </w:pPr>
      <w:r w:rsidRPr="00C22C49">
        <w:t>Відсутність належного контролю за дотриманням ліцензійних умов при здійсненні операцій поводження з медичними відходами.</w:t>
      </w:r>
    </w:p>
    <w:p w14:paraId="0896B86A" w14:textId="77777777" w:rsidR="004E364A" w:rsidRPr="00C22C49" w:rsidRDefault="004E364A" w:rsidP="00B87F1B">
      <w:pPr>
        <w:pStyle w:val="BulletRED"/>
      </w:pPr>
      <w:r w:rsidRPr="00C22C49">
        <w:t>Складнощі планування заходів управління медичними відходами через відсутність достовірних фактичних даних на місцевому та регіональному рівні.</w:t>
      </w:r>
    </w:p>
    <w:p w14:paraId="0896B86B" w14:textId="11E01B8F" w:rsidR="001B1856" w:rsidRPr="00C22C49" w:rsidRDefault="001B1856" w:rsidP="00B87F1B">
      <w:pPr>
        <w:pStyle w:val="BulletRED"/>
      </w:pPr>
      <w:r w:rsidRPr="00C22C49">
        <w:t xml:space="preserve">Змішування різних категорій відходів між собою та з </w:t>
      </w:r>
      <w:r w:rsidR="00D84FEA">
        <w:t>п</w:t>
      </w:r>
      <w:r w:rsidR="00D84FEA" w:rsidRPr="00D84FEA">
        <w:t>обутов</w:t>
      </w:r>
      <w:r w:rsidR="00D84FEA">
        <w:t>ими</w:t>
      </w:r>
      <w:r w:rsidR="00D84FEA" w:rsidRPr="00D84FEA">
        <w:t xml:space="preserve"> відход</w:t>
      </w:r>
      <w:r w:rsidR="00D84FEA">
        <w:t>ами</w:t>
      </w:r>
      <w:r w:rsidRPr="00C22C49">
        <w:t>, збільшення обсягів епідемічно, токсикологічно, радіологічно небезпечних відходів, сумація їх небезпечних властивостей</w:t>
      </w:r>
      <w:r w:rsidR="00FC0E47" w:rsidRPr="00C22C49">
        <w:t>.</w:t>
      </w:r>
    </w:p>
    <w:p w14:paraId="0896B86C" w14:textId="5D8DF718" w:rsidR="00FC0E47" w:rsidRPr="00C22C49" w:rsidRDefault="00FC0E47" w:rsidP="00B87F1B">
      <w:pPr>
        <w:pStyle w:val="BulletRED"/>
      </w:pPr>
      <w:r w:rsidRPr="00C22C49">
        <w:t xml:space="preserve">Ризик поширення захворювань, через потрапляння медичних відходів на полігони </w:t>
      </w:r>
      <w:r w:rsidR="00D84FEA">
        <w:t>не небезпечних відходів</w:t>
      </w:r>
      <w:r w:rsidR="00D84FEA" w:rsidRPr="00C22C49">
        <w:t xml:space="preserve"> </w:t>
      </w:r>
      <w:r w:rsidRPr="00C22C49">
        <w:t>та в навколишнє середовище.</w:t>
      </w:r>
    </w:p>
    <w:p w14:paraId="0896B86D" w14:textId="77777777" w:rsidR="00090E9B" w:rsidRPr="00C22C49" w:rsidRDefault="00F93B13" w:rsidP="00090E9B">
      <w:pPr>
        <w:pStyle w:val="BulletRED"/>
      </w:pPr>
      <w:r w:rsidRPr="00C22C49">
        <w:t xml:space="preserve">Відсутність </w:t>
      </w:r>
      <w:r w:rsidR="0058773D" w:rsidRPr="00C22C49">
        <w:t>досвіду</w:t>
      </w:r>
      <w:r w:rsidR="00DD4C12" w:rsidRPr="00C22C49">
        <w:t xml:space="preserve"> та знань </w:t>
      </w:r>
      <w:r w:rsidR="00916972" w:rsidRPr="00C22C49">
        <w:t xml:space="preserve">у медичних установ </w:t>
      </w:r>
      <w:r w:rsidR="00B42BB9" w:rsidRPr="00C22C49">
        <w:t>щодо</w:t>
      </w:r>
      <w:r w:rsidR="00090E9B" w:rsidRPr="00C22C49">
        <w:t xml:space="preserve"> </w:t>
      </w:r>
      <w:r w:rsidR="00CF5F6D" w:rsidRPr="00C22C49">
        <w:t>управління</w:t>
      </w:r>
      <w:r w:rsidR="00090E9B" w:rsidRPr="00C22C49">
        <w:t xml:space="preserve"> медичними відходами відповідно до кращих міжнародних практик;</w:t>
      </w:r>
    </w:p>
    <w:p w14:paraId="0896B86E" w14:textId="77777777" w:rsidR="00090E9B" w:rsidRPr="00C22C49" w:rsidRDefault="00F93B13" w:rsidP="00090E9B">
      <w:pPr>
        <w:pStyle w:val="BulletRED"/>
      </w:pPr>
      <w:r w:rsidRPr="00C22C49">
        <w:t xml:space="preserve">Обмежена </w:t>
      </w:r>
      <w:r w:rsidR="00D739D4" w:rsidRPr="00C22C49">
        <w:t>кількість</w:t>
      </w:r>
      <w:r w:rsidR="00090E9B" w:rsidRPr="00C22C49">
        <w:t xml:space="preserve"> підприємств, що спеціалізуються на наданні послуг з </w:t>
      </w:r>
      <w:r w:rsidR="00D739D4" w:rsidRPr="00C22C49">
        <w:t>відновлення</w:t>
      </w:r>
      <w:r w:rsidR="00090E9B" w:rsidRPr="00C22C49">
        <w:t xml:space="preserve"> та видалення медичних відходів</w:t>
      </w:r>
      <w:r w:rsidR="00D51811" w:rsidRPr="00C22C49">
        <w:t xml:space="preserve">, </w:t>
      </w:r>
      <w:r w:rsidR="00246C91" w:rsidRPr="00C22C49">
        <w:t>що не забезпечує покриття кожного регіону</w:t>
      </w:r>
      <w:r w:rsidR="00565AEC" w:rsidRPr="00C22C49">
        <w:t>,</w:t>
      </w:r>
      <w:r w:rsidR="006C715B" w:rsidRPr="00C22C49">
        <w:t xml:space="preserve"> </w:t>
      </w:r>
      <w:r w:rsidR="00916972" w:rsidRPr="00C22C49">
        <w:t>що спричиняє перевезення на великі відстані</w:t>
      </w:r>
      <w:r w:rsidR="00090E9B" w:rsidRPr="00C22C49">
        <w:t>;</w:t>
      </w:r>
    </w:p>
    <w:p w14:paraId="0896B86F" w14:textId="77777777" w:rsidR="00090E9B" w:rsidRPr="00C22C49" w:rsidRDefault="00F93B13" w:rsidP="00090E9B">
      <w:pPr>
        <w:pStyle w:val="BulletRED"/>
      </w:pPr>
      <w:r w:rsidRPr="00C22C49">
        <w:t xml:space="preserve">Лікарні </w:t>
      </w:r>
      <w:r w:rsidR="00090E9B" w:rsidRPr="00C22C49">
        <w:t>та інші медичні заклади не вважають своїм обов'язком забезпечувати екологічно прийнятне видалення відходів, що утворюються.</w:t>
      </w:r>
    </w:p>
    <w:p w14:paraId="0896B870" w14:textId="77777777" w:rsidR="00090E9B" w:rsidRPr="00C22C49" w:rsidRDefault="00F93B13" w:rsidP="00090E9B">
      <w:pPr>
        <w:pStyle w:val="BulletRED"/>
      </w:pPr>
      <w:r w:rsidRPr="00C22C49">
        <w:t xml:space="preserve">Найбільш </w:t>
      </w:r>
      <w:r w:rsidR="00090E9B" w:rsidRPr="00C22C49">
        <w:t>критичним стримуючим фактором вдосконалення методів управління медичними відходами є обмеженість фінансових ресурсів лікарень</w:t>
      </w:r>
    </w:p>
    <w:p w14:paraId="0896B871" w14:textId="77777777" w:rsidR="00090E9B" w:rsidRPr="00C22C49" w:rsidRDefault="00090E9B" w:rsidP="00FD1A3A"/>
    <w:p w14:paraId="0896B872" w14:textId="77777777" w:rsidR="007777F9" w:rsidRPr="00C22C49" w:rsidRDefault="00FD1A3A" w:rsidP="008D6442">
      <w:pPr>
        <w:pStyle w:val="Heading4boldRED"/>
        <w:rPr>
          <w:lang w:val="uk-UA"/>
        </w:rPr>
      </w:pPr>
      <w:r w:rsidRPr="00C22C49">
        <w:rPr>
          <w:lang w:val="uk-UA"/>
        </w:rPr>
        <w:t>Відходи на які поширюється розширена відповідальність виробника</w:t>
      </w:r>
    </w:p>
    <w:p w14:paraId="0896B873" w14:textId="77777777" w:rsidR="009E609A" w:rsidRPr="00C22C49" w:rsidRDefault="009E609A" w:rsidP="00FD1A3A">
      <w:r w:rsidRPr="00C22C49">
        <w:t>Цей розділ містить інформацію про утворення та управління відходами</w:t>
      </w:r>
      <w:r w:rsidR="005E4C42" w:rsidRPr="00C22C49">
        <w:t xml:space="preserve"> від продукції, на яку поширюється розширена відповідальність виробника.</w:t>
      </w:r>
    </w:p>
    <w:p w14:paraId="0896B874" w14:textId="77777777" w:rsidR="009E609A" w:rsidRPr="00C22C49" w:rsidRDefault="0058773D" w:rsidP="00266E1E">
      <w:pPr>
        <w:pStyle w:val="REDBoldonly"/>
        <w:ind w:left="708"/>
        <w:rPr>
          <w:rStyle w:val="affe"/>
          <w:iCs w:val="0"/>
        </w:rPr>
      </w:pPr>
      <w:r w:rsidRPr="00C22C49">
        <w:rPr>
          <w:rStyle w:val="affe"/>
          <w:iCs w:val="0"/>
        </w:rPr>
        <w:t xml:space="preserve">1.4.7.1 </w:t>
      </w:r>
      <w:r w:rsidR="005E4C42" w:rsidRPr="00C22C49">
        <w:rPr>
          <w:rStyle w:val="affe"/>
          <w:iCs w:val="0"/>
        </w:rPr>
        <w:t>Відходи упаковки</w:t>
      </w:r>
    </w:p>
    <w:p w14:paraId="0896B875" w14:textId="77777777" w:rsidR="00F87273" w:rsidRPr="00C22C49" w:rsidRDefault="003F3DA1" w:rsidP="00F87273">
      <w:r w:rsidRPr="00C22C49">
        <w:t>Упаковка та відходи упаковки утворюються не лише в домогосподарствах, а й, зокрема, , в комерційних, промислових, державних установах та інших закладах.</w:t>
      </w:r>
      <w:r w:rsidR="001D5ECB" w:rsidRPr="00C22C49">
        <w:t xml:space="preserve"> </w:t>
      </w:r>
      <w:r w:rsidR="00E5498C" w:rsidRPr="00C22C49">
        <w:t xml:space="preserve">Відходи упаковки утворюються на всіх рівнях ланцюга постачання продукції (товарна, групова та транспортна упаковка). </w:t>
      </w:r>
      <w:r w:rsidR="001D5ECB" w:rsidRPr="00C22C49">
        <w:t>В Україні на даний час облік утворення, відновлення та видалення упаковки та відходів упаковки як на державному рівні не проводиться, а  управління є складовою частиною системи управління побутовими відходами і здійснюється переважно шляхом видалення таких відходів на полігонах та сміттєзвалищах.</w:t>
      </w:r>
      <w:r w:rsidR="00F87273" w:rsidRPr="00C22C49">
        <w:t xml:space="preserve"> </w:t>
      </w:r>
    </w:p>
    <w:p w14:paraId="0896B876" w14:textId="77777777" w:rsidR="00F87273" w:rsidRDefault="00F87273" w:rsidP="00F87273">
      <w:r w:rsidRPr="00C22C49">
        <w:t xml:space="preserve">Відповідно до експертних даних, близько 30% побутових відходів в Україні складають відходи упаковки, піддаються рециклінгу всього 12-14% відходів упаковки. А згідно із дослідженням на замовлення Американської торговельної палати із 2,4 мільйонів тонн упаковки, що вводиться в обіг щороку, втрачається близько 2 мільйонів тонн ресурсоцінної сировини, зокрема – 33% скла, 30% паперу, 21% полімерів, 10% деревини, 4% металів та 2%  інших відходів. </w:t>
      </w:r>
    </w:p>
    <w:p w14:paraId="0896B88C" w14:textId="77777777" w:rsidR="006D4F41" w:rsidRPr="00C22C49" w:rsidRDefault="006D4F41" w:rsidP="006D4F41">
      <w:r w:rsidRPr="00C22C49">
        <w:t xml:space="preserve">В Україні у рік споживається близько 1,5 млн. т картонно-паперової продукції. Із загального обсягу споживаної внутрішнім ринком продукції галузі повертається </w:t>
      </w:r>
      <w:r w:rsidRPr="00C22C49">
        <w:rPr>
          <w:b/>
          <w:bCs/>
        </w:rPr>
        <w:t>в якості вторинної сировини, близько 800 тис. т, а потреба під наявні виробничі потужності становить близько 1,2 млн тонн.</w:t>
      </w:r>
      <w:r w:rsidRPr="00C22C49">
        <w:t xml:space="preserve"> При цьому значну частину вторинної сировини ці підприємства закуповують за кордоном (Румунія, Молдова та ін.) близько 350 тис. тон макулатури при загальній річній переробці близько 1,3 млн. т тобто, за рахунок імпортної сировини забезпечувалося близько 27% виробничих потреб. </w:t>
      </w:r>
    </w:p>
    <w:p w14:paraId="0896B88D" w14:textId="77777777" w:rsidR="006D4F41" w:rsidRPr="00C22C49" w:rsidRDefault="006D4F41" w:rsidP="006D4F41">
      <w:r w:rsidRPr="00C22C49">
        <w:rPr>
          <w:b/>
        </w:rPr>
        <w:t>В Україні налічується 17 діючих склозаводів</w:t>
      </w:r>
      <w:r w:rsidRPr="00C22C49">
        <w:t xml:space="preserve">. Більшість склотари після використання у непошкодженому вигляді повторно використовується виробниками напоїв та консерв після її відповідної стерілізаційної обробки. При виготовленні скляних виробів у скловарні печі завантажують шихту, яка являє собою суміш склобою та свіжих добавок піску, соди, вапняку тощо. Частка використання склобою в співвідношенні з свіжими добавками на українських заводах є нижчою за показники аналогічних європейських підприємств, тому є можливість і потреба збільшувати застосування вторинних ресурсів. Виробники зацікавлені в цьому, оскільки: - вторсировина дешевша, ніж шихта зі свіжих матеріалів; - збільшення в шихті частки склобою дозволяє зменшити споживання природного газу при скловарінні. </w:t>
      </w:r>
    </w:p>
    <w:p w14:paraId="0896B88E" w14:textId="77777777" w:rsidR="006D4F41" w:rsidRPr="00C22C49" w:rsidRDefault="006D4F41" w:rsidP="006D4F41">
      <w:r w:rsidRPr="00C22C49">
        <w:rPr>
          <w:b/>
          <w:bCs/>
        </w:rPr>
        <w:t>Сумарно заводи України здатні переробити 800 тис. т склобою.</w:t>
      </w:r>
      <w:r w:rsidRPr="00C22C49">
        <w:t xml:space="preserve"> Незважаючи на те, що на звалищах після переробки залишається лише 5-8% склобою, потреби скловарних підприємств закрити не вдається, - </w:t>
      </w:r>
      <w:r w:rsidRPr="00C22C49">
        <w:rPr>
          <w:b/>
          <w:bCs/>
        </w:rPr>
        <w:t>щорічно переробляються лише 300 тис. т.</w:t>
      </w:r>
      <w:r w:rsidRPr="00C22C49">
        <w:t xml:space="preserve"> </w:t>
      </w:r>
    </w:p>
    <w:p w14:paraId="0896B88F" w14:textId="77777777" w:rsidR="006D4F41" w:rsidRPr="00C22C49" w:rsidRDefault="006D4F41" w:rsidP="006D4F41">
      <w:r w:rsidRPr="00C22C49">
        <w:t xml:space="preserve">ПЕТ-пляшки в Україні виробляють в основному самостійно самі виробники безалкогольних напоїв та пива, для яких є важливою максимальна локалізація тари. Сировина (гранулят) для видування пластикових пляшок в Україну імпортується. </w:t>
      </w:r>
    </w:p>
    <w:p w14:paraId="0896B890" w14:textId="77777777" w:rsidR="006D4F41" w:rsidRPr="00C22C49" w:rsidRDefault="006D4F41" w:rsidP="006D4F41">
      <w:r w:rsidRPr="00C22C49">
        <w:t xml:space="preserve">На сьогодні потужність підприємств України </w:t>
      </w:r>
      <w:r w:rsidR="002A1FA8" w:rsidRPr="00C22C49">
        <w:t>з рециклінгу</w:t>
      </w:r>
      <w:r w:rsidRPr="00C22C49">
        <w:t xml:space="preserve">усіх видів </w:t>
      </w:r>
      <w:r w:rsidRPr="00C22C49">
        <w:rPr>
          <w:b/>
          <w:bCs/>
        </w:rPr>
        <w:t xml:space="preserve">пластмас складає понад 300 тис. т на рік, в той час як переробляється лише 180 тис. т полімерних відходів. </w:t>
      </w:r>
      <w:r w:rsidRPr="00C22C49">
        <w:t xml:space="preserve">В цілому в Україні працює близько 20 підприємств, які переробляють ПЕТ-тару у вторинні матеріали. При цьому виробничі потужності, які призначені для утилізації ПЕТ-тари завантажені сировиною всього на 50-70%. </w:t>
      </w:r>
    </w:p>
    <w:p w14:paraId="0896B891" w14:textId="77777777" w:rsidR="006D4F41" w:rsidRPr="00C22C49" w:rsidRDefault="006D4F41" w:rsidP="006D4F41">
      <w:pPr>
        <w:rPr>
          <w:b/>
          <w:bCs/>
        </w:rPr>
      </w:pPr>
      <w:r w:rsidRPr="00C22C49">
        <w:rPr>
          <w:b/>
          <w:bCs/>
        </w:rPr>
        <w:t>Серед полімерних відходів частка упаковки складає 63%, відходи будівництва - 6%, відходи автоіндустрії – 5%, відходи електротехніки та електроніки - 5% інші відходи – 16%.</w:t>
      </w:r>
    </w:p>
    <w:p w14:paraId="0896B892" w14:textId="77777777" w:rsidR="006D4F41" w:rsidRPr="00C22C49" w:rsidRDefault="006D4F41" w:rsidP="006D4F41">
      <w:r w:rsidRPr="00C22C49">
        <w:t xml:space="preserve">В річному об'ємі утворення пластикових відходів </w:t>
      </w:r>
      <w:r w:rsidRPr="00C22C49">
        <w:rPr>
          <w:b/>
          <w:bCs/>
        </w:rPr>
        <w:t>більша частина припадає на поліетилен (близько 32%), біля 18% – на поліпропілен, 11% – на відходи ПЕТ-тари, 14% – на різні волокна (з яких більша частина – поліефірнні, ПЕТ).</w:t>
      </w:r>
      <w:r w:rsidRPr="00C22C49">
        <w:t xml:space="preserve"> На практиці відходи полімерів переважно представлені використаною пластмасовою тарою, виготовленою з поліетилентерефталату і поліолефінів - поліетилену, поліпропілену, полістиролу. При наявності великих обсягів вихідної сировини, розсортовані за видами полімерів, відходи пластмасової тари </w:t>
      </w:r>
      <w:r w:rsidRPr="00C22C49">
        <w:rPr>
          <w:b/>
          <w:bCs/>
        </w:rPr>
        <w:t>є цінною сировиною для отримання вторинних пластиків</w:t>
      </w:r>
      <w:r w:rsidRPr="00C22C49">
        <w:t>. В той же час термореактивні пластмаси утилізувати складно і їх відходи переважно спалюють або захорон</w:t>
      </w:r>
      <w:r w:rsidR="00936175" w:rsidRPr="00C22C49">
        <w:t>ю</w:t>
      </w:r>
      <w:r w:rsidRPr="00C22C49">
        <w:t>ють</w:t>
      </w:r>
      <w:r w:rsidR="00936175" w:rsidRPr="00C22C49">
        <w:t>.</w:t>
      </w:r>
    </w:p>
    <w:p w14:paraId="0896B893" w14:textId="77777777" w:rsidR="006D4F41" w:rsidRPr="00C22C49" w:rsidRDefault="006D4F41" w:rsidP="006D4F41">
      <w:r w:rsidRPr="00C22C49">
        <w:rPr>
          <w:b/>
          <w:bCs/>
        </w:rPr>
        <w:t>Так, якщо рівень рециклінгу полімерів взагалі становить 14%, то у пляшкового ПЕТ він доходить до 55%.</w:t>
      </w:r>
      <w:r w:rsidRPr="00C22C49">
        <w:t xml:space="preserve"> Це пов’язано з тим, що пластикові пляшки є зручним і легким об'єктом для попереднього сортування і організації індивідуального технологічного ланцюга переробки.</w:t>
      </w:r>
    </w:p>
    <w:p w14:paraId="0896B894" w14:textId="77777777" w:rsidR="00692CEE" w:rsidRPr="00C22C49" w:rsidRDefault="006D4F41" w:rsidP="006D4F41">
      <w:r w:rsidRPr="00C22C49">
        <w:rPr>
          <w:b/>
        </w:rPr>
        <w:t>Проблема сумішевих пластикових відходів</w:t>
      </w:r>
      <w:r w:rsidRPr="00C22C49">
        <w:t xml:space="preserve"> призводить до того, що повністю замкнутих циклів, тобто коли полімерні відходи повертаються в початкову точку того процесу, в результаті якого вони були вироблені, дуже небагато. Так, для відходів полімерної упаковки це лише 2% від усього обсягу. Ще 8% вторинних полімерів направляється на виробництво інших виробів, як правило, з більш низькими споживчими властивостями.</w:t>
      </w:r>
    </w:p>
    <w:p w14:paraId="0896B895" w14:textId="77777777" w:rsidR="006D4F41" w:rsidRPr="00C22C49" w:rsidRDefault="00FA2D9D" w:rsidP="00FD1A3A">
      <w:r w:rsidRPr="00C22C49">
        <w:rPr>
          <w:b/>
        </w:rPr>
        <w:t>На сьогодні сумарні потужності України з переробки ПЕТ відходів</w:t>
      </w:r>
      <w:r w:rsidRPr="00C22C49">
        <w:t xml:space="preserve"> складають до 1 тис. т в місяць. На обсяги переробки побутових відходів ПЕТ-тари впливають три основні чинники: економічність системи збору відходів, наявність виробничих потужностей переробки та ринок переробленого продукту. Помилково структуру витрат на переробку пластмас у європейських країнах автоматично переносити на реалії України, заздалегідь припускаючи невигідність такої утилізації. Корективи вносить те, що витрати на збір і переробку відходів з пластику у нашій країні у кілька разів нижчі, виходячи з фактичної різниці у заробітній платі і вартості енергоресурсів.</w:t>
      </w:r>
    </w:p>
    <w:p w14:paraId="0896B896" w14:textId="77777777" w:rsidR="00BF5DF6" w:rsidRPr="00C22C49" w:rsidRDefault="00BF5DF6" w:rsidP="00BF5DF6">
      <w:r w:rsidRPr="00C22C49">
        <w:rPr>
          <w:b/>
        </w:rPr>
        <w:t>На сьогодні в Україні існують два напрямки в системі збирання вторинної сировини</w:t>
      </w:r>
      <w:r w:rsidR="0058773D" w:rsidRPr="00C22C49">
        <w:rPr>
          <w:b/>
        </w:rPr>
        <w:t>:</w:t>
      </w:r>
      <w:r w:rsidRPr="00C22C49">
        <w:t xml:space="preserve"> </w:t>
      </w:r>
    </w:p>
    <w:p w14:paraId="0896B897" w14:textId="77777777" w:rsidR="00F70A2A" w:rsidRPr="00C22C49" w:rsidRDefault="00BF5DF6" w:rsidP="00FD1A3A">
      <w:r w:rsidRPr="00C22C49">
        <w:rPr>
          <w:b/>
        </w:rPr>
        <w:t>Перший напрям</w:t>
      </w:r>
      <w:r w:rsidRPr="00C22C49">
        <w:t xml:space="preserve"> здійснюється значною мірою через населення, яке частину відходів не викидає у контейнери для сміття, а здає у пункти заготівлі.</w:t>
      </w:r>
      <w:r w:rsidR="00F70A2A" w:rsidRPr="00C22C49">
        <w:t xml:space="preserve"> </w:t>
      </w:r>
      <w:r w:rsidR="002923FF" w:rsidRPr="00C22C49">
        <w:rPr>
          <w:b/>
        </w:rPr>
        <w:t xml:space="preserve">Другий </w:t>
      </w:r>
      <w:r w:rsidR="00BD15A3" w:rsidRPr="00C22C49">
        <w:rPr>
          <w:b/>
        </w:rPr>
        <w:t>напрям</w:t>
      </w:r>
      <w:r w:rsidR="00BD15A3" w:rsidRPr="00C22C49">
        <w:t xml:space="preserve"> роздільної заготівлі забезпечується через договори з підприємствами, на яких у виробничому циклі формуються великі потоки відходів упаковки.</w:t>
      </w:r>
    </w:p>
    <w:p w14:paraId="0896B898" w14:textId="77777777" w:rsidR="00BF5DF6" w:rsidRPr="00C22C49" w:rsidRDefault="00F70A2A" w:rsidP="00FD1A3A">
      <w:r w:rsidRPr="00C22C49">
        <w:t>Мережа приймальних пунктів наявної системи заготівельних організацій та підприємств ВЕО "Укрвторма" зі збирання вторинної сировини, а також локальні мережі включають 1500 підприємств, які формують організаційно-виробничу інфраструктура ринку та мають потужності з переробки відходів.</w:t>
      </w:r>
    </w:p>
    <w:p w14:paraId="0896B899" w14:textId="77777777" w:rsidR="00F87273" w:rsidRPr="00C22C49" w:rsidRDefault="00F87273" w:rsidP="003A4F21">
      <w:pPr>
        <w:pStyle w:val="REDBoldonly"/>
      </w:pPr>
      <w:r w:rsidRPr="00C22C49">
        <w:t xml:space="preserve">Основними проблемами системи </w:t>
      </w:r>
      <w:r w:rsidR="00F93B13" w:rsidRPr="00C22C49">
        <w:t xml:space="preserve">управління </w:t>
      </w:r>
      <w:r w:rsidRPr="00C22C49">
        <w:t>відходами</w:t>
      </w:r>
      <w:r w:rsidR="003A4F21" w:rsidRPr="00C22C49">
        <w:t xml:space="preserve"> </w:t>
      </w:r>
      <w:r w:rsidR="0058773D" w:rsidRPr="00C22C49">
        <w:t>упаковки</w:t>
      </w:r>
      <w:r w:rsidRPr="00C22C49">
        <w:t xml:space="preserve"> і її функціонування є:</w:t>
      </w:r>
    </w:p>
    <w:p w14:paraId="0896B89A" w14:textId="77777777" w:rsidR="00F87273" w:rsidRPr="00C22C49" w:rsidRDefault="00F87273" w:rsidP="00E6543A">
      <w:pPr>
        <w:pStyle w:val="BulletRED"/>
      </w:pPr>
      <w:r w:rsidRPr="00C22C49">
        <w:t>Відсутність в Україні юридичної та фінансової відповідальності за управління упаковкою та відходами упаковки не дає змогу залучити достатні ресурси для створення сучасної системи збирання та відновлення таких відходів.</w:t>
      </w:r>
    </w:p>
    <w:p w14:paraId="0896B89B" w14:textId="77777777" w:rsidR="00774475" w:rsidRPr="00C22C49" w:rsidRDefault="00A70800" w:rsidP="00E6543A">
      <w:pPr>
        <w:pStyle w:val="BulletRED"/>
      </w:pPr>
      <w:r w:rsidRPr="00C22C49">
        <w:t>Не відповідність та відсутність</w:t>
      </w:r>
      <w:r w:rsidR="00774475" w:rsidRPr="00C22C49">
        <w:t xml:space="preserve"> нормативно-правов</w:t>
      </w:r>
      <w:r w:rsidR="005340FF" w:rsidRPr="00C22C49">
        <w:t>ої</w:t>
      </w:r>
      <w:r w:rsidR="00774475" w:rsidRPr="00C22C49">
        <w:t xml:space="preserve"> баз</w:t>
      </w:r>
      <w:r w:rsidR="005340FF" w:rsidRPr="00C22C49">
        <w:t>и</w:t>
      </w:r>
      <w:r w:rsidR="00774475" w:rsidRPr="00C22C49">
        <w:t xml:space="preserve"> з питань виготовлення, зберігання, використання, транспортування, рециклінгу та видалення, питання розширеної відповідальності виробників та експортерів, а також організації обліку та звітності про виго</w:t>
      </w:r>
      <w:r w:rsidR="005340FF" w:rsidRPr="00C22C49">
        <w:t>т</w:t>
      </w:r>
      <w:r w:rsidR="00774475" w:rsidRPr="00C22C49">
        <w:t>овлену та використану упаковку та відходи упаковки</w:t>
      </w:r>
      <w:r w:rsidR="005340FF" w:rsidRPr="00C22C49">
        <w:t>.</w:t>
      </w:r>
    </w:p>
    <w:p w14:paraId="0896B89C" w14:textId="77777777" w:rsidR="005340FF" w:rsidRPr="00C22C49" w:rsidRDefault="00376B7D" w:rsidP="00E6543A">
      <w:pPr>
        <w:pStyle w:val="BulletRED"/>
      </w:pPr>
      <w:r w:rsidRPr="00C22C49">
        <w:t xml:space="preserve">Відсутність закону "Про упаковку та відходи упаковки" та недосконалість </w:t>
      </w:r>
      <w:r w:rsidR="00C465F6" w:rsidRPr="00C22C49">
        <w:t>його проєкту.</w:t>
      </w:r>
      <w:r w:rsidRPr="00C22C49">
        <w:t xml:space="preserve"> </w:t>
      </w:r>
      <w:r w:rsidR="004E166C" w:rsidRPr="00C22C49">
        <w:t>Пропоновані в Проекті Закону "Про упаковку та відходи упаковки" цільові показники на плановий період не враховують реальний стан галузі та  суттєво занижені, що ставить під сумнів доцільність їх прийняття, оскільки не вирішить проблему.</w:t>
      </w:r>
      <w:r w:rsidR="00D36B07" w:rsidRPr="00C22C49">
        <w:t xml:space="preserve"> Пропоновані в Проекті Закону варіанти формування та функціонування систем розширеної відповідальності виробників та експортерів упаковки та товарів в упаковці  мають форму  "закритих клубів за інтересами", які не вирішують проблеми упаковки та відходів упаковки, а навпаки перекладають їх на громади та державу в цілому.</w:t>
      </w:r>
    </w:p>
    <w:p w14:paraId="0896B89D" w14:textId="77777777" w:rsidR="004E166C" w:rsidRPr="00C22C49" w:rsidRDefault="007A7993" w:rsidP="00E6543A">
      <w:pPr>
        <w:pStyle w:val="BulletRED"/>
      </w:pPr>
      <w:r w:rsidRPr="00C22C49">
        <w:t>Відсутні цільові показники на збирання та оброблення відходів упаковки.</w:t>
      </w:r>
      <w:r w:rsidR="00C465F6" w:rsidRPr="00C22C49">
        <w:t>Відсутня система управління упаковкою та відходами упаковки як виробниками так і імпортерами на державному рівні після відміни Постанови КМУ №915.</w:t>
      </w:r>
    </w:p>
    <w:p w14:paraId="0896B89E" w14:textId="77777777" w:rsidR="00C465F6" w:rsidRPr="00C22C49" w:rsidRDefault="005B3EE2" w:rsidP="00E6543A">
      <w:pPr>
        <w:pStyle w:val="BulletRED"/>
      </w:pPr>
      <w:r w:rsidRPr="00C22C49">
        <w:t>Відсутня державна система обліку утворення, ввезення, використання  та поводження з упаковкою та відходами з упаковки.</w:t>
      </w:r>
    </w:p>
    <w:p w14:paraId="0896B89F" w14:textId="77777777" w:rsidR="005B3EE2" w:rsidRPr="00C22C49" w:rsidRDefault="005B3EE2" w:rsidP="00E6543A">
      <w:pPr>
        <w:pStyle w:val="BulletRED"/>
      </w:pPr>
      <w:r w:rsidRPr="00C22C49">
        <w:t>Інвестиційна привабливість сфери управління упаковкою та відходами упаковки  є низькою внаслідок відсутності необхідної законодавчої бази і визначених сфер діяльності та відповідальності для всіх учасників ринку.</w:t>
      </w:r>
    </w:p>
    <w:p w14:paraId="0896B8A0" w14:textId="77777777" w:rsidR="00B1414A" w:rsidRPr="00C22C49" w:rsidRDefault="00B1414A" w:rsidP="00E6543A">
      <w:pPr>
        <w:pStyle w:val="BulletRED"/>
      </w:pPr>
      <w:r w:rsidRPr="00C22C49">
        <w:t>Низький рівень обізнаності населення щодо негативного впливу та правильного видалення упаковки та відходів упаковки в  домогосподарствах.</w:t>
      </w:r>
    </w:p>
    <w:p w14:paraId="0896B8A1" w14:textId="77777777" w:rsidR="00B1414A" w:rsidRPr="00C22C49" w:rsidRDefault="00B1414A" w:rsidP="00E6543A">
      <w:pPr>
        <w:pStyle w:val="BulletRED"/>
      </w:pPr>
      <w:r w:rsidRPr="00C22C49">
        <w:t xml:space="preserve">Низький рівень охоплення населення роздільним збиранням відходів упаковки. </w:t>
      </w:r>
      <w:r w:rsidR="009A5A85" w:rsidRPr="00C22C49">
        <w:t xml:space="preserve">Недостатня забезпеченість контейнерами різних типів для роздільного збирання упаковки та відходів упаковки. </w:t>
      </w:r>
      <w:r w:rsidR="00E70703" w:rsidRPr="00C22C49">
        <w:t xml:space="preserve">Роздільним збиранням охоплено менше 30% населення, в більшості </w:t>
      </w:r>
      <w:r w:rsidR="00872FF5" w:rsidRPr="00C22C49">
        <w:t xml:space="preserve">населених пунктів є контейнери для роздільного збирання тільки </w:t>
      </w:r>
      <w:r w:rsidR="00E70703" w:rsidRPr="00C22C49">
        <w:t>ПЕТ-пляшки</w:t>
      </w:r>
      <w:r w:rsidR="00872FF5" w:rsidRPr="00C22C49">
        <w:t>.</w:t>
      </w:r>
    </w:p>
    <w:p w14:paraId="0896B8A2" w14:textId="77777777" w:rsidR="00872FF5" w:rsidRPr="00C22C49" w:rsidRDefault="00810CDC" w:rsidP="00E6543A">
      <w:pPr>
        <w:pStyle w:val="BulletRED"/>
      </w:pPr>
      <w:r w:rsidRPr="00C22C49">
        <w:t>Пункти приймання відходів упаковки, в більшості працюють нелегально, здебільшого для збирання компонентів, які можна продати. Ринок продажу теж працює «в тіні».</w:t>
      </w:r>
    </w:p>
    <w:p w14:paraId="0896B8A3" w14:textId="77777777" w:rsidR="00820D78" w:rsidRPr="00C22C49" w:rsidRDefault="00820D78" w:rsidP="00E6543A">
      <w:pPr>
        <w:pStyle w:val="BulletRED"/>
      </w:pPr>
      <w:r w:rsidRPr="00C22C49">
        <w:t>Відсутність спеціалізованих транспортних засобів для роздільного збирання відходів із відповідними позначеннями</w:t>
      </w:r>
      <w:r w:rsidR="00CF7ECF" w:rsidRPr="00C22C49">
        <w:t xml:space="preserve"> виду відходів, який забирає цей транспорт, </w:t>
      </w:r>
      <w:r w:rsidRPr="00C22C49">
        <w:t>в парку операторів ринку</w:t>
      </w:r>
      <w:r w:rsidR="00CF7ECF" w:rsidRPr="00C22C49">
        <w:t xml:space="preserve">. </w:t>
      </w:r>
      <w:r w:rsidR="001609C1" w:rsidRPr="00C22C49">
        <w:t>Відсутність візуального розрізнення транспортних засобів підсилює думку населення, що всі відхо</w:t>
      </w:r>
      <w:r w:rsidR="00E0247A" w:rsidRPr="00C22C49">
        <w:t xml:space="preserve">ди (змішані та сортовані) забираються однією вантажівкою, що </w:t>
      </w:r>
      <w:r w:rsidR="00DD0214" w:rsidRPr="00C22C49">
        <w:t>знижує бажання сортувати відходи в дома.</w:t>
      </w:r>
    </w:p>
    <w:p w14:paraId="0896B8A4" w14:textId="77777777" w:rsidR="00F433F1" w:rsidRPr="00C22C49" w:rsidRDefault="00F60C86" w:rsidP="00045198">
      <w:pPr>
        <w:pStyle w:val="BulletRED"/>
      </w:pPr>
      <w:r w:rsidRPr="00C22C49">
        <w:t>Недостатня кількість сортувальних ліній та комплексів</w:t>
      </w:r>
      <w:r w:rsidR="00F33152" w:rsidRPr="00C22C49">
        <w:t xml:space="preserve"> з відновлення відходів</w:t>
      </w:r>
      <w:r w:rsidRPr="00C22C49">
        <w:t xml:space="preserve">. Станом на 2022 рік працює лише </w:t>
      </w:r>
      <w:r w:rsidR="00F33152" w:rsidRPr="00C22C49">
        <w:t xml:space="preserve">33 </w:t>
      </w:r>
      <w:r w:rsidR="004A6CE5" w:rsidRPr="00C22C49">
        <w:t>сортувальні</w:t>
      </w:r>
      <w:r w:rsidR="00F33152" w:rsidRPr="00C22C49">
        <w:t xml:space="preserve"> лінії</w:t>
      </w:r>
      <w:r w:rsidR="004A6CE5" w:rsidRPr="00C22C49">
        <w:t>.</w:t>
      </w:r>
    </w:p>
    <w:p w14:paraId="0896B8A5" w14:textId="77777777" w:rsidR="004A6CE5" w:rsidRPr="00C22C49" w:rsidRDefault="004A6CE5" w:rsidP="00045198">
      <w:pPr>
        <w:pStyle w:val="BulletRED"/>
      </w:pPr>
      <w:r w:rsidRPr="00C22C49">
        <w:t>В відходах упаковки містяться як небезпечні речовини так і одночасно ресурсоцінні компоненти, які потребує вітчизняна промисловість (макулатура, картон, скло, метали тощо)</w:t>
      </w:r>
      <w:r w:rsidR="008909F3" w:rsidRPr="00C22C49">
        <w:t xml:space="preserve">. Переважаюча практика видалення відходів упаковки призводить до </w:t>
      </w:r>
      <w:r w:rsidR="00E20B09" w:rsidRPr="00C22C49">
        <w:t>забруднення навколишнього середовища та втрати ресурсів.</w:t>
      </w:r>
    </w:p>
    <w:p w14:paraId="0896B8A6" w14:textId="77777777" w:rsidR="00E6543A" w:rsidRPr="00C22C49" w:rsidRDefault="00E6543A" w:rsidP="00FD1A3A"/>
    <w:p w14:paraId="0896B8A7" w14:textId="77777777" w:rsidR="00E6543A" w:rsidRPr="00C22C49" w:rsidRDefault="0058773D" w:rsidP="00266E1E">
      <w:pPr>
        <w:pStyle w:val="REDBoldonly"/>
        <w:ind w:left="567"/>
        <w:rPr>
          <w:rStyle w:val="affe"/>
          <w:iCs w:val="0"/>
        </w:rPr>
      </w:pPr>
      <w:r w:rsidRPr="00C22C49">
        <w:rPr>
          <w:rStyle w:val="affe"/>
          <w:iCs w:val="0"/>
        </w:rPr>
        <w:t xml:space="preserve">1.4.7.2. </w:t>
      </w:r>
      <w:r w:rsidR="00E6543A" w:rsidRPr="00C22C49">
        <w:rPr>
          <w:rStyle w:val="affe"/>
          <w:iCs w:val="0"/>
        </w:rPr>
        <w:t>Відходи батарей і акумуляторів</w:t>
      </w:r>
    </w:p>
    <w:p w14:paraId="0896B8A8" w14:textId="77777777" w:rsidR="00FF6DDA" w:rsidRPr="00C22C49" w:rsidRDefault="00FF6DDA" w:rsidP="00FF6DDA">
      <w:r w:rsidRPr="00C22C49">
        <w:t xml:space="preserve">Відходи батарей і акумуляторів є швидкозростаючим видом відходів, які потребують спеціального управління, однак на даний час в національному законодавстві відсутні правові та організаційні засади для організації ефективної та стійкої системи управління даними відходами. </w:t>
      </w:r>
    </w:p>
    <w:p w14:paraId="0896B8A9" w14:textId="77777777" w:rsidR="00FF6DDA" w:rsidRPr="00C22C49" w:rsidRDefault="00FF6DDA" w:rsidP="00FF6DDA">
      <w:r w:rsidRPr="00C22C49">
        <w:rPr>
          <w:b/>
        </w:rPr>
        <w:t xml:space="preserve">Існуючі нормативно-правові акти </w:t>
      </w:r>
      <w:r w:rsidRPr="00C22C49">
        <w:t>містять застарілі положення, економічний механізм, що мав би забезпечувати утилізацію відпрацьованих акумуляторів, закладений в ЗУ «Про хімічні джерела струму», як законодавча норма прямої дії дуже повільно впроваджуються на практиці та не поширюються на сферу поводження з усіма видами батарейок, батарей та а</w:t>
      </w:r>
      <w:r w:rsidR="00B76C8E" w:rsidRPr="00C22C49">
        <w:t>кумуляторів. Як результат цього</w:t>
      </w:r>
      <w:r w:rsidRPr="00C22C49">
        <w:t xml:space="preserve"> - відсутність в Україні реальних статистичних даних утворення відходів батарей та акумуляторів.</w:t>
      </w:r>
    </w:p>
    <w:p w14:paraId="0896B8AA" w14:textId="77777777" w:rsidR="00FF6DDA" w:rsidRPr="00C22C49" w:rsidRDefault="00FF6DDA" w:rsidP="00FF6DDA">
      <w:r w:rsidRPr="00C22C49">
        <w:rPr>
          <w:b/>
        </w:rPr>
        <w:t>Наявні статистичні дані</w:t>
      </w:r>
      <w:r w:rsidR="0028670B" w:rsidRPr="00C22C49">
        <w:t xml:space="preserve"> свідчать про те, що</w:t>
      </w:r>
      <w:r w:rsidRPr="00C22C49">
        <w:t xml:space="preserve"> в середньому 3000 тонн портативних батарей, 12000 тонн промислових батарей та 260000 тонн автомобільних акумуляторів щороку поповнюють український ринок, значну частку яких складає вітчизняне виробництво акумуляторів електричних свинцевих (3,1−5,4 млн шт. масою більше 5 кг з рідким електролітом), акумуляторів електричних свинцевих інших (30−15 тис. шт.), акумуляторів електричних лужних  (71,8−30 тис. шт.) на рік. Крім цього за даними митної служби  за 1 день в Україну ввозиться більше 12 тонн батарейок і акумуляторів, а правильно утилізувати вдається лише 1% із них. При високій рентабельності переробки свинцю, багато суб’єктів господарювання мають ліцензії на здійснення операцій з небезпечними відходами і здійснюють збирання свинцево-кислотних акумуляторів, але лише декілька сучасних підприємств, які здійснюють їх оброблення.  </w:t>
      </w:r>
    </w:p>
    <w:p w14:paraId="0896B8AB" w14:textId="77777777" w:rsidR="00FF6DDA" w:rsidRPr="00C22C49" w:rsidRDefault="00FF6DDA" w:rsidP="00FF6DDA">
      <w:r w:rsidRPr="00C22C49">
        <w:rPr>
          <w:b/>
        </w:rPr>
        <w:t>Перероблення хімічних джерел струму (ХДС),</w:t>
      </w:r>
      <w:r w:rsidRPr="00C22C49">
        <w:t xml:space="preserve"> в Україні, поки що, широко не налагоджене, тому вони збираються і зберігаються до налагодження системи перероблення або  відправлення їх на відновлення за кордон. </w:t>
      </w:r>
    </w:p>
    <w:p w14:paraId="0896B8AC" w14:textId="2A4D2BC3" w:rsidR="00E6543A" w:rsidRPr="00C22C49" w:rsidRDefault="00FF6DDA" w:rsidP="00FF6DDA">
      <w:r w:rsidRPr="00C22C49">
        <w:t xml:space="preserve">На сьогоднішній день спостерігається швидкий розвиток сонячної енергетики, але обсяги відпрацьованих сонячних батарей ще невеликі, оскільки галузь молода, а гарантійний термін служби фотоелектричних модулів зазвичай становить понад 25 років. У той же час, у недалекому майбутньому варто очікувати експоненціальне зростання </w:t>
      </w:r>
      <w:r w:rsidR="00FE1A24" w:rsidRPr="00FE1A24">
        <w:t>обсягів</w:t>
      </w:r>
      <w:r w:rsidRPr="00C22C49">
        <w:t xml:space="preserve"> таких відходів і гостро постане проблема їх утилізації оскільки до складу сонячних входять отруйні сполуки - телурид кадмію, диселенід міді та індію. На даний час при утилізації сонячних батарей виділяються тільки їх основні складові матеріали - скло, алюміній і мідь, а  пластмаси, спалюються або відправляються на полігони, тому більшість компаній, які виробляють сонячні батареї, працюють над створенням технології ефективної екологічно чистої утилізаційної переробки цієї продукції.</w:t>
      </w:r>
    </w:p>
    <w:p w14:paraId="0896B8AD" w14:textId="77777777" w:rsidR="00E6543A" w:rsidRPr="00C22C49" w:rsidRDefault="00FF6DDA" w:rsidP="00BE17E6">
      <w:pPr>
        <w:pStyle w:val="REDBoldonly"/>
      </w:pPr>
      <w:r w:rsidRPr="00C22C49">
        <w:t xml:space="preserve">Основними проблемами системи поводження з відходами </w:t>
      </w:r>
      <w:r w:rsidR="003A4F21" w:rsidRPr="00C22C49">
        <w:rPr>
          <w:rStyle w:val="affe"/>
          <w:iCs w:val="0"/>
        </w:rPr>
        <w:t>батарей і акумуляторів</w:t>
      </w:r>
      <w:r w:rsidR="003A4F21" w:rsidRPr="00C22C49">
        <w:t xml:space="preserve"> </w:t>
      </w:r>
      <w:r w:rsidRPr="00C22C49">
        <w:t>і її функціонування є:</w:t>
      </w:r>
    </w:p>
    <w:p w14:paraId="0896B8AE" w14:textId="77777777" w:rsidR="00792202" w:rsidRPr="00C22C49" w:rsidRDefault="00792202" w:rsidP="00792202">
      <w:pPr>
        <w:pStyle w:val="BulletRED"/>
      </w:pPr>
      <w:r w:rsidRPr="00C22C49">
        <w:t>Недостатня увага з боку держави, зокрема відсутність програмних та інших нормативно-правових актів, спрямованих на вирішення проблеми управління відходами батарей та акумуляторів.</w:t>
      </w:r>
    </w:p>
    <w:p w14:paraId="0896B8AF" w14:textId="77777777" w:rsidR="00792202" w:rsidRPr="00C22C49" w:rsidRDefault="0022791A" w:rsidP="00792202">
      <w:pPr>
        <w:pStyle w:val="BulletRED"/>
      </w:pPr>
      <w:r w:rsidRPr="00C22C49">
        <w:t>Н</w:t>
      </w:r>
      <w:r w:rsidR="00792202" w:rsidRPr="00C22C49">
        <w:t xml:space="preserve">ормативно-правова база з питань </w:t>
      </w:r>
      <w:r w:rsidRPr="00C22C49">
        <w:t xml:space="preserve">збирання, </w:t>
      </w:r>
      <w:r w:rsidR="00792202" w:rsidRPr="00C22C49">
        <w:t>зберігання, транспортування, рециклінгу</w:t>
      </w:r>
      <w:r w:rsidR="00531C91" w:rsidRPr="00C22C49">
        <w:t>, відновлення</w:t>
      </w:r>
      <w:r w:rsidR="00792202" w:rsidRPr="00C22C49">
        <w:t xml:space="preserve"> та видалення</w:t>
      </w:r>
      <w:r w:rsidR="00697428" w:rsidRPr="00C22C49">
        <w:t xml:space="preserve"> відходів батарей та акумуляторів</w:t>
      </w:r>
      <w:r w:rsidR="00531C91" w:rsidRPr="00C22C49">
        <w:t xml:space="preserve"> та</w:t>
      </w:r>
      <w:r w:rsidR="00792202" w:rsidRPr="00C22C49">
        <w:t xml:space="preserve"> питання розширеної відповідальності виробників та експортерів, а також організації обліку та звітності </w:t>
      </w:r>
      <w:r w:rsidR="00A845FC" w:rsidRPr="00C22C49">
        <w:t>не відповіда</w:t>
      </w:r>
      <w:r w:rsidR="00126B73" w:rsidRPr="00C22C49">
        <w:t>ють</w:t>
      </w:r>
      <w:r w:rsidR="00A845FC" w:rsidRPr="00C22C49">
        <w:t xml:space="preserve"> </w:t>
      </w:r>
      <w:r w:rsidR="00792202" w:rsidRPr="00C22C49">
        <w:t>стандарт</w:t>
      </w:r>
      <w:r w:rsidR="00A845FC" w:rsidRPr="00C22C49">
        <w:t>ам</w:t>
      </w:r>
      <w:r w:rsidR="00792202" w:rsidRPr="00C22C49">
        <w:t xml:space="preserve"> ЄС</w:t>
      </w:r>
      <w:r w:rsidR="00A845FC" w:rsidRPr="00C22C49">
        <w:t>.</w:t>
      </w:r>
    </w:p>
    <w:p w14:paraId="0896B8B0" w14:textId="77777777" w:rsidR="002F3A59" w:rsidRPr="00C22C49" w:rsidRDefault="002F3A59" w:rsidP="00792202">
      <w:pPr>
        <w:pStyle w:val="BulletRED"/>
      </w:pPr>
      <w:r w:rsidRPr="00C22C49">
        <w:t xml:space="preserve">Положення чинного закону «Про хімічні джерела струму" повністю не реалізовані через відсутність підзаконних нормативних актів. </w:t>
      </w:r>
    </w:p>
    <w:p w14:paraId="0896B8B1" w14:textId="77777777" w:rsidR="00D56E18" w:rsidRPr="00C22C49" w:rsidRDefault="00D56E18" w:rsidP="00792202">
      <w:pPr>
        <w:pStyle w:val="BulletRED"/>
      </w:pPr>
      <w:r w:rsidRPr="00C22C49">
        <w:t>Відсутні цільові показники на збирання та оброблення відходів батарей і акумуляторів.</w:t>
      </w:r>
    </w:p>
    <w:p w14:paraId="0896B8B2" w14:textId="77777777" w:rsidR="00617530" w:rsidRPr="00C22C49" w:rsidRDefault="00792202" w:rsidP="00617530">
      <w:pPr>
        <w:pStyle w:val="BulletRED"/>
      </w:pPr>
      <w:r w:rsidRPr="00C22C49">
        <w:t xml:space="preserve">Відсутня система управління </w:t>
      </w:r>
      <w:r w:rsidR="000F6D16" w:rsidRPr="00C22C49">
        <w:t xml:space="preserve">відходами батарей </w:t>
      </w:r>
      <w:r w:rsidRPr="00C22C49">
        <w:t xml:space="preserve">та </w:t>
      </w:r>
      <w:r w:rsidR="000F6D16" w:rsidRPr="00C22C49">
        <w:t>акумуляторів</w:t>
      </w:r>
      <w:r w:rsidRPr="00C22C49">
        <w:t>.</w:t>
      </w:r>
      <w:r w:rsidR="00617530" w:rsidRPr="00C22C49">
        <w:t xml:space="preserve"> Відсутність інфраструктури зб</w:t>
      </w:r>
      <w:r w:rsidR="00EE49E2" w:rsidRPr="00C22C49">
        <w:t>ирання відходів батарей та акумуляторів,</w:t>
      </w:r>
      <w:r w:rsidR="00126B73" w:rsidRPr="00C22C49">
        <w:t xml:space="preserve"> </w:t>
      </w:r>
      <w:r w:rsidR="00617530" w:rsidRPr="00C22C49">
        <w:t>утворюваних в домогосподарствах</w:t>
      </w:r>
      <w:r w:rsidR="00126B73" w:rsidRPr="00C22C49">
        <w:t>,</w:t>
      </w:r>
      <w:r w:rsidR="00617530" w:rsidRPr="00C22C49">
        <w:t xml:space="preserve"> потужностей з рециклінгу (відновлення) </w:t>
      </w:r>
      <w:r w:rsidR="00EE49E2" w:rsidRPr="00C22C49">
        <w:t xml:space="preserve">деяких видів </w:t>
      </w:r>
      <w:r w:rsidR="00617530" w:rsidRPr="00C22C49">
        <w:t>відходів батарей та акумуляторів відходів;</w:t>
      </w:r>
    </w:p>
    <w:p w14:paraId="0896B8B3" w14:textId="77777777" w:rsidR="002730FD" w:rsidRPr="00C22C49" w:rsidRDefault="002730FD" w:rsidP="002730FD">
      <w:pPr>
        <w:pStyle w:val="BulletRED"/>
      </w:pPr>
      <w:r w:rsidRPr="00C22C49">
        <w:t>Відсутність системи розширеної відповідальності виробників батарей та акумуляторів.</w:t>
      </w:r>
    </w:p>
    <w:p w14:paraId="0896B8B4" w14:textId="77777777" w:rsidR="00792202" w:rsidRPr="00C22C49" w:rsidRDefault="00792202" w:rsidP="00792202">
      <w:pPr>
        <w:pStyle w:val="BulletRED"/>
      </w:pPr>
      <w:r w:rsidRPr="00C22C49">
        <w:t xml:space="preserve">Відсутні дані про кількість утворених </w:t>
      </w:r>
      <w:r w:rsidR="008B317C" w:rsidRPr="00C22C49">
        <w:t>відходів</w:t>
      </w:r>
      <w:r w:rsidRPr="00C22C49">
        <w:t xml:space="preserve"> </w:t>
      </w:r>
      <w:r w:rsidR="008B317C" w:rsidRPr="00C22C49">
        <w:t xml:space="preserve">батарей та акумуляторів </w:t>
      </w:r>
      <w:r w:rsidRPr="00C22C49">
        <w:t xml:space="preserve">та </w:t>
      </w:r>
      <w:r w:rsidR="008B317C" w:rsidRPr="00C22C49">
        <w:t>управління</w:t>
      </w:r>
      <w:r w:rsidRPr="00C22C49">
        <w:t xml:space="preserve"> з ними.</w:t>
      </w:r>
    </w:p>
    <w:p w14:paraId="0896B8B5" w14:textId="77777777" w:rsidR="00792202" w:rsidRPr="00C22C49" w:rsidRDefault="00792202" w:rsidP="00792202">
      <w:pPr>
        <w:pStyle w:val="BulletRED"/>
      </w:pPr>
      <w:r w:rsidRPr="00C22C49">
        <w:t>Відсутні організаційно-економічні механізми забезпечення збирання та залучення відходів батарей та акумуляторів у господарський обіг тощо;</w:t>
      </w:r>
    </w:p>
    <w:p w14:paraId="0896B8B6" w14:textId="77777777" w:rsidR="00792202" w:rsidRPr="00C22C49" w:rsidRDefault="00792202" w:rsidP="00792202">
      <w:pPr>
        <w:pStyle w:val="BulletRED"/>
      </w:pPr>
      <w:r w:rsidRPr="00C22C49">
        <w:t>Низький рівень обізнаності населення про правила поводження та видалення компонентів акумуляторів та батарей, використання послуг спеціалізованих компаній.</w:t>
      </w:r>
    </w:p>
    <w:p w14:paraId="0896B8B7" w14:textId="77777777" w:rsidR="00792202" w:rsidRPr="00C22C49" w:rsidRDefault="00792202" w:rsidP="00792202">
      <w:pPr>
        <w:pStyle w:val="BulletRED"/>
      </w:pPr>
      <w:r w:rsidRPr="00C22C49">
        <w:t xml:space="preserve">Заходи активістів та громадських організацій по </w:t>
      </w:r>
      <w:r w:rsidR="00241565" w:rsidRPr="00C22C49">
        <w:t xml:space="preserve">збиранню </w:t>
      </w:r>
      <w:r w:rsidRPr="00C22C49">
        <w:t>відпрацьованих елементів живлення, які утворюються в домогосподарствах, не системні, мають просвітницький результат та не вирішують</w:t>
      </w:r>
      <w:r w:rsidR="00830733" w:rsidRPr="00C22C49">
        <w:t xml:space="preserve"> повністю</w:t>
      </w:r>
      <w:r w:rsidRPr="00C22C49">
        <w:t xml:space="preserve"> проблему </w:t>
      </w:r>
      <w:r w:rsidR="00241565" w:rsidRPr="00C22C49">
        <w:t>управління</w:t>
      </w:r>
      <w:r w:rsidRPr="00C22C49">
        <w:t xml:space="preserve"> таким потоком відходів</w:t>
      </w:r>
      <w:r w:rsidR="003F3889" w:rsidRPr="00C22C49">
        <w:t>, що вимагає побудови системи на рівні держави</w:t>
      </w:r>
      <w:r w:rsidRPr="00C22C49">
        <w:t xml:space="preserve">. </w:t>
      </w:r>
    </w:p>
    <w:p w14:paraId="0896B8B8" w14:textId="77777777" w:rsidR="00792202" w:rsidRPr="00C22C49" w:rsidRDefault="00792202" w:rsidP="00792202">
      <w:pPr>
        <w:pStyle w:val="BulletRED"/>
      </w:pPr>
      <w:r w:rsidRPr="00C22C49">
        <w:t>Неправильне оброблення відходів батарей та акумуляторів спричиняє значний негативний вплив на здоров'я людей, які здійснюють таке оброблення та викиди небезпечних речовин до навколишнього природного середовища.</w:t>
      </w:r>
    </w:p>
    <w:p w14:paraId="0896B8B9" w14:textId="77777777" w:rsidR="00E6543A" w:rsidRPr="00C22C49" w:rsidRDefault="00792202" w:rsidP="00792202">
      <w:pPr>
        <w:pStyle w:val="BulletRED"/>
      </w:pPr>
      <w:r w:rsidRPr="00C22C49">
        <w:t>Відсутність належного контролю господарської діяльності та можливості притягнення до відповідальності за несанкціоноване видалення відходів, що призводить до появи компаній-«псевдоутилізаторів», електроліт може зливатись у відкритий ґрунт, а інші відходи батарей і акумуляторів потрапляють на несанкціоновані сміттєзвалища у навколишнє середовище або у контейнери побутових відходів.</w:t>
      </w:r>
    </w:p>
    <w:p w14:paraId="0896B8BA" w14:textId="77777777" w:rsidR="00FF6DDA" w:rsidRPr="00C22C49" w:rsidRDefault="00FF6DDA" w:rsidP="00FD1A3A"/>
    <w:p w14:paraId="0896B8BB" w14:textId="77777777" w:rsidR="005E4C42" w:rsidRPr="00C22C49" w:rsidRDefault="0058773D" w:rsidP="00266E1E">
      <w:pPr>
        <w:pStyle w:val="REDBoldonly"/>
        <w:ind w:left="567"/>
        <w:rPr>
          <w:rStyle w:val="affe"/>
          <w:iCs w:val="0"/>
        </w:rPr>
      </w:pPr>
      <w:r w:rsidRPr="00C22C49">
        <w:rPr>
          <w:rStyle w:val="affe"/>
          <w:iCs w:val="0"/>
        </w:rPr>
        <w:t xml:space="preserve">1.4.7.3. </w:t>
      </w:r>
      <w:r w:rsidR="005E4C42" w:rsidRPr="00C22C49">
        <w:rPr>
          <w:rStyle w:val="affe"/>
          <w:iCs w:val="0"/>
        </w:rPr>
        <w:t>Відходи електричного та електронного обладнання</w:t>
      </w:r>
    </w:p>
    <w:p w14:paraId="0896B8BC" w14:textId="7926F7C6" w:rsidR="00393AB2" w:rsidRPr="00C22C49" w:rsidRDefault="00393AB2" w:rsidP="00393AB2">
      <w:r w:rsidRPr="00C22C49">
        <w:t xml:space="preserve">Відходи електричного та електронного обладнання </w:t>
      </w:r>
      <w:r w:rsidR="0058773D" w:rsidRPr="00C22C49">
        <w:t>(</w:t>
      </w:r>
      <w:r w:rsidR="000C08B8" w:rsidRPr="00C22C49">
        <w:t>ВЕЕО</w:t>
      </w:r>
      <w:r w:rsidR="0058773D" w:rsidRPr="00C22C49">
        <w:t>)</w:t>
      </w:r>
      <w:r w:rsidR="000C08B8" w:rsidRPr="00C22C49">
        <w:t xml:space="preserve"> </w:t>
      </w:r>
      <w:r w:rsidRPr="00C22C49">
        <w:t xml:space="preserve">- один з найбільш зростаючих видів відходів, який становить до 5% </w:t>
      </w:r>
      <w:r w:rsidR="00FE1A24" w:rsidRPr="00C22C49">
        <w:t>загально</w:t>
      </w:r>
      <w:r w:rsidR="00FE1A24">
        <w:t>го</w:t>
      </w:r>
      <w:r w:rsidR="00FE1A24" w:rsidRPr="00C22C49">
        <w:t xml:space="preserve"> </w:t>
      </w:r>
      <w:r w:rsidR="00FE1A24" w:rsidRPr="00FE1A24">
        <w:t>обсяг</w:t>
      </w:r>
      <w:r w:rsidR="00FE1A24">
        <w:t>у</w:t>
      </w:r>
      <w:r w:rsidR="00FE1A24" w:rsidRPr="00FE1A24">
        <w:t xml:space="preserve"> </w:t>
      </w:r>
      <w:r w:rsidRPr="00C22C49">
        <w:t xml:space="preserve">відходів, що складає понад 6 кілограмів на одного жителя нашої планети та 14 кг на кожного жителя Євросоюзу.  Тривалість життєвого циклу сучасної електронної техніки скорочується, що призводить до збільшення обсягів утворення ВЕЕО. Очікується, що до 2050 р. за найгіршим із сценаріїв їх обсяг зросте в два з половиною рази. </w:t>
      </w:r>
    </w:p>
    <w:p w14:paraId="0896B8BD" w14:textId="77777777" w:rsidR="00393AB2" w:rsidRPr="00C22C49" w:rsidRDefault="00393AB2" w:rsidP="00393AB2">
      <w:r w:rsidRPr="00C22C49">
        <w:t>В Україні відсутні окремі статистичні дані щодо утворення ВЕЕО, але  відповідно до наявних статистичних даних, роздрібні продажі побутових електротоварів та освітлювального приладдя зростають,  що дає можливість передбачити подальше зростання утворення ВЕЕО у прогнозованому періоді.  Особливістю ринку ЕЕО в Україні є те, що крім власного виробництва з ЄС та інших держав потрапляє значна частина ЕЕО, в тому числі близько 14-18% – нелегально, яке після завершення терміну експлуатації потрапляє у відходи.</w:t>
      </w:r>
    </w:p>
    <w:p w14:paraId="0896B8BE" w14:textId="77777777" w:rsidR="00E6543A" w:rsidRPr="00C22C49" w:rsidRDefault="00393AB2" w:rsidP="00393AB2">
      <w:r w:rsidRPr="00C22C49">
        <w:t>Неврегульованість на законодавчому рівні управління системою ВЕЕО призвела до відсутності дієвої інфраструктури збирання та технологічно правильного відновлення ВЕЕО, тому поводження з ними здебільшого знаходиться «в тіні», коли вилучаються лише  корисні компоненти, чорні та кольорові метали, а рештки, незважаючи на наявність небезпечних складників, відправляють на звалища.</w:t>
      </w:r>
    </w:p>
    <w:p w14:paraId="0896B8BF" w14:textId="77777777" w:rsidR="00393AB2" w:rsidRPr="00C22C49" w:rsidRDefault="00393AB2" w:rsidP="000C08B8">
      <w:pPr>
        <w:pStyle w:val="REDBoldonly"/>
      </w:pPr>
      <w:r w:rsidRPr="00C22C49">
        <w:t xml:space="preserve">Основними проблемами системи </w:t>
      </w:r>
      <w:r w:rsidR="0084268C" w:rsidRPr="00C22C49">
        <w:t>управління</w:t>
      </w:r>
      <w:r w:rsidRPr="00C22C49">
        <w:t xml:space="preserve"> </w:t>
      </w:r>
      <w:r w:rsidR="0058773D" w:rsidRPr="00C22C49">
        <w:t>відходами</w:t>
      </w:r>
      <w:r w:rsidR="0058773D" w:rsidRPr="00C22C49">
        <w:rPr>
          <w:rStyle w:val="affe"/>
          <w:iCs w:val="0"/>
        </w:rPr>
        <w:t xml:space="preserve"> електричного та електронного обладнання</w:t>
      </w:r>
      <w:r w:rsidRPr="00C22C49">
        <w:t xml:space="preserve"> і її функціонування є:</w:t>
      </w:r>
    </w:p>
    <w:p w14:paraId="0896B8C0" w14:textId="77777777" w:rsidR="000A57CE" w:rsidRPr="00C22C49" w:rsidRDefault="000A57CE" w:rsidP="000A57CE">
      <w:pPr>
        <w:pStyle w:val="BulletRED"/>
      </w:pPr>
      <w:r w:rsidRPr="00C22C49">
        <w:t>Недостатня увага з боку держави, зокрема відсутність програмних та інших  нормативно-правових актів, спрямованих на вирішення проблеми ВЕЕО</w:t>
      </w:r>
      <w:r w:rsidR="00510980" w:rsidRPr="00C22C49">
        <w:t>.</w:t>
      </w:r>
    </w:p>
    <w:p w14:paraId="0896B8C1" w14:textId="77777777" w:rsidR="000A57CE" w:rsidRPr="00C22C49" w:rsidRDefault="00AA3BF6" w:rsidP="000A57CE">
      <w:pPr>
        <w:pStyle w:val="BulletRED"/>
      </w:pPr>
      <w:r w:rsidRPr="00C22C49">
        <w:t>Н</w:t>
      </w:r>
      <w:r w:rsidR="000A57CE" w:rsidRPr="00C22C49">
        <w:t xml:space="preserve">ормативно-правова база з питань </w:t>
      </w:r>
      <w:r w:rsidR="0084268C" w:rsidRPr="00C22C49">
        <w:t>збирання</w:t>
      </w:r>
      <w:r w:rsidR="000A57CE" w:rsidRPr="00C22C49">
        <w:t>, зберігання, транспортування, рециклінгу</w:t>
      </w:r>
      <w:r w:rsidRPr="00C22C49">
        <w:t>, відновлення</w:t>
      </w:r>
      <w:r w:rsidR="00AA7749" w:rsidRPr="00C22C49">
        <w:t>,</w:t>
      </w:r>
      <w:r w:rsidR="000A57CE" w:rsidRPr="00C22C49">
        <w:t xml:space="preserve"> видалення</w:t>
      </w:r>
      <w:r w:rsidR="00AA7749" w:rsidRPr="00C22C49">
        <w:t xml:space="preserve"> та</w:t>
      </w:r>
      <w:r w:rsidR="000A57CE" w:rsidRPr="00C22C49">
        <w:t xml:space="preserve"> розширеної відповідальності виробників та експортерів, а також організації обліку та звітності </w:t>
      </w:r>
      <w:r w:rsidR="00AA7749" w:rsidRPr="00C22C49">
        <w:t xml:space="preserve">ВЕЕО </w:t>
      </w:r>
      <w:r w:rsidR="006150E4" w:rsidRPr="00C22C49">
        <w:t xml:space="preserve">частково відсутня та </w:t>
      </w:r>
      <w:r w:rsidRPr="00C22C49">
        <w:t>не відповідає стандартам ЄС.</w:t>
      </w:r>
    </w:p>
    <w:p w14:paraId="0896B8C2" w14:textId="77777777" w:rsidR="002C6568" w:rsidRPr="00C22C49" w:rsidRDefault="002C6568" w:rsidP="000A57CE">
      <w:pPr>
        <w:pStyle w:val="BulletRED"/>
      </w:pPr>
      <w:r w:rsidRPr="00C22C49">
        <w:t>Відсутні цільові показники на збирання та оброблення В</w:t>
      </w:r>
      <w:r w:rsidR="00D56E18" w:rsidRPr="00C22C49">
        <w:t>ЕЕО.</w:t>
      </w:r>
    </w:p>
    <w:p w14:paraId="0896B8C3" w14:textId="77777777" w:rsidR="000A57CE" w:rsidRPr="00C22C49" w:rsidRDefault="000A57CE" w:rsidP="000A57CE">
      <w:pPr>
        <w:pStyle w:val="BulletRED"/>
      </w:pPr>
      <w:r w:rsidRPr="00C22C49">
        <w:t xml:space="preserve">Відсутня система управління відходами ВЕЕО на державному рівні.  </w:t>
      </w:r>
    </w:p>
    <w:p w14:paraId="0896B8C4" w14:textId="77777777" w:rsidR="000A57CE" w:rsidRPr="00C22C49" w:rsidRDefault="000A57CE" w:rsidP="000A57CE">
      <w:pPr>
        <w:pStyle w:val="BulletRED"/>
      </w:pPr>
      <w:r w:rsidRPr="00C22C49">
        <w:t>Інвестиційна привабливість сфери управління ВЕЕО є низькою внаслідок відсутності необхідної законодавчої бази і визначених сфер діяльності та відповідальності для всіх учасників ринку.</w:t>
      </w:r>
    </w:p>
    <w:p w14:paraId="0896B8C5" w14:textId="77777777" w:rsidR="000A57CE" w:rsidRPr="00C22C49" w:rsidRDefault="000A57CE" w:rsidP="000A57CE">
      <w:pPr>
        <w:pStyle w:val="BulletRED"/>
      </w:pPr>
      <w:r w:rsidRPr="00C22C49">
        <w:t>Низький рівень обізнаності населення щодо негативного впливу та правильного видалення ВЕЕО в  домогосподарствах</w:t>
      </w:r>
      <w:r w:rsidR="00380700" w:rsidRPr="00C22C49">
        <w:t>.</w:t>
      </w:r>
    </w:p>
    <w:p w14:paraId="0896B8C6" w14:textId="77777777" w:rsidR="00393AB2" w:rsidRPr="00C22C49" w:rsidRDefault="000A57CE" w:rsidP="000A57CE">
      <w:pPr>
        <w:pStyle w:val="BulletRED"/>
      </w:pPr>
      <w:r w:rsidRPr="00C22C49">
        <w:t>Відсутність належного контролю господарської діяльності та можливості притягнення до відповідальності за несанкціоноване видалення ВЕЕО призводить до появи компаній – «псевдоутилізаторів» ВЕЕО із усіма вихідними наслідками.</w:t>
      </w:r>
    </w:p>
    <w:p w14:paraId="0896B8C7" w14:textId="77777777" w:rsidR="000A57CE" w:rsidRPr="00C22C49" w:rsidRDefault="000A57CE" w:rsidP="000A57CE">
      <w:pPr>
        <w:pStyle w:val="BulletRED"/>
      </w:pPr>
      <w:r w:rsidRPr="00C22C49">
        <w:t>Видалення часто здійснюється «підручними засобами». Відсутні підприємства, які б займалися професійною діяльністю по видаленню  ВЕЕО.</w:t>
      </w:r>
    </w:p>
    <w:p w14:paraId="0896B8C8" w14:textId="77777777" w:rsidR="000A57CE" w:rsidRPr="00C22C49" w:rsidRDefault="000A57CE" w:rsidP="000A57CE">
      <w:pPr>
        <w:pStyle w:val="BulletRED"/>
      </w:pPr>
      <w:r w:rsidRPr="00C22C49">
        <w:t>Вилучення корисних компонентів відбувається в умовах, що не відповідають екологічним нормам</w:t>
      </w:r>
    </w:p>
    <w:p w14:paraId="0896B8C9" w14:textId="77777777" w:rsidR="000A57CE" w:rsidRPr="00C22C49" w:rsidRDefault="000A57CE" w:rsidP="000A57CE">
      <w:pPr>
        <w:pStyle w:val="BulletRED"/>
      </w:pPr>
      <w:r w:rsidRPr="00C22C49">
        <w:t xml:space="preserve">Пункти прийому ВЕЕО в більшості працюють нелегально здебільшого для вилучення компонентів, які можна продати. Ринок продажу теж працює «в тіні». </w:t>
      </w:r>
    </w:p>
    <w:p w14:paraId="0896B8CA" w14:textId="77777777" w:rsidR="000A57CE" w:rsidRPr="00C22C49" w:rsidRDefault="000A57CE" w:rsidP="000A57CE">
      <w:pPr>
        <w:pStyle w:val="BulletRED"/>
      </w:pPr>
      <w:r w:rsidRPr="00C22C49">
        <w:t>ВЕЕО містять</w:t>
      </w:r>
      <w:r w:rsidR="00F00D6F" w:rsidRPr="00C22C49">
        <w:t xml:space="preserve"> значну частку матеріалів, які відносяться до критичної сировини</w:t>
      </w:r>
      <w:r w:rsidRPr="00C22C49">
        <w:t xml:space="preserve">, </w:t>
      </w:r>
      <w:r w:rsidR="00F42D91" w:rsidRPr="00C22C49">
        <w:t xml:space="preserve">які втрачаються через </w:t>
      </w:r>
      <w:r w:rsidR="00A543D5" w:rsidRPr="00C22C49">
        <w:t>неналагоджене управління цим потоком відходів.</w:t>
      </w:r>
    </w:p>
    <w:p w14:paraId="0896B8CB" w14:textId="77777777" w:rsidR="000A57CE" w:rsidRPr="00C22C49" w:rsidRDefault="000A57CE" w:rsidP="000A57CE">
      <w:pPr>
        <w:pStyle w:val="BulletRED"/>
      </w:pPr>
      <w:r w:rsidRPr="00C22C49">
        <w:t>ВЕЕО містять небезпечні для навколишнього середовища та здоров’я людей речовини: ртуть, миш'як, кадмій, хлорид фосфору, броміди, діоксини, азбест. Сполучення цих хімічних речовин збільшує їх небезпечний вплив порівняно з впливом від окремими речовин.</w:t>
      </w:r>
      <w:r w:rsidR="00962501" w:rsidRPr="00C22C49">
        <w:t xml:space="preserve"> Вивільнення їх у навколишнє середовище відбувається при</w:t>
      </w:r>
      <w:r w:rsidR="000A7CC2" w:rsidRPr="00C22C49">
        <w:t xml:space="preserve"> неналежному обробленні ВЕЕО. </w:t>
      </w:r>
    </w:p>
    <w:p w14:paraId="0896B8CC" w14:textId="77777777" w:rsidR="005E4C42" w:rsidRPr="00C22C49" w:rsidRDefault="0058773D" w:rsidP="00266E1E">
      <w:pPr>
        <w:pStyle w:val="REDBoldonly"/>
        <w:ind w:left="567"/>
        <w:rPr>
          <w:rStyle w:val="affe"/>
          <w:iCs w:val="0"/>
        </w:rPr>
      </w:pPr>
      <w:r w:rsidRPr="00C22C49">
        <w:rPr>
          <w:rStyle w:val="affe"/>
          <w:iCs w:val="0"/>
        </w:rPr>
        <w:t xml:space="preserve">1.4.7.4. </w:t>
      </w:r>
      <w:r w:rsidR="005E4C42" w:rsidRPr="00C22C49">
        <w:rPr>
          <w:rStyle w:val="affe"/>
          <w:iCs w:val="0"/>
        </w:rPr>
        <w:t>Відходи транспортних засобів, знятих з експлуатації</w:t>
      </w:r>
    </w:p>
    <w:p w14:paraId="0896B8CD" w14:textId="77777777" w:rsidR="00925A7A" w:rsidRPr="00C22C49" w:rsidRDefault="00925A7A" w:rsidP="00925A7A">
      <w:r w:rsidRPr="00C22C49">
        <w:t xml:space="preserve">Світова індустрія </w:t>
      </w:r>
      <w:r w:rsidR="005B6305" w:rsidRPr="00C22C49">
        <w:t xml:space="preserve">переробки </w:t>
      </w:r>
      <w:r w:rsidR="00525759" w:rsidRPr="00C22C49">
        <w:t xml:space="preserve">знятих з експлуатації, транспортних засобів, </w:t>
      </w:r>
      <w:r w:rsidRPr="00C22C49">
        <w:t>забезпечує зайнятість понад 1 млн. чоловік. Загальна річна вартість продукції, яка отримується у світі  за рахунок утилізації автомобілів складає понад 175 млрд. доларів США. В усіх розвинених країнах</w:t>
      </w:r>
      <w:r w:rsidR="00001274" w:rsidRPr="00C22C49">
        <w:t xml:space="preserve"> передача транспортних засобів, знятих з експлуатації</w:t>
      </w:r>
      <w:r w:rsidR="00D21D75" w:rsidRPr="00C22C49">
        <w:t xml:space="preserve"> </w:t>
      </w:r>
      <w:r w:rsidR="00001274" w:rsidRPr="00C22C49">
        <w:t xml:space="preserve">для відновлення відходів </w:t>
      </w:r>
      <w:r w:rsidRPr="00C22C49">
        <w:t xml:space="preserve"> є обов'язковою для їх власників, а технологі</w:t>
      </w:r>
      <w:r w:rsidR="008766D2" w:rsidRPr="00C22C49">
        <w:t>ї та методи</w:t>
      </w:r>
      <w:r w:rsidRPr="00C22C49">
        <w:t xml:space="preserve"> </w:t>
      </w:r>
      <w:r w:rsidR="002667C0" w:rsidRPr="00C22C49">
        <w:t xml:space="preserve">цих операцій </w:t>
      </w:r>
      <w:r w:rsidRPr="00C22C49">
        <w:t xml:space="preserve">детально </w:t>
      </w:r>
      <w:r w:rsidR="002667C0" w:rsidRPr="00C22C49">
        <w:t xml:space="preserve"> дослідженні та </w:t>
      </w:r>
      <w:r w:rsidR="008766D2" w:rsidRPr="00C22C49">
        <w:t>відпрацьовані.</w:t>
      </w:r>
    </w:p>
    <w:p w14:paraId="0896B8CE" w14:textId="77777777" w:rsidR="00925A7A" w:rsidRPr="00C22C49" w:rsidRDefault="00925A7A" w:rsidP="00925A7A">
      <w:r w:rsidRPr="00C22C49">
        <w:t xml:space="preserve">На </w:t>
      </w:r>
      <w:r w:rsidR="0058773D" w:rsidRPr="00C22C49">
        <w:t>виготовлення</w:t>
      </w:r>
      <w:r w:rsidRPr="00C22C49">
        <w:t>автомобіля в середньому витрачається не менше 50 різних видів матеріалів і не менше 10 тис. окремих деталей. Залежно від конструкції автомобіля і технології його виготовлення він складається на 60-80 % із сплавів заліза, решта – кольорові метали, скло, пластмаси, які також потребують утилізації.</w:t>
      </w:r>
      <w:r w:rsidR="00C32300" w:rsidRPr="00C22C49">
        <w:t xml:space="preserve"> </w:t>
      </w:r>
      <w:r w:rsidRPr="00C22C49">
        <w:t>Так, наприклад, середній автомобіль важить близько 1185 кг і складається з наступних компонентів: 540 кг листової сталі, 130 кг чавуну, 75 кг стальних поковок, 80 кг легких сплавів, 120 кг пластиків, 90 кг гуми, 50 кг скла, 35 кг фарби і 65 кг інших матеріалів.</w:t>
      </w:r>
    </w:p>
    <w:p w14:paraId="0896B8CF" w14:textId="77777777" w:rsidR="00925A7A" w:rsidRPr="00C22C49" w:rsidRDefault="00925A7A" w:rsidP="00925A7A">
      <w:r w:rsidRPr="00C22C49">
        <w:t xml:space="preserve">У зв’язку з </w:t>
      </w:r>
      <w:r w:rsidR="00617443" w:rsidRPr="00C22C49">
        <w:t xml:space="preserve">завершенням терміну експлуатації </w:t>
      </w:r>
      <w:r w:rsidRPr="00C22C49">
        <w:t xml:space="preserve">у 2020 році </w:t>
      </w:r>
      <w:r w:rsidR="00AE5FB3" w:rsidRPr="00C22C49">
        <w:t xml:space="preserve">в Україні </w:t>
      </w:r>
      <w:r w:rsidRPr="00C22C49">
        <w:t>було знято з реєстрації 13 193 транспортних засобів, із січня по вересень 2021 року — 12 978. Із них лише 52% належали фізичним особам, в решті випадків автомобілі вибраковували юридичні особи (фірми). Легкові авто при цьому займають 56% від загальної кількості, ще 29% — вантажні транспортні засоби.</w:t>
      </w:r>
    </w:p>
    <w:p w14:paraId="0896B8D0" w14:textId="77777777" w:rsidR="00925A7A" w:rsidRPr="00C22C49" w:rsidRDefault="00925A7A" w:rsidP="00925A7A">
      <w:r w:rsidRPr="00C22C49">
        <w:t>Поруч із цим, за даними Держстату, протягом 2020 року було утилізовано лише 17 тонн транспортних засобів. Враховуючи, що середня власна маса вибракуваних у 2020 році ТЗ становить 2,7 тонн, офіційно утилізованих машин</w:t>
      </w:r>
      <w:r w:rsidR="006B3E9E" w:rsidRPr="00C22C49">
        <w:t xml:space="preserve"> було 6 штук</w:t>
      </w:r>
      <w:r w:rsidRPr="00C22C49">
        <w:t xml:space="preserve">. </w:t>
      </w:r>
      <w:r w:rsidR="002C3F0E" w:rsidRPr="00C22C49">
        <w:t xml:space="preserve">Поводження із ще </w:t>
      </w:r>
      <w:r w:rsidRPr="00C22C49">
        <w:t>13 187 автомобілів</w:t>
      </w:r>
      <w:r w:rsidR="002C3F0E" w:rsidRPr="00C22C49">
        <w:t xml:space="preserve"> невідоме</w:t>
      </w:r>
      <w:r w:rsidRPr="00C22C49">
        <w:t>.</w:t>
      </w:r>
    </w:p>
    <w:p w14:paraId="0896B8D1" w14:textId="77777777" w:rsidR="00925A7A" w:rsidRPr="00C22C49" w:rsidRDefault="002C3F0E" w:rsidP="00925A7A">
      <w:r w:rsidRPr="00C22C49">
        <w:t>У</w:t>
      </w:r>
      <w:r w:rsidR="00925A7A" w:rsidRPr="00C22C49">
        <w:t xml:space="preserve"> 2013-2014 роках</w:t>
      </w:r>
      <w:r w:rsidRPr="00C22C49">
        <w:t xml:space="preserve"> </w:t>
      </w:r>
      <w:r w:rsidR="00925A7A" w:rsidRPr="00C22C49">
        <w:t xml:space="preserve">в Україні діяв утилізаційний збір. Його розмір залежав від віку автомобіля та міг становити навіть кілька тисяч доларів за чинним у той період курсом валют. </w:t>
      </w:r>
      <w:r w:rsidRPr="00C22C49">
        <w:t>П</w:t>
      </w:r>
      <w:r w:rsidR="00925A7A" w:rsidRPr="00C22C49">
        <w:t xml:space="preserve">латити його потрібно було відразу, під час купівлі авто, а не в момент утилізації. В результаті імпорт та продажі на ринку суттєво знизилися, </w:t>
      </w:r>
      <w:r w:rsidRPr="00C22C49">
        <w:t xml:space="preserve">після чого </w:t>
      </w:r>
      <w:r w:rsidR="00925A7A" w:rsidRPr="00C22C49">
        <w:t>утилізаційний збір скасували, а жодне авто за зібрані кошти так і не було утилізоване.</w:t>
      </w:r>
    </w:p>
    <w:p w14:paraId="0896B8D2" w14:textId="77777777" w:rsidR="00FC67BA" w:rsidRPr="00C22C49" w:rsidRDefault="00FC67BA" w:rsidP="00E94EA6">
      <w:pPr>
        <w:pStyle w:val="REDBoldonly"/>
      </w:pPr>
      <w:r w:rsidRPr="00C22C49">
        <w:t>Основними проблемами системи поводження з відходами</w:t>
      </w:r>
      <w:r w:rsidR="00FD7A90" w:rsidRPr="00C22C49">
        <w:rPr>
          <w:rStyle w:val="affe"/>
          <w:iCs w:val="0"/>
        </w:rPr>
        <w:t xml:space="preserve"> </w:t>
      </w:r>
      <w:r w:rsidR="0058773D" w:rsidRPr="00C22C49">
        <w:rPr>
          <w:rStyle w:val="affe"/>
          <w:iCs w:val="0"/>
        </w:rPr>
        <w:t>транспортних засобів, знятих з експлуатації</w:t>
      </w:r>
      <w:r w:rsidRPr="00C22C49">
        <w:t xml:space="preserve"> і її функціонування є: </w:t>
      </w:r>
    </w:p>
    <w:p w14:paraId="0896B8D3" w14:textId="77777777" w:rsidR="00925A7A" w:rsidRPr="00C22C49" w:rsidRDefault="00FC67BA" w:rsidP="000A57CE">
      <w:pPr>
        <w:pStyle w:val="BulletRED"/>
      </w:pPr>
      <w:r w:rsidRPr="00C22C49">
        <w:t>Зарегульованість а</w:t>
      </w:r>
      <w:r w:rsidR="00925A7A" w:rsidRPr="00C22C49">
        <w:t>втомобільн</w:t>
      </w:r>
      <w:r w:rsidRPr="00C22C49">
        <w:t>ого</w:t>
      </w:r>
      <w:r w:rsidR="00925A7A" w:rsidRPr="00C22C49">
        <w:t xml:space="preserve"> рин</w:t>
      </w:r>
      <w:r w:rsidRPr="00C22C49">
        <w:t>ку</w:t>
      </w:r>
      <w:r w:rsidR="00925A7A" w:rsidRPr="00C22C49">
        <w:t xml:space="preserve"> України, </w:t>
      </w:r>
      <w:r w:rsidRPr="00C22C49">
        <w:t xml:space="preserve">велике </w:t>
      </w:r>
      <w:r w:rsidR="00925A7A" w:rsidRPr="00C22C49">
        <w:t>податкове навантаження на власників автомобілів достатньо</w:t>
      </w:r>
      <w:r w:rsidRPr="00C22C49">
        <w:t xml:space="preserve"> </w:t>
      </w:r>
      <w:r w:rsidR="00CE097A" w:rsidRPr="00C22C49">
        <w:t>(</w:t>
      </w:r>
      <w:r w:rsidR="00925A7A" w:rsidRPr="00C22C49">
        <w:t>може сягати більше 100% вартості авто при ввезенні з-за кордону</w:t>
      </w:r>
      <w:r w:rsidR="00CE097A" w:rsidRPr="00C22C49">
        <w:t>)</w:t>
      </w:r>
      <w:r w:rsidR="00925A7A" w:rsidRPr="00C22C49">
        <w:t>. Тому запровадження додаткових податків буде лише погіршувати ситуацію, спонукати ухилятися від їх сплати та ще більше зістарювати автомобільний ринок.</w:t>
      </w:r>
    </w:p>
    <w:p w14:paraId="0896B8D4" w14:textId="77777777" w:rsidR="003A4F21" w:rsidRPr="00C22C49" w:rsidRDefault="0058773D" w:rsidP="000A57CE">
      <w:pPr>
        <w:pStyle w:val="BulletRED"/>
      </w:pPr>
      <w:r w:rsidRPr="00C22C49">
        <w:t>Відсутність</w:t>
      </w:r>
      <w:r w:rsidR="008B317C" w:rsidRPr="00C22C49">
        <w:t xml:space="preserve"> </w:t>
      </w:r>
      <w:r w:rsidRPr="00C22C49">
        <w:t>законодавств</w:t>
      </w:r>
      <w:r w:rsidR="00263C49" w:rsidRPr="00C22C49">
        <w:t>а</w:t>
      </w:r>
      <w:r w:rsidRPr="00C22C49">
        <w:t>, гармонізованого із законодавством ЄС та найкращими практиками.</w:t>
      </w:r>
    </w:p>
    <w:p w14:paraId="0896B8D5" w14:textId="77777777" w:rsidR="00B27AB1" w:rsidRPr="00C22C49" w:rsidRDefault="00B27AB1" w:rsidP="00B27AB1">
      <w:pPr>
        <w:pStyle w:val="BulletRED"/>
      </w:pPr>
      <w:r w:rsidRPr="00C22C49">
        <w:t xml:space="preserve">Положення чинного закону «Про утилізацію транспортних засобів" повністю не реалізовані через відсутність </w:t>
      </w:r>
      <w:r w:rsidR="00E45C8D" w:rsidRPr="00C22C49">
        <w:t xml:space="preserve">економічних інструментів стимулювання утилізації </w:t>
      </w:r>
      <w:r w:rsidR="00D0767B" w:rsidRPr="00C22C49">
        <w:t>транспортних засобів</w:t>
      </w:r>
      <w:r w:rsidRPr="00C22C49">
        <w:t xml:space="preserve">. </w:t>
      </w:r>
    </w:p>
    <w:p w14:paraId="0896B8D6" w14:textId="77777777" w:rsidR="002C6568" w:rsidRPr="00C22C49" w:rsidRDefault="002C6568" w:rsidP="002C6568">
      <w:pPr>
        <w:pStyle w:val="BulletRED"/>
      </w:pPr>
      <w:r w:rsidRPr="00C22C49">
        <w:t>Відсутні цільові показники на збирання та оброблення відходів транспортних засобів, знятих з експлуатації.</w:t>
      </w:r>
    </w:p>
    <w:p w14:paraId="0896B8D7" w14:textId="77777777" w:rsidR="00925A7A" w:rsidRPr="00C22C49" w:rsidRDefault="00682782" w:rsidP="000A57CE">
      <w:pPr>
        <w:pStyle w:val="BulletRED"/>
      </w:pPr>
      <w:r w:rsidRPr="00C22C49">
        <w:t xml:space="preserve">Не урегульованість питання управління </w:t>
      </w:r>
      <w:r w:rsidR="003E2354" w:rsidRPr="00C22C49">
        <w:t>велико</w:t>
      </w:r>
      <w:r w:rsidRPr="00C22C49">
        <w:t>ю</w:t>
      </w:r>
      <w:r w:rsidR="003E2354" w:rsidRPr="00C22C49">
        <w:t xml:space="preserve"> кількост</w:t>
      </w:r>
      <w:r w:rsidRPr="00C22C49">
        <w:t>ю</w:t>
      </w:r>
      <w:r w:rsidR="003E2354" w:rsidRPr="00C22C49">
        <w:t xml:space="preserve"> </w:t>
      </w:r>
      <w:r w:rsidR="00925A7A" w:rsidRPr="00C22C49">
        <w:t>покинут</w:t>
      </w:r>
      <w:r w:rsidR="003E2354" w:rsidRPr="00C22C49">
        <w:t>их</w:t>
      </w:r>
      <w:r w:rsidR="00925A7A" w:rsidRPr="00C22C49">
        <w:t xml:space="preserve"> автомобіл</w:t>
      </w:r>
      <w:r w:rsidR="003E2354" w:rsidRPr="00C22C49">
        <w:t xml:space="preserve">ів </w:t>
      </w:r>
      <w:r w:rsidR="00925A7A" w:rsidRPr="00C22C49">
        <w:t xml:space="preserve">у дворах великих міст. </w:t>
      </w:r>
    </w:p>
    <w:p w14:paraId="0896B8D8" w14:textId="77777777" w:rsidR="00925A7A" w:rsidRPr="00C22C49" w:rsidRDefault="003E2354" w:rsidP="000A57CE">
      <w:pPr>
        <w:pStyle w:val="BulletRED"/>
      </w:pPr>
      <w:r w:rsidRPr="00C22C49">
        <w:t>Н</w:t>
      </w:r>
      <w:r w:rsidR="00925A7A" w:rsidRPr="00C22C49">
        <w:t>еналежний технічний стан автомобілів</w:t>
      </w:r>
      <w:r w:rsidRPr="00C22C49">
        <w:t xml:space="preserve"> та </w:t>
      </w:r>
      <w:r w:rsidR="00BD1AC5" w:rsidRPr="00C22C49">
        <w:t>перевищення терміну експлуатації.</w:t>
      </w:r>
    </w:p>
    <w:p w14:paraId="0896B8D9" w14:textId="77777777" w:rsidR="00BD1AC5" w:rsidRPr="00C22C49" w:rsidRDefault="00BD1AC5" w:rsidP="000A57CE">
      <w:pPr>
        <w:pStyle w:val="BulletRED"/>
      </w:pPr>
      <w:r w:rsidRPr="00C22C49">
        <w:t xml:space="preserve">В Україні відсутні податки чи інші додаткові платежі на старі автомобілі, відсутні також і стимули — податкові знижки чи компенсації для купівлі новіших авто. </w:t>
      </w:r>
    </w:p>
    <w:p w14:paraId="0896B8DA" w14:textId="77777777" w:rsidR="00BD1AC5" w:rsidRPr="00C22C49" w:rsidRDefault="00BD1AC5" w:rsidP="000A57CE">
      <w:pPr>
        <w:pStyle w:val="BulletRED"/>
      </w:pPr>
      <w:r w:rsidRPr="00C22C49">
        <w:t xml:space="preserve">Низька купівельна спроможність українців, тому в Україні автомобілі продають та купують рівно до того моменту, поки він фізично може виконувати функції переміщення з точки А в точку Б. </w:t>
      </w:r>
      <w:r w:rsidR="00C803BC" w:rsidRPr="00C22C49">
        <w:t>(старіння парку авто).</w:t>
      </w:r>
    </w:p>
    <w:p w14:paraId="0896B8DB" w14:textId="77777777" w:rsidR="004D5816" w:rsidRPr="00C22C49" w:rsidRDefault="004D5816" w:rsidP="000A57CE">
      <w:pPr>
        <w:pStyle w:val="BulletRED"/>
      </w:pPr>
      <w:r w:rsidRPr="00C22C49">
        <w:t xml:space="preserve">Відсутність регіональних та місцевих центрів для </w:t>
      </w:r>
      <w:r w:rsidR="00387634" w:rsidRPr="00C22C49">
        <w:t>здачі</w:t>
      </w:r>
      <w:r w:rsidRPr="00C22C49">
        <w:t xml:space="preserve"> населенням та організаціями і установами знятих з обліку транспортних засобів</w:t>
      </w:r>
      <w:r w:rsidR="00387634" w:rsidRPr="00C22C49">
        <w:t>.</w:t>
      </w:r>
    </w:p>
    <w:p w14:paraId="0896B8DC" w14:textId="77777777" w:rsidR="00387634" w:rsidRPr="00C22C49" w:rsidRDefault="00387634" w:rsidP="000A57CE">
      <w:pPr>
        <w:pStyle w:val="BulletRED"/>
      </w:pPr>
      <w:r w:rsidRPr="00C22C49">
        <w:t>Недостатня матеріально-технічна база існуючих об'єктів видалення знятих з обліку транспортних засобів.</w:t>
      </w:r>
    </w:p>
    <w:p w14:paraId="0896B8DD" w14:textId="77777777" w:rsidR="00EB4794" w:rsidRPr="00C22C49" w:rsidRDefault="00EB4794" w:rsidP="000A57CE">
      <w:pPr>
        <w:pStyle w:val="BulletRED"/>
      </w:pPr>
      <w:r w:rsidRPr="00C22C49">
        <w:t>Відсутність інфраструктури для видалення електромобілів та іншої техніки на електротязі.</w:t>
      </w:r>
    </w:p>
    <w:p w14:paraId="0896B8DE" w14:textId="77777777" w:rsidR="00BD1AC5" w:rsidRPr="00C22C49" w:rsidRDefault="00E13431" w:rsidP="000A57CE">
      <w:pPr>
        <w:pStyle w:val="BulletRED"/>
      </w:pPr>
      <w:r w:rsidRPr="00C22C49">
        <w:t xml:space="preserve">Не встановленні економічні інструменти. </w:t>
      </w:r>
      <w:r w:rsidR="00C803BC" w:rsidRPr="00C22C49">
        <w:t>Сьогодні у</w:t>
      </w:r>
      <w:r w:rsidR="00A65609" w:rsidRPr="00C22C49">
        <w:t>тилізація транспортних засобів — безкоштовна процедура, коли жодна зі сторін не зобов’язана щось платити. У той же час, на так званих «металобазах» за кілограм «чорного» металу можна виручити в середньому 6 гривень</w:t>
      </w:r>
      <w:r w:rsidR="00C803BC" w:rsidRPr="00C22C49">
        <w:t xml:space="preserve">, що не стимулює </w:t>
      </w:r>
      <w:r w:rsidR="00A65609" w:rsidRPr="00C22C49">
        <w:t>офіційно утилізувати авто.</w:t>
      </w:r>
    </w:p>
    <w:p w14:paraId="0896B8DF" w14:textId="77777777" w:rsidR="00925A7A" w:rsidRPr="00C22C49" w:rsidRDefault="00C803BC" w:rsidP="00925A7A">
      <w:r w:rsidRPr="00C22C49">
        <w:t>П</w:t>
      </w:r>
      <w:r w:rsidR="00925A7A" w:rsidRPr="00C22C49">
        <w:t>отрібно впровадити дієву систему контролю за пунктами утилізації транспортних засобів та їх частин. Щоб «випадково» утилізовані на папері автомобілі не опинилися на тих же «металобазах». А також — електронний реєстр утилізованого транспорту та відповідальність за неналежне поводження з такими автомобілями.</w:t>
      </w:r>
    </w:p>
    <w:p w14:paraId="0896B8E0" w14:textId="77777777" w:rsidR="00925A7A" w:rsidRPr="00C22C49" w:rsidRDefault="00925A7A" w:rsidP="00FD1A3A"/>
    <w:p w14:paraId="0896B8E1" w14:textId="77777777" w:rsidR="005E4C42" w:rsidRPr="00C22C49" w:rsidRDefault="0058773D" w:rsidP="004761A2">
      <w:pPr>
        <w:pStyle w:val="REDBoldonly"/>
        <w:ind w:left="708"/>
        <w:rPr>
          <w:rStyle w:val="affe"/>
          <w:iCs w:val="0"/>
        </w:rPr>
      </w:pPr>
      <w:r w:rsidRPr="00C22C49">
        <w:rPr>
          <w:rStyle w:val="affe"/>
          <w:iCs w:val="0"/>
        </w:rPr>
        <w:t xml:space="preserve">1.4.7.5 </w:t>
      </w:r>
      <w:r w:rsidR="005E4C42" w:rsidRPr="00C22C49">
        <w:rPr>
          <w:rStyle w:val="affe"/>
          <w:iCs w:val="0"/>
        </w:rPr>
        <w:t>Відходи мастил (олив)</w:t>
      </w:r>
    </w:p>
    <w:p w14:paraId="0896B8E2" w14:textId="77777777" w:rsidR="00810583" w:rsidRPr="00C22C49" w:rsidRDefault="00810583" w:rsidP="00810583">
      <w:r w:rsidRPr="00C22C49">
        <w:t xml:space="preserve">До категорії </w:t>
      </w:r>
      <w:r w:rsidR="00731526" w:rsidRPr="00C22C49">
        <w:t>відходів мастил (</w:t>
      </w:r>
      <w:r w:rsidRPr="00C22C49">
        <w:t>олив</w:t>
      </w:r>
      <w:r w:rsidR="00731526" w:rsidRPr="00C22C49">
        <w:t>)</w:t>
      </w:r>
      <w:r w:rsidRPr="00C22C49">
        <w:t xml:space="preserve"> відносяться </w:t>
      </w:r>
      <w:r w:rsidR="00F01575" w:rsidRPr="00C22C49">
        <w:t xml:space="preserve">мастильні </w:t>
      </w:r>
      <w:r w:rsidR="00731526" w:rsidRPr="00C22C49">
        <w:t>речовини</w:t>
      </w:r>
      <w:r w:rsidRPr="00C22C49">
        <w:t>, що використовуються для належної експлуатації пасажирських та інших комерційних транспортних засобів, які згідно розділу 13 02 Європейського переліку відходів відносяться до відпрацьованих моторних, трансмісійних та мастил - відпрацьовані моторні, трансмісійні та мастильні оливи.</w:t>
      </w:r>
    </w:p>
    <w:p w14:paraId="0896B8E3" w14:textId="77777777" w:rsidR="00810583" w:rsidRPr="00C22C49" w:rsidRDefault="00810583" w:rsidP="00810583">
      <w:r w:rsidRPr="00C22C49">
        <w:t xml:space="preserve">Наявні статистичні дані не відображають реального стану </w:t>
      </w:r>
      <w:r w:rsidR="00F01575" w:rsidRPr="00C22C49">
        <w:t xml:space="preserve">управління </w:t>
      </w:r>
      <w:r w:rsidRPr="00C22C49">
        <w:t xml:space="preserve">з </w:t>
      </w:r>
      <w:r w:rsidR="00F01575" w:rsidRPr="00C22C49">
        <w:t xml:space="preserve">відходами мастил </w:t>
      </w:r>
      <w:r w:rsidRPr="00C22C49">
        <w:t xml:space="preserve">в Україні. За нашими розрахунками сьогодні в країні споживається майже 1,0 млн т/рік свіжих олив, а в умовах відсутності нормативу збору офіційно збирається близько 450,0 тис т/рік відпрацьованих олив та мастил, тобто має реальний сировинний ресурс приблизно рівний 70% ресурсу Німеччини (660 тис т/рік). </w:t>
      </w:r>
    </w:p>
    <w:p w14:paraId="0896B8E4" w14:textId="77777777" w:rsidR="00810583" w:rsidRPr="00C22C49" w:rsidRDefault="00810583" w:rsidP="00810583">
      <w:r w:rsidRPr="00C22C49">
        <w:t xml:space="preserve">В економічно розвинених країнах регенерується до 90% </w:t>
      </w:r>
      <w:r w:rsidR="00F01575" w:rsidRPr="00C22C49">
        <w:t>відходів мастил (</w:t>
      </w:r>
      <w:r w:rsidRPr="00C22C49">
        <w:t>олив</w:t>
      </w:r>
      <w:r w:rsidR="00F01575" w:rsidRPr="00C22C49">
        <w:t>)</w:t>
      </w:r>
      <w:r w:rsidRPr="00C22C49">
        <w:t xml:space="preserve">, </w:t>
      </w:r>
      <w:r w:rsidR="00F01575" w:rsidRPr="00C22C49">
        <w:t xml:space="preserve">збирання </w:t>
      </w:r>
      <w:r w:rsidRPr="00C22C49">
        <w:t xml:space="preserve">яких забезпечується інфраструктурою, яка створена </w:t>
      </w:r>
      <w:r w:rsidR="00F01575" w:rsidRPr="00C22C49">
        <w:t xml:space="preserve">компаніями </w:t>
      </w:r>
      <w:r w:rsidRPr="00C22C49">
        <w:t>- виробниками, в Україні 90% обсягів скидається в навколишнє природне середовище або використовується некваліфіковано.</w:t>
      </w:r>
    </w:p>
    <w:p w14:paraId="0896B8E5" w14:textId="77777777" w:rsidR="00810583" w:rsidRPr="00C22C49" w:rsidRDefault="00810583" w:rsidP="00810583">
      <w:r w:rsidRPr="00C22C49">
        <w:t xml:space="preserve">Фахівці відзначають, що відновлені оливи за своєю якістю практично не поступаються новим, а ось їх вартість може виявитися нижче на 50-75%. З 100 тон </w:t>
      </w:r>
      <w:r w:rsidR="00334462" w:rsidRPr="00C22C49">
        <w:t xml:space="preserve">відпрацьованої </w:t>
      </w:r>
      <w:r w:rsidRPr="00C22C49">
        <w:t>сировини після переробки отримують до 80 тон нової оливи. Для фінансово успішного виробництва досить налагодити її повноцінну переробку.</w:t>
      </w:r>
    </w:p>
    <w:p w14:paraId="0896B8E6" w14:textId="77777777" w:rsidR="00810583" w:rsidRPr="00C22C49" w:rsidRDefault="00810583" w:rsidP="00810583">
      <w:r w:rsidRPr="00C22C49">
        <w:t>Перероблені після свого використання оливи та мастила перетворюються в необхідний і корисний матеріал: для виробництва палива і деяких видів технічних мастил; для змащення другорядних машинних вузлів; відмінний захист, який оберігає метали від корозії. Знешкодження відпрацьованих олив, які не підлягають утилізації, здійснюється термічним, хімічним і біологічним способами.</w:t>
      </w:r>
    </w:p>
    <w:p w14:paraId="0896B8E7" w14:textId="77777777" w:rsidR="00810583" w:rsidRPr="00C22C49" w:rsidRDefault="004847D4" w:rsidP="00623D6B">
      <w:pPr>
        <w:pStyle w:val="REDBoldonly"/>
      </w:pPr>
      <w:r w:rsidRPr="00C22C49">
        <w:t xml:space="preserve">Основними проблемами системи </w:t>
      </w:r>
      <w:r w:rsidR="00334462" w:rsidRPr="00C22C49">
        <w:t>управління</w:t>
      </w:r>
      <w:r w:rsidRPr="00C22C49">
        <w:t xml:space="preserve"> відходами </w:t>
      </w:r>
      <w:r w:rsidR="009B1E98" w:rsidRPr="00C22C49">
        <w:rPr>
          <w:rStyle w:val="affe"/>
          <w:iCs w:val="0"/>
        </w:rPr>
        <w:t>мастил (олив)</w:t>
      </w:r>
      <w:r w:rsidR="0058773D" w:rsidRPr="00C22C49">
        <w:rPr>
          <w:rStyle w:val="affe"/>
          <w:iCs w:val="0"/>
        </w:rPr>
        <w:t xml:space="preserve"> </w:t>
      </w:r>
      <w:r w:rsidRPr="00C22C49">
        <w:t>і її функціонування є:</w:t>
      </w:r>
    </w:p>
    <w:p w14:paraId="0896B8E8" w14:textId="77777777" w:rsidR="00551EFC" w:rsidRPr="00C22C49" w:rsidRDefault="0058773D" w:rsidP="00FD66DA">
      <w:pPr>
        <w:pStyle w:val="BulletRED"/>
      </w:pPr>
      <w:r w:rsidRPr="00C22C49">
        <w:t xml:space="preserve">Діюче законодавство щодо управління відходами мастил (олив) та встановленні ним цільові показники не виконуються через прогалини та недосконалість </w:t>
      </w:r>
      <w:r w:rsidR="008B317C" w:rsidRPr="00C22C49">
        <w:t>НП</w:t>
      </w:r>
      <w:r w:rsidR="008C72F8" w:rsidRPr="00C22C49">
        <w:t>А</w:t>
      </w:r>
      <w:r w:rsidRPr="00C22C49">
        <w:t xml:space="preserve"> та відсутність контролю.</w:t>
      </w:r>
    </w:p>
    <w:p w14:paraId="0896B8E9" w14:textId="77777777" w:rsidR="00551EFC" w:rsidRPr="00C22C49" w:rsidRDefault="00551EFC" w:rsidP="00551EFC">
      <w:pPr>
        <w:pStyle w:val="BulletRED"/>
      </w:pPr>
      <w:r w:rsidRPr="00C22C49">
        <w:t>Відсутність системи збирання відходів олив та мастил через низьку інвестиційну привабливість цієї сфери.</w:t>
      </w:r>
    </w:p>
    <w:p w14:paraId="0896B8EA" w14:textId="77777777" w:rsidR="00551EFC" w:rsidRPr="00C22C49" w:rsidRDefault="00551EFC" w:rsidP="00551EFC">
      <w:pPr>
        <w:pStyle w:val="BulletRED"/>
      </w:pPr>
      <w:r w:rsidRPr="00C22C49">
        <w:t>Відсутні організаційно-економічні механізми забезпечення збирання та залучення відходів олив та мастил у господарський обіг тощо.</w:t>
      </w:r>
    </w:p>
    <w:p w14:paraId="0896B8EB" w14:textId="77777777" w:rsidR="000958B3" w:rsidRPr="00C22C49" w:rsidRDefault="000958B3" w:rsidP="00FD66DA">
      <w:pPr>
        <w:pStyle w:val="BulletRED"/>
      </w:pPr>
      <w:r w:rsidRPr="00C22C49">
        <w:t>Відсутність системи розширеної відповідальності виробників для відходів олив та мастил.</w:t>
      </w:r>
    </w:p>
    <w:p w14:paraId="0896B8EC" w14:textId="77777777" w:rsidR="00DD5198" w:rsidRPr="00C22C49" w:rsidRDefault="00DD5198" w:rsidP="00FD66DA">
      <w:pPr>
        <w:pStyle w:val="BulletRED"/>
      </w:pPr>
      <w:r w:rsidRPr="00C22C49">
        <w:t>Не релевантні дані про кількість утворених від</w:t>
      </w:r>
      <w:r w:rsidR="00D40219" w:rsidRPr="00C22C49">
        <w:t>ходів</w:t>
      </w:r>
      <w:r w:rsidRPr="00C22C49">
        <w:t xml:space="preserve"> олив та мастил та поводження з ними.</w:t>
      </w:r>
    </w:p>
    <w:p w14:paraId="0896B8ED" w14:textId="77777777" w:rsidR="008A45A4" w:rsidRPr="00C22C49" w:rsidRDefault="008A45A4" w:rsidP="00FD66DA">
      <w:pPr>
        <w:pStyle w:val="BulletRED"/>
      </w:pPr>
      <w:r w:rsidRPr="00C22C49">
        <w:t xml:space="preserve">Відсутність системи збирання </w:t>
      </w:r>
      <w:r w:rsidR="00982277" w:rsidRPr="00C22C49">
        <w:t xml:space="preserve">відходів мастил (олив) </w:t>
      </w:r>
      <w:r w:rsidRPr="00C22C49">
        <w:t>від населення (централізованих пунктів роздільного збирання небезпечних та інших відходів</w:t>
      </w:r>
      <w:r w:rsidR="00B336B0" w:rsidRPr="00C22C49">
        <w:t>)</w:t>
      </w:r>
      <w:r w:rsidRPr="00C22C49">
        <w:t>.</w:t>
      </w:r>
    </w:p>
    <w:p w14:paraId="0896B8EE" w14:textId="77777777" w:rsidR="00264AE0" w:rsidRPr="00C22C49" w:rsidRDefault="00264AE0" w:rsidP="00FD66DA">
      <w:pPr>
        <w:pStyle w:val="BulletRED"/>
      </w:pPr>
      <w:r w:rsidRPr="00C22C49">
        <w:t xml:space="preserve">Існуюча матеріально-технічна база існуючих підприємств з відновлення (рециклінгу) </w:t>
      </w:r>
      <w:r w:rsidR="00B336B0" w:rsidRPr="00C22C49">
        <w:t xml:space="preserve">відходів мастил (олив) </w:t>
      </w:r>
      <w:r w:rsidRPr="00C22C49">
        <w:t>не відповідає вимогам екологічної безпеки.</w:t>
      </w:r>
    </w:p>
    <w:p w14:paraId="0896B8EF" w14:textId="77777777" w:rsidR="00701A4B" w:rsidRPr="00C22C49" w:rsidRDefault="00701A4B" w:rsidP="00FD66DA">
      <w:pPr>
        <w:pStyle w:val="BulletRED"/>
      </w:pPr>
      <w:r w:rsidRPr="00C22C49">
        <w:t xml:space="preserve">Низький рівень обізнаності населення про правила </w:t>
      </w:r>
      <w:r w:rsidR="00BA4A19" w:rsidRPr="00C22C49">
        <w:t>управління відходами мастил (олив)</w:t>
      </w:r>
      <w:r w:rsidRPr="00C22C49">
        <w:t>, використання послуг спеціалізованих компаній.</w:t>
      </w:r>
    </w:p>
    <w:p w14:paraId="0896B8F0" w14:textId="77777777" w:rsidR="00FD66DA" w:rsidRPr="00C22C49" w:rsidRDefault="00FD66DA" w:rsidP="00FD66DA">
      <w:pPr>
        <w:pStyle w:val="BulletRED"/>
      </w:pPr>
      <w:r w:rsidRPr="00C22C49">
        <w:t xml:space="preserve">Через поширенні практики скидання відходів </w:t>
      </w:r>
      <w:r w:rsidR="00040D10" w:rsidRPr="00C22C49">
        <w:t xml:space="preserve">мастил (олив) </w:t>
      </w:r>
      <w:r w:rsidRPr="00C22C49">
        <w:t xml:space="preserve">в навколишнє середовище зазнає забруднення </w:t>
      </w:r>
      <w:r w:rsidR="00040D10" w:rsidRPr="00C22C49">
        <w:rPr>
          <w:rFonts w:cs="Times New Roman"/>
        </w:rPr>
        <w:t>ґ</w:t>
      </w:r>
      <w:r w:rsidRPr="00C22C49">
        <w:t xml:space="preserve">рунт та водойми. </w:t>
      </w:r>
      <w:r w:rsidR="008E584A" w:rsidRPr="00C22C49">
        <w:t>Нафтопродукти</w:t>
      </w:r>
      <w:r w:rsidRPr="00C22C49">
        <w:t xml:space="preserve"> являють собою небезпечний забруднювач, який довго розкладається і містить в своєму складі отруйні метали та сполуки, спричиняють евтрофікацію водойм, через високі адгезивні властивості затримуються у ґрунтах та чинять токсикологічний вплив на живих організмів.</w:t>
      </w:r>
    </w:p>
    <w:p w14:paraId="0896B8F1" w14:textId="77777777" w:rsidR="004847D4" w:rsidRPr="00C22C49" w:rsidRDefault="008E584A" w:rsidP="00FD1A3A">
      <w:r w:rsidRPr="00C22C49">
        <w:t>Н</w:t>
      </w:r>
      <w:r w:rsidR="00461A91" w:rsidRPr="00C22C49">
        <w:t>ормативно-правова база з питань</w:t>
      </w:r>
      <w:r w:rsidR="008C72F8" w:rsidRPr="00C22C49">
        <w:t xml:space="preserve"> </w:t>
      </w:r>
      <w:r w:rsidRPr="00C22C49">
        <w:t>збирання,</w:t>
      </w:r>
      <w:r w:rsidR="00461A91" w:rsidRPr="00C22C49">
        <w:t>, зберігання, транспортування, рециклінгу та видалення, розширеної відповідальності виробників та експортерів, а також організації обліку та звітності</w:t>
      </w:r>
      <w:r w:rsidRPr="00C22C49">
        <w:t xml:space="preserve"> відходів </w:t>
      </w:r>
      <w:r w:rsidR="00C33EA5" w:rsidRPr="00C22C49">
        <w:t>мастил (олив) частково відсутня не</w:t>
      </w:r>
      <w:r w:rsidRPr="00C22C49">
        <w:t xml:space="preserve"> відповід</w:t>
      </w:r>
      <w:r w:rsidR="00C33EA5" w:rsidRPr="00C22C49">
        <w:t>ає</w:t>
      </w:r>
      <w:r w:rsidRPr="00C22C49">
        <w:t xml:space="preserve"> стандарт</w:t>
      </w:r>
      <w:r w:rsidR="00C33EA5" w:rsidRPr="00C22C49">
        <w:t>ам</w:t>
      </w:r>
      <w:r w:rsidRPr="00C22C49">
        <w:t xml:space="preserve"> ЄС</w:t>
      </w:r>
      <w:r w:rsidR="00C33EA5" w:rsidRPr="00C22C49">
        <w:t>.</w:t>
      </w:r>
    </w:p>
    <w:p w14:paraId="0896B8F2" w14:textId="77777777" w:rsidR="005E4C42" w:rsidRPr="00C22C49" w:rsidRDefault="0058773D" w:rsidP="007B1A99">
      <w:pPr>
        <w:pStyle w:val="REDBoldonly"/>
        <w:ind w:left="708"/>
        <w:rPr>
          <w:rStyle w:val="affe"/>
          <w:iCs w:val="0"/>
        </w:rPr>
      </w:pPr>
      <w:r w:rsidRPr="00C22C49">
        <w:rPr>
          <w:rStyle w:val="affe"/>
          <w:iCs w:val="0"/>
        </w:rPr>
        <w:t xml:space="preserve">1.4.7.5 </w:t>
      </w:r>
      <w:r w:rsidR="005E4C42" w:rsidRPr="00C22C49">
        <w:rPr>
          <w:rStyle w:val="affe"/>
          <w:iCs w:val="0"/>
        </w:rPr>
        <w:t>Відходи шин</w:t>
      </w:r>
    </w:p>
    <w:p w14:paraId="0896B8F3" w14:textId="77777777" w:rsidR="004847D4" w:rsidRPr="00C22C49" w:rsidRDefault="00DC3AB5" w:rsidP="00FD1A3A">
      <w:r w:rsidRPr="00C22C49">
        <w:t>Відходи шин, утворюються в багатьох джерелах внаслідок їх широкого використання в різних галузях. Ось основні джерела утворення відходів шин: автомобільна галузь, авіаційна галузь, сільське господарство та будівництво, мото- та велоіндустрія, промислове використання( у виробничих процесах або як частина певного обладнання), роздрібні магазини та гаражі, домогосподарства.</w:t>
      </w:r>
    </w:p>
    <w:p w14:paraId="0896B8F4" w14:textId="77777777" w:rsidR="00DC3AB5" w:rsidRPr="00C22C49" w:rsidRDefault="0026326A" w:rsidP="00FD1A3A">
      <w:r w:rsidRPr="00C22C49">
        <w:t>Середньорічний обсяг вітчизняного ринку гумових пневматичних шин в Україні складає 1190,3 млн дол. США, у складі якого частка вітчизняного виробництва у вартісному вираженні дорівнює 348,18 млн дол. США, а в кількісному – 5 331 тис. гумових пневматичних шин на рік. Частка експорту в обсязі ринку становить 158,5 млн дол. США, імпорту – 1000 млн дол. США.</w:t>
      </w:r>
      <w:r w:rsidR="00062703" w:rsidRPr="00C22C49">
        <w:t xml:space="preserve"> В Україні щорічний обсяг автопокришок, що викидаються, становить більш 250 тис. т. </w:t>
      </w:r>
    </w:p>
    <w:p w14:paraId="0896B8F5" w14:textId="77777777" w:rsidR="00B17ED5" w:rsidRPr="00C22C49" w:rsidRDefault="004D65A6" w:rsidP="00FD1A3A">
      <w:r w:rsidRPr="00C22C49">
        <w:t xml:space="preserve">На спеціалізованих підприємствах переробляється до 14 тис. т, або не більше 8%, решта шин потрапляють на </w:t>
      </w:r>
      <w:r w:rsidR="00124D44" w:rsidRPr="00C22C49">
        <w:t xml:space="preserve">полігони та </w:t>
      </w:r>
      <w:r w:rsidRPr="00C22C49">
        <w:t>звалища</w:t>
      </w:r>
      <w:r w:rsidR="00E66093" w:rsidRPr="00C22C49">
        <w:t xml:space="preserve"> побутових відходів</w:t>
      </w:r>
      <w:r w:rsidRPr="00C22C49">
        <w:t>. Утилізацією покришок займається невелика кількість підприємств. При цьому завантаженість виробничих потужностей всіх підприємств-переробників шин не перевищує 50%. 3 економічної точки зору завод з переробки шин є невигідною інвестицією, тому що в Україні на даний час, у промисловості не впроваджуються сучасні технології, орієнтовані на маловідходне і безвідходне виробництво.</w:t>
      </w:r>
    </w:p>
    <w:p w14:paraId="0896B8F6" w14:textId="77777777" w:rsidR="00E66093" w:rsidRPr="00C22C49" w:rsidRDefault="00A43820" w:rsidP="00A43820">
      <w:r w:rsidRPr="00C22C49">
        <w:t>Збиранням, заготівлею, зношених шин, як вторинної сировини, займаються у більшості приватні підприємства, на підставі ліцензій, виданих Міндовкілля. Ці підприємства не забезпечують у повному обсязі потреби у збиранні ресурсоцінних відходів і вивезенні їх до переробних підприємств, тому що зношені шини здають у здебільшого лише підприємства, фізичні особи – підприємці, які отримали дозволи на розміщення відходів і ліміти на утворення та розміщення відходів, а також підприємства у яких шини знаходяться на бухгалтерському обліку.</w:t>
      </w:r>
      <w:r w:rsidR="00913176" w:rsidRPr="00C22C49">
        <w:t xml:space="preserve"> </w:t>
      </w:r>
      <w:r w:rsidRPr="00C22C49">
        <w:t>Крім того діють заготівельні пункти вторинної сировини, де встановлена закупочна ціна (символічна) за одну зношену автомобільну шину. При такій практиці відсутнє матеріальне заохочення для приватних осіб, які можуть здавати на перероблення зношені шини, і існуюча проблема збирання та перероблення зношених шин від фізичних осіб залишається невирішеною.</w:t>
      </w:r>
    </w:p>
    <w:p w14:paraId="0896B8F7" w14:textId="77777777" w:rsidR="004721C3" w:rsidRPr="00C22C49" w:rsidRDefault="004721C3" w:rsidP="00571547">
      <w:pPr>
        <w:pStyle w:val="REDBoldonly"/>
      </w:pPr>
      <w:r w:rsidRPr="00C22C49">
        <w:t xml:space="preserve">Основними проблемами системи поводження з відходами </w:t>
      </w:r>
      <w:r w:rsidR="00571547" w:rsidRPr="00C22C49">
        <w:rPr>
          <w:rStyle w:val="affe"/>
          <w:iCs w:val="0"/>
        </w:rPr>
        <w:t>шин</w:t>
      </w:r>
      <w:r w:rsidR="00571547" w:rsidRPr="00C22C49">
        <w:t xml:space="preserve"> </w:t>
      </w:r>
      <w:r w:rsidRPr="00C22C49">
        <w:t>і її функціонування є:</w:t>
      </w:r>
    </w:p>
    <w:p w14:paraId="0896B8F8" w14:textId="77777777" w:rsidR="004721C3" w:rsidRPr="00C22C49" w:rsidRDefault="000A739C" w:rsidP="000F4903">
      <w:pPr>
        <w:pStyle w:val="BulletRED"/>
      </w:pPr>
      <w:r w:rsidRPr="00C22C49">
        <w:t>Недостатня увага з боку держави, зокрема відсутність програмних та інших нормативно-правових актів, спрямованих на вирішення проблеми відпрацьованих шин</w:t>
      </w:r>
    </w:p>
    <w:p w14:paraId="0896B8F9" w14:textId="77777777" w:rsidR="000A739C" w:rsidRPr="00C22C49" w:rsidRDefault="0010789B" w:rsidP="000F4903">
      <w:pPr>
        <w:pStyle w:val="BulletRED"/>
      </w:pPr>
      <w:r w:rsidRPr="00C22C49">
        <w:t xml:space="preserve">Відсутнє галузеве законодавство про відходи шини і не </w:t>
      </w:r>
      <w:r w:rsidR="00071FAA" w:rsidRPr="00C22C49">
        <w:t xml:space="preserve">встановлений </w:t>
      </w:r>
      <w:r w:rsidRPr="00C22C49">
        <w:t>механізм РВВ</w:t>
      </w:r>
      <w:r w:rsidR="00071FAA" w:rsidRPr="00C22C49">
        <w:t>.</w:t>
      </w:r>
    </w:p>
    <w:p w14:paraId="0896B8FA" w14:textId="77777777" w:rsidR="001C5250" w:rsidRPr="00C22C49" w:rsidRDefault="001C5250" w:rsidP="000F4903">
      <w:pPr>
        <w:pStyle w:val="BulletRED"/>
      </w:pPr>
      <w:r w:rsidRPr="00C22C49">
        <w:t>Чинні нормативно-правові акти  не стимулюють формування системи збирання та переробку відпрацьованих шин, як вид діяльності.</w:t>
      </w:r>
    </w:p>
    <w:p w14:paraId="0896B8FB" w14:textId="77777777" w:rsidR="001C5250" w:rsidRPr="00C22C49" w:rsidRDefault="001C5250" w:rsidP="000F4903">
      <w:pPr>
        <w:pStyle w:val="BulletRED"/>
      </w:pPr>
      <w:r w:rsidRPr="00C22C49">
        <w:t>Відсутність системи управління відпрацьованими шинами на державному рівні не сприяє формування систем обліку утворення, ввезення та передумов створення стабільної і розгалуженої системи збирання та оброблення відпрацьованих шин.</w:t>
      </w:r>
    </w:p>
    <w:p w14:paraId="0896B8FC" w14:textId="77777777" w:rsidR="003E240E" w:rsidRPr="00C22C49" w:rsidRDefault="003E240E" w:rsidP="003E240E">
      <w:pPr>
        <w:pStyle w:val="BulletRED"/>
      </w:pPr>
      <w:r w:rsidRPr="00C22C49">
        <w:t>Нормативно-правова база з питань збирання, зберігання, транспортування, рециклінгу, відновлення та видалення відходів шин та питання розширеної відповідальності виробників та експортерів, а також організації обліку та звітності відсутня і не відповідає стандартам ЄС.</w:t>
      </w:r>
    </w:p>
    <w:p w14:paraId="0896B8FD" w14:textId="77777777" w:rsidR="003E240E" w:rsidRPr="00C22C49" w:rsidRDefault="002B7F52" w:rsidP="000F4903">
      <w:pPr>
        <w:pStyle w:val="BulletRED"/>
      </w:pPr>
      <w:r w:rsidRPr="00C22C49">
        <w:t xml:space="preserve">Відсутні цільові показники </w:t>
      </w:r>
      <w:r w:rsidR="007313DC" w:rsidRPr="00C22C49">
        <w:t>на збирання та оброблення відходів шин.</w:t>
      </w:r>
    </w:p>
    <w:p w14:paraId="0896B8FE" w14:textId="77777777" w:rsidR="000F4903" w:rsidRPr="00C22C49" w:rsidRDefault="000F4903" w:rsidP="000F4903">
      <w:pPr>
        <w:pStyle w:val="BulletRED"/>
      </w:pPr>
      <w:r w:rsidRPr="00C22C49">
        <w:t>Відсутні організаційно-економічні механізми забезпечення збирання та залучення відпрацьованих шин у господарський обіг тощо.</w:t>
      </w:r>
    </w:p>
    <w:p w14:paraId="0896B8FF" w14:textId="77777777" w:rsidR="009A5F97" w:rsidRPr="00C22C49" w:rsidRDefault="00F84145" w:rsidP="008D6442">
      <w:pPr>
        <w:pStyle w:val="Heading4boldRED"/>
        <w:rPr>
          <w:lang w:val="uk-UA"/>
        </w:rPr>
      </w:pPr>
      <w:r w:rsidRPr="00C22C49">
        <w:rPr>
          <w:lang w:val="uk-UA"/>
        </w:rPr>
        <w:t>І</w:t>
      </w:r>
      <w:r w:rsidR="004072EC" w:rsidRPr="00C22C49">
        <w:rPr>
          <w:lang w:val="uk-UA"/>
        </w:rPr>
        <w:t xml:space="preserve">нші види відходів, що потребують специфічного </w:t>
      </w:r>
      <w:r w:rsidR="0058773D" w:rsidRPr="00C22C49">
        <w:rPr>
          <w:lang w:val="uk-UA"/>
        </w:rPr>
        <w:t>управління</w:t>
      </w:r>
    </w:p>
    <w:p w14:paraId="0896B900" w14:textId="77777777" w:rsidR="007B614E" w:rsidRPr="00C22C49" w:rsidRDefault="007B614E" w:rsidP="00AF1E8A">
      <w:r w:rsidRPr="00C22C49">
        <w:t xml:space="preserve">Цей розділ містить інформацію про </w:t>
      </w:r>
      <w:r w:rsidR="002A2722" w:rsidRPr="00C22C49">
        <w:t xml:space="preserve">утворення та управління відходами, що потребують специфічного </w:t>
      </w:r>
      <w:r w:rsidR="004A0F99" w:rsidRPr="00C22C49">
        <w:t>регулювання.</w:t>
      </w:r>
    </w:p>
    <w:p w14:paraId="0896B901" w14:textId="77777777" w:rsidR="0027547B" w:rsidRPr="00C22C49" w:rsidRDefault="0058773D" w:rsidP="00CE6CE1">
      <w:pPr>
        <w:pStyle w:val="REDBoldonly"/>
        <w:ind w:left="708"/>
        <w:rPr>
          <w:i w:val="0"/>
        </w:rPr>
      </w:pPr>
      <w:r w:rsidRPr="00C22C49">
        <w:rPr>
          <w:i w:val="0"/>
        </w:rPr>
        <w:t xml:space="preserve">1.4.8.1. </w:t>
      </w:r>
      <w:r w:rsidR="00F84145" w:rsidRPr="00C22C49">
        <w:rPr>
          <w:i w:val="0"/>
        </w:rPr>
        <w:t>Осади стічних вод</w:t>
      </w:r>
    </w:p>
    <w:p w14:paraId="0896B902" w14:textId="77777777" w:rsidR="00156990" w:rsidRPr="00C22C49" w:rsidRDefault="00156990" w:rsidP="0035299F">
      <w:pPr>
        <w:pStyle w:val="REDBoldonly"/>
      </w:pPr>
      <w:r w:rsidRPr="00C22C49">
        <w:t>Основні утворювачі відходів</w:t>
      </w:r>
    </w:p>
    <w:p w14:paraId="0896B903" w14:textId="50701F83" w:rsidR="00697B3E" w:rsidRPr="00C22C49" w:rsidRDefault="00A139E6" w:rsidP="00156990">
      <w:r w:rsidRPr="00C22C49">
        <w:t>Осад</w:t>
      </w:r>
      <w:r w:rsidR="003018BC">
        <w:t>и</w:t>
      </w:r>
      <w:r w:rsidRPr="00C22C49">
        <w:t xml:space="preserve"> стічних вод </w:t>
      </w:r>
      <w:r w:rsidR="00AA1C44" w:rsidRPr="00C22C49">
        <w:t>(ОСВ)</w:t>
      </w:r>
      <w:r w:rsidR="003018BC">
        <w:t xml:space="preserve"> </w:t>
      </w:r>
      <w:r w:rsidRPr="00C22C49">
        <w:t>– це суспензії, що виділяються в процесі механічної, біологічної, фізико-хімічної та реагентної очистки побутових (господарсько-фекальних), виробничих (промислових) і дощових (атмосферних) стічних вод.</w:t>
      </w:r>
    </w:p>
    <w:p w14:paraId="0896B904" w14:textId="77777777" w:rsidR="00156990" w:rsidRPr="00C22C49" w:rsidRDefault="00156990" w:rsidP="0035299F">
      <w:pPr>
        <w:pStyle w:val="REDBoldonly"/>
      </w:pPr>
      <w:r w:rsidRPr="00C22C49">
        <w:t>Основні показники управління відходами</w:t>
      </w:r>
    </w:p>
    <w:p w14:paraId="0896B905" w14:textId="77777777" w:rsidR="00697B3E" w:rsidRPr="00C22C49" w:rsidRDefault="005C0FDC" w:rsidP="00156990">
      <w:r w:rsidRPr="00C22C49">
        <w:t xml:space="preserve">В Україні, ситуація з </w:t>
      </w:r>
      <w:r w:rsidR="00F07E37" w:rsidRPr="00C22C49">
        <w:t xml:space="preserve">переробленням </w:t>
      </w:r>
      <w:r w:rsidRPr="00C22C49">
        <w:t>ОСВ</w:t>
      </w:r>
      <w:r w:rsidR="00F07E37" w:rsidRPr="00C22C49">
        <w:t>,</w:t>
      </w:r>
      <w:r w:rsidRPr="00C22C49">
        <w:t xml:space="preserve"> порівнюючи з іншими країнами світу є вкрай негативною. На сьогоднішній день на мулових майданчиках накопичено більше 5 млрд. т осадів, з яких обро</w:t>
      </w:r>
      <w:r w:rsidR="00F07E37" w:rsidRPr="00C22C49">
        <w:t>б</w:t>
      </w:r>
      <w:r w:rsidRPr="00C22C49">
        <w:t>ляється лише від 3 до 5%. Статистичні дані свідчать, що підприємства житлово-комунального господарства в середньому за рік скидають біля 3400 млн м3 стічних вод, з них утворюється 17 млн. м3 (0,5%) осаду стічних вод (0,7-1,0 млн. т за сухою речовиною).  Низький відсоток оброблення ОСВ в Україні, переважно пов'язаний із недосконалим законодавством та застарілим обладнанням очисних споруд.</w:t>
      </w:r>
    </w:p>
    <w:p w14:paraId="0896B906" w14:textId="77777777" w:rsidR="00156990" w:rsidRPr="00C22C49" w:rsidRDefault="00156990" w:rsidP="0035299F">
      <w:pPr>
        <w:pStyle w:val="REDBoldonly"/>
      </w:pPr>
      <w:r w:rsidRPr="00C22C49">
        <w:t>Характеристика систем збирання та об’єктів оброблення відходів</w:t>
      </w:r>
    </w:p>
    <w:p w14:paraId="0896B907" w14:textId="77777777" w:rsidR="00697B3E" w:rsidRPr="00C22C49" w:rsidRDefault="00434FCB" w:rsidP="00156990">
      <w:r w:rsidRPr="00C22C49">
        <w:t>В Україні використовується практично один спосіб утилізації мулового осаду – складування (&gt;95 %). Складування (депонування) осаду стічних вод і надлишкового активного мулу на мулових картах і/або накопичувачах з послідуючим використанням перероблених відходів в якості технічних ґрунтів. Складуванню (депонуванню) підлягають попередньо зневоднені відходи осаду з вологістю не більше 80 %.  Це пов’язано з тим, що якість вітчизняних осадів мулу стічних вод не відповідає вимогам нормативів за вмістом важких металів.</w:t>
      </w:r>
    </w:p>
    <w:p w14:paraId="0896B908" w14:textId="77777777" w:rsidR="00CE5EE2" w:rsidRPr="00C22C49" w:rsidRDefault="00CE5EE2" w:rsidP="00CE5EE2">
      <w:r w:rsidRPr="00C22C49">
        <w:t xml:space="preserve">Проблема накопичення мулових осадів має глобальний характер – їх площа на території України складає більше 1,5 тис. га (15 км2, що еквівалентно площі невеличкого міста або селища), а обсяг накопиченого осаду станом на сьогодні перевищує 150 млн т, до яких щороку додається ще 5 млн т нових осадів. </w:t>
      </w:r>
      <w:r w:rsidR="008C2E31" w:rsidRPr="00C22C49">
        <w:t>При відсутності механічного зневоднення осаду щорічна потреба в мулових майданчиках тільки для розміщення утвореного в м. Києві складає 14га, а для всієї України - 120 га/рік. Мулові майданчики є екологічною проблемою, як сьогодні, так і в майбутньому.</w:t>
      </w:r>
    </w:p>
    <w:p w14:paraId="0896B909" w14:textId="77777777" w:rsidR="00CE5EE2" w:rsidRPr="00C22C49" w:rsidRDefault="00CE5EE2" w:rsidP="00CE5EE2">
      <w:r w:rsidRPr="00C22C49">
        <w:t>За даними НКРЕКП, 9 установок виробляють біогаз у результаті анаеробного очищення промислових стічних вод, а на одній біогаз отримують з осаду господарсько-побутових стічних вод. У Львові планують реалізувати інноваційний проєкт у сфері водопостачання та водовідведення «Виробництво біогазу з осаду комунальних стічних вод».</w:t>
      </w:r>
    </w:p>
    <w:p w14:paraId="0896B90A" w14:textId="77777777" w:rsidR="007944E3" w:rsidRPr="00C22C49" w:rsidRDefault="00156990">
      <w:pPr>
        <w:pStyle w:val="REDBoldonly"/>
      </w:pPr>
      <w:r w:rsidRPr="00C22C49">
        <w:t xml:space="preserve">Основними проблемами системи </w:t>
      </w:r>
      <w:r w:rsidR="00551EFC" w:rsidRPr="00C22C49">
        <w:t>управління</w:t>
      </w:r>
      <w:r w:rsidRPr="00C22C49">
        <w:t xml:space="preserve"> відходами </w:t>
      </w:r>
      <w:r w:rsidR="00BD0AA7" w:rsidRPr="00C22C49">
        <w:t>о</w:t>
      </w:r>
      <w:r w:rsidR="0058773D" w:rsidRPr="00C22C49">
        <w:t>сад</w:t>
      </w:r>
      <w:r w:rsidR="00BD0AA7" w:rsidRPr="00C22C49">
        <w:t>ів</w:t>
      </w:r>
      <w:r w:rsidR="0058773D" w:rsidRPr="00C22C49">
        <w:t xml:space="preserve"> стічних вод</w:t>
      </w:r>
      <w:r w:rsidR="001335D1" w:rsidRPr="00C22C49">
        <w:t xml:space="preserve"> </w:t>
      </w:r>
      <w:r w:rsidRPr="00C22C49">
        <w:t>і її функціонування є:</w:t>
      </w:r>
    </w:p>
    <w:p w14:paraId="0896B90B" w14:textId="77777777" w:rsidR="0034044D" w:rsidRPr="00C22C49" w:rsidRDefault="0034044D" w:rsidP="0034044D">
      <w:pPr>
        <w:pStyle w:val="BulletRED"/>
      </w:pPr>
      <w:r w:rsidRPr="00C22C49">
        <w:t>Недостатня увага з боку держави, зокрема відсутність програмних та інших нормативно-правових актів, спрямованих на вирішення проблеми управління осадами стічних вод.</w:t>
      </w:r>
    </w:p>
    <w:p w14:paraId="0896B90C" w14:textId="77777777" w:rsidR="001E0742" w:rsidRPr="00C22C49" w:rsidRDefault="0034044D" w:rsidP="0034044D">
      <w:pPr>
        <w:pStyle w:val="BulletRED"/>
      </w:pPr>
      <w:r w:rsidRPr="00C22C49">
        <w:t xml:space="preserve">Потребує розробки та приведення у відповідність до стандартів ЄС нормативно-правова база з управління осадами стічних вод, </w:t>
      </w:r>
    </w:p>
    <w:p w14:paraId="0896B90D" w14:textId="77777777" w:rsidR="0034044D" w:rsidRPr="00C22C49" w:rsidRDefault="0034044D" w:rsidP="0034044D">
      <w:pPr>
        <w:pStyle w:val="BulletRED"/>
      </w:pPr>
      <w:r w:rsidRPr="00C22C49">
        <w:t>Відсутня система управління осадами стічних вод промисловості та населення.</w:t>
      </w:r>
    </w:p>
    <w:p w14:paraId="0896B90E" w14:textId="77777777" w:rsidR="0034044D" w:rsidRPr="00C22C49" w:rsidRDefault="0034044D" w:rsidP="0034044D">
      <w:pPr>
        <w:pStyle w:val="BulletRED"/>
      </w:pPr>
      <w:r w:rsidRPr="00C22C49">
        <w:t>Відсутні дані про кількість утворених осадів стічних вод та їх класифікацію і структуру.</w:t>
      </w:r>
    </w:p>
    <w:p w14:paraId="0896B90F" w14:textId="77777777" w:rsidR="0034044D" w:rsidRPr="00C22C49" w:rsidRDefault="0034044D" w:rsidP="0034044D">
      <w:pPr>
        <w:pStyle w:val="BulletRED"/>
      </w:pPr>
      <w:r w:rsidRPr="00C22C49">
        <w:t>Відсутні передумови створення стабільної і розгалуженої системи збирання та оброблення осадів стічних вод</w:t>
      </w:r>
    </w:p>
    <w:p w14:paraId="0896B910" w14:textId="77777777" w:rsidR="0034044D" w:rsidRPr="00C22C49" w:rsidRDefault="0034044D" w:rsidP="0034044D">
      <w:pPr>
        <w:pStyle w:val="BulletRED"/>
      </w:pPr>
      <w:r w:rsidRPr="00C22C49">
        <w:t>Відсутні організаційно-економічні механізми забезпечення збирання та залучення осадів стічних вод у господарський в якості органічних добрив, енергетичної сировини тощо.</w:t>
      </w:r>
    </w:p>
    <w:p w14:paraId="0896B911" w14:textId="77777777" w:rsidR="0034044D" w:rsidRPr="00C22C49" w:rsidRDefault="0034044D" w:rsidP="0034044D">
      <w:pPr>
        <w:pStyle w:val="BulletRED"/>
      </w:pPr>
      <w:r w:rsidRPr="00C22C49">
        <w:t>Відсутність системи використання осадів стічних вод через низьку інвестиційну привабливість цієї сфери.</w:t>
      </w:r>
    </w:p>
    <w:p w14:paraId="0896B912" w14:textId="77777777" w:rsidR="0034044D" w:rsidRPr="00C22C49" w:rsidRDefault="0034044D" w:rsidP="0034044D">
      <w:pPr>
        <w:pStyle w:val="BulletRED"/>
      </w:pPr>
      <w:r w:rsidRPr="00C22C49">
        <w:t>Відсутність потужностей з рециклінгу та оброблення осадів стічних вод</w:t>
      </w:r>
    </w:p>
    <w:p w14:paraId="0896B913" w14:textId="77777777" w:rsidR="007944E3" w:rsidRPr="00C22C49" w:rsidRDefault="0058773D">
      <w:pPr>
        <w:pStyle w:val="REDBoldonly"/>
        <w:ind w:left="567"/>
      </w:pPr>
      <w:r w:rsidRPr="00C22C49">
        <w:rPr>
          <w:i w:val="0"/>
        </w:rPr>
        <w:t xml:space="preserve">1.4.8.2. </w:t>
      </w:r>
      <w:r w:rsidRPr="00C22C49">
        <w:t>Відходи, що містять критичну сировину</w:t>
      </w:r>
    </w:p>
    <w:p w14:paraId="0896B914" w14:textId="77777777" w:rsidR="001E0742" w:rsidRPr="00C22C49" w:rsidRDefault="00541065" w:rsidP="00541065">
      <w:r w:rsidRPr="00C22C49">
        <w:t>Сировина, яка є найбільш важливою з економічної точки зору та має високий ризик постачання, називається критичною сировиною. Критична сировина необхідна для функціонування та цілісності широкого спектру промислових екосистем. Вольфрам дозволяє телефонам вібрувати. Галій та індій є частиною технології світлодіодів (LED) у лампах. Напівпровідники потребують металевого кремнію. Водневі паливні елементи та електролізери потребують металів платинової групи.</w:t>
      </w:r>
      <w:r w:rsidR="00991E69" w:rsidRPr="00C22C49">
        <w:t xml:space="preserve"> </w:t>
      </w:r>
      <w:r w:rsidRPr="00C22C49">
        <w:t>Доступ до ресурсів є стратегічним питанням безпеки для європейських амбіцій щодо реалізації " Green Deal".</w:t>
      </w:r>
      <w:r w:rsidR="005A2058" w:rsidRPr="00C22C49">
        <w:t xml:space="preserve"> </w:t>
      </w:r>
      <w:r w:rsidR="000B490D" w:rsidRPr="00C22C49">
        <w:t>Перелік критичної сировини</w:t>
      </w:r>
      <w:r w:rsidR="005A2058" w:rsidRPr="00C22C49">
        <w:t xml:space="preserve"> ЄС 2020 року містить 30 матеріалів порівняно з 14 матеріалами у 2011 році</w:t>
      </w:r>
      <w:r w:rsidR="0080534E" w:rsidRPr="00C22C49">
        <w:t xml:space="preserve">, які є важливими для функціонування економіки союзу. </w:t>
      </w:r>
    </w:p>
    <w:p w14:paraId="0896B915" w14:textId="77777777" w:rsidR="008D6442" w:rsidRPr="00C22C49" w:rsidRDefault="0080534E" w:rsidP="00541065">
      <w:r w:rsidRPr="00C22C49">
        <w:t>На разі в Україні відсутнє законодавство щодо критично важливої сировини</w:t>
      </w:r>
      <w:r w:rsidR="009E7E64" w:rsidRPr="00C22C49">
        <w:t xml:space="preserve"> для власних потреб економіки, хоча н</w:t>
      </w:r>
      <w:r w:rsidR="00EC4CB6" w:rsidRPr="00C22C49">
        <w:t xml:space="preserve">а території країни є родовища </w:t>
      </w:r>
      <w:r w:rsidR="007F1E21" w:rsidRPr="00C22C49">
        <w:t>матеріалів, які є критично важливими для інших економік світу</w:t>
      </w:r>
      <w:r w:rsidR="00B41E6C" w:rsidRPr="00C22C49">
        <w:t xml:space="preserve">. У 2021 році Україна розпочала </w:t>
      </w:r>
      <w:r w:rsidR="00C37784" w:rsidRPr="00C22C49">
        <w:t>партнерство із ЄС щодо критичної сировини.</w:t>
      </w:r>
      <w:r w:rsidR="003F3072" w:rsidRPr="00C22C49">
        <w:t xml:space="preserve"> Стратегічне партнерство включатиме діяльність по всьому ланцюжку створення вартості як первинної, так і вторинної критично важливої сировини та акумуляторів, і відповідно до цілей Плану дій ЄС щодо критично важливої сировини, воно допоможе диверсифікувати, посилити та убезпечити постачання критично важливої сировини для обох сторін, що є важливим для досягнення "зеленого" та цифрового переходу. Партнерство також матиме вирішальне значення для збереження глобальної конкурентоспроможності та розвитку стійкості промисловості ЄС та України.</w:t>
      </w:r>
    </w:p>
    <w:p w14:paraId="0896B916" w14:textId="77777777" w:rsidR="00991E69" w:rsidRPr="00C22C49" w:rsidRDefault="00991E69" w:rsidP="00991E69">
      <w:r w:rsidRPr="00C22C49">
        <w:t>Серед відходів, які містять значну кількість критично важливої сировини, є кілька груп відходів</w:t>
      </w:r>
      <w:r w:rsidR="0058773D" w:rsidRPr="00C22C49">
        <w:t xml:space="preserve"> </w:t>
      </w:r>
      <w:r w:rsidRPr="00C22C49">
        <w:t>до них відносяться наступні:</w:t>
      </w:r>
    </w:p>
    <w:p w14:paraId="0896B917" w14:textId="77777777" w:rsidR="00991E69" w:rsidRPr="00C22C49" w:rsidRDefault="00991E69" w:rsidP="009C45D5">
      <w:pPr>
        <w:pStyle w:val="BulletRED"/>
      </w:pPr>
      <w:r w:rsidRPr="00C22C49">
        <w:t>Відходи електронного та електричного обладнання. Це одне з найбільших джерел критично важливої сировини. Використана електроніка, така як комп'ютери, мобільні телефони та телевізори, містить значну кількість дорогоцінних і важливих металів, включаючи золото, срібло, паладій та рідкісноземельні елементи.</w:t>
      </w:r>
    </w:p>
    <w:p w14:paraId="0896B918" w14:textId="77777777" w:rsidR="00991E69" w:rsidRPr="00C22C49" w:rsidRDefault="00991E69" w:rsidP="009C45D5">
      <w:pPr>
        <w:pStyle w:val="BulletRED"/>
      </w:pPr>
      <w:r w:rsidRPr="00C22C49">
        <w:t>Батареї та акумулятори. Використані акумулятори, особливо з електромобілів, містять критично важливу сировину, таку як літій, кобальт, нікель і рідкісноземельні елементи.</w:t>
      </w:r>
    </w:p>
    <w:p w14:paraId="0896B919" w14:textId="77777777" w:rsidR="00991E69" w:rsidRPr="00C22C49" w:rsidRDefault="00991E69" w:rsidP="009C45D5">
      <w:pPr>
        <w:pStyle w:val="BulletRED"/>
      </w:pPr>
      <w:r w:rsidRPr="00C22C49">
        <w:t>Промислові відходи: Різні промислові процеси призводять до утворення відходів, що містять значну кількість критично важливої сировини. Це, зокрема, хвости гірничодобувної промисловості, виробничий брухт і відпрацьовані каталізатори.</w:t>
      </w:r>
    </w:p>
    <w:p w14:paraId="0896B91A" w14:textId="77777777" w:rsidR="00991E69" w:rsidRPr="00C22C49" w:rsidRDefault="00991E69" w:rsidP="009C45D5">
      <w:pPr>
        <w:pStyle w:val="BulletRED"/>
      </w:pPr>
      <w:r w:rsidRPr="00C22C49">
        <w:t>Транспортні засоби та кораблі з вичерпаним терміном експлуатації містять значну кількість сталі, алюмінію, міді та інших важливих матеріалів.</w:t>
      </w:r>
    </w:p>
    <w:p w14:paraId="0896B91B" w14:textId="77777777" w:rsidR="00991E69" w:rsidRPr="00C22C49" w:rsidRDefault="00991E69" w:rsidP="009C45D5">
      <w:pPr>
        <w:pStyle w:val="BulletRED"/>
      </w:pPr>
      <w:r w:rsidRPr="00C22C49">
        <w:t>Відходи будівництва та знесення часто містять значну кількість металів та іншої критично важливої сировини.</w:t>
      </w:r>
    </w:p>
    <w:p w14:paraId="0896B91C" w14:textId="77777777" w:rsidR="00991E69" w:rsidRPr="00C22C49" w:rsidRDefault="00991E69" w:rsidP="009C45D5">
      <w:pPr>
        <w:pStyle w:val="BulletRED"/>
      </w:pPr>
      <w:r w:rsidRPr="00C22C49">
        <w:t>Попіл від спалювання часто містить дорогоцінні метали.</w:t>
      </w:r>
    </w:p>
    <w:p w14:paraId="0896B91D" w14:textId="77777777" w:rsidR="00991E69" w:rsidRPr="00C22C49" w:rsidRDefault="00991E69" w:rsidP="00991E69">
      <w:r w:rsidRPr="00C22C49">
        <w:t>Налагоджені процеси збирання та рециклінгу можуть вилучати цю важливу сировину з відходів, забезпечуючи цінне вторинне джерело цих ресурсів і допомагаючи зменшити залежність від первинної сировини.</w:t>
      </w:r>
    </w:p>
    <w:p w14:paraId="0896B91E" w14:textId="77777777" w:rsidR="00541065" w:rsidRPr="00C22C49" w:rsidRDefault="00541065" w:rsidP="00541065"/>
    <w:p w14:paraId="0896B91F" w14:textId="77777777" w:rsidR="009A5F97" w:rsidRPr="00C22C49" w:rsidRDefault="008C72F8" w:rsidP="00D03925">
      <w:pPr>
        <w:pStyle w:val="Heading4boldRED"/>
        <w:rPr>
          <w:lang w:val="uk-UA"/>
        </w:rPr>
      </w:pPr>
      <w:r w:rsidRPr="00C22C49">
        <w:rPr>
          <w:lang w:val="uk-UA"/>
        </w:rPr>
        <w:t>Загальна к</w:t>
      </w:r>
      <w:r w:rsidR="00A70485" w:rsidRPr="00C22C49">
        <w:rPr>
          <w:lang w:val="uk-UA"/>
        </w:rPr>
        <w:t xml:space="preserve">ількість </w:t>
      </w:r>
      <w:r w:rsidR="001719D5" w:rsidRPr="00C22C49">
        <w:rPr>
          <w:lang w:val="uk-UA"/>
        </w:rPr>
        <w:t>об’єктів оброблення</w:t>
      </w:r>
      <w:r w:rsidR="00A70485" w:rsidRPr="00C22C49">
        <w:rPr>
          <w:lang w:val="uk-UA"/>
        </w:rPr>
        <w:t xml:space="preserve"> </w:t>
      </w:r>
      <w:r w:rsidR="001719D5" w:rsidRPr="00C22C49">
        <w:rPr>
          <w:lang w:val="uk-UA"/>
        </w:rPr>
        <w:t>відходів</w:t>
      </w:r>
      <w:r w:rsidR="00A70485" w:rsidRPr="00C22C49">
        <w:rPr>
          <w:lang w:val="uk-UA"/>
        </w:rPr>
        <w:t>, спеціально відведених місць та об'єктів видалення відходів</w:t>
      </w:r>
    </w:p>
    <w:p w14:paraId="0896B920" w14:textId="19F38283" w:rsidR="007029FF" w:rsidRPr="00C22C49" w:rsidRDefault="00C71DFE" w:rsidP="00C71DFE">
      <w:pPr>
        <w:pStyle w:val="ad"/>
        <w:rPr>
          <w:lang w:val="uk-UA"/>
        </w:rPr>
      </w:pPr>
      <w:bookmarkStart w:id="19" w:name="_Toc142262253"/>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6</w:t>
      </w:r>
      <w:r w:rsidR="005E0A06" w:rsidRPr="00C22C49">
        <w:rPr>
          <w:lang w:val="uk-UA"/>
        </w:rPr>
        <w:fldChar w:fldCharType="end"/>
      </w:r>
      <w:r w:rsidRPr="00C22C49">
        <w:rPr>
          <w:lang w:val="uk-UA"/>
        </w:rPr>
        <w:t xml:space="preserve">. </w:t>
      </w:r>
      <w:r w:rsidR="001719D5" w:rsidRPr="00C22C49">
        <w:rPr>
          <w:lang w:val="uk-UA"/>
        </w:rPr>
        <w:t>Об’єкти оброблення</w:t>
      </w:r>
      <w:r w:rsidR="007029FF" w:rsidRPr="00C22C49">
        <w:rPr>
          <w:lang w:val="uk-UA"/>
        </w:rPr>
        <w:t xml:space="preserve"> </w:t>
      </w:r>
      <w:r w:rsidR="001719D5" w:rsidRPr="00C22C49">
        <w:rPr>
          <w:lang w:val="uk-UA"/>
        </w:rPr>
        <w:t xml:space="preserve">відходів </w:t>
      </w:r>
      <w:r w:rsidR="007029FF" w:rsidRPr="00C22C49">
        <w:rPr>
          <w:lang w:val="uk-UA"/>
        </w:rPr>
        <w:t>на кінець 2020 року</w:t>
      </w:r>
      <w:bookmarkEnd w:id="19"/>
    </w:p>
    <w:tbl>
      <w:tblPr>
        <w:tblStyle w:val="afa"/>
        <w:tblW w:w="0" w:type="auto"/>
        <w:tblLook w:val="04A0" w:firstRow="1" w:lastRow="0" w:firstColumn="1" w:lastColumn="0" w:noHBand="0" w:noVBand="1"/>
      </w:tblPr>
      <w:tblGrid>
        <w:gridCol w:w="5778"/>
        <w:gridCol w:w="2060"/>
        <w:gridCol w:w="2060"/>
      </w:tblGrid>
      <w:tr w:rsidR="007029FF" w:rsidRPr="00C22C49" w14:paraId="0896B924" w14:textId="77777777" w:rsidTr="007869AB">
        <w:trPr>
          <w:trHeight w:val="20"/>
        </w:trPr>
        <w:tc>
          <w:tcPr>
            <w:tcW w:w="5778" w:type="dxa"/>
            <w:hideMark/>
          </w:tcPr>
          <w:p w14:paraId="0896B921" w14:textId="7282CF0D" w:rsidR="007029FF" w:rsidRPr="00C22C49" w:rsidRDefault="007029FF" w:rsidP="004B0018">
            <w:pPr>
              <w:pStyle w:val="Table"/>
              <w:spacing w:before="0" w:after="0" w:line="240" w:lineRule="auto"/>
              <w:rPr>
                <w:lang w:val="uk-UA"/>
              </w:rPr>
            </w:pPr>
            <w:r w:rsidRPr="00C22C49">
              <w:rPr>
                <w:lang w:val="uk-UA"/>
              </w:rPr>
              <w:t> </w:t>
            </w:r>
            <w:r w:rsidR="00D936A9" w:rsidRPr="00C22C49">
              <w:rPr>
                <w:b/>
                <w:bCs/>
                <w:lang w:val="uk-UA"/>
              </w:rPr>
              <w:t>Об’єкти оброблення з відходами відходів</w:t>
            </w:r>
          </w:p>
        </w:tc>
        <w:tc>
          <w:tcPr>
            <w:tcW w:w="2060" w:type="dxa"/>
            <w:hideMark/>
          </w:tcPr>
          <w:p w14:paraId="0896B922" w14:textId="77777777" w:rsidR="007029FF" w:rsidRPr="00C22C49" w:rsidRDefault="007029FF" w:rsidP="004B0018">
            <w:pPr>
              <w:pStyle w:val="Table"/>
              <w:spacing w:before="0" w:after="0" w:line="240" w:lineRule="auto"/>
              <w:rPr>
                <w:lang w:val="uk-UA"/>
              </w:rPr>
            </w:pPr>
            <w:r w:rsidRPr="00C22C49">
              <w:rPr>
                <w:lang w:val="uk-UA"/>
              </w:rPr>
              <w:t>Кількість, одиниць</w:t>
            </w:r>
          </w:p>
        </w:tc>
        <w:tc>
          <w:tcPr>
            <w:tcW w:w="2060" w:type="dxa"/>
          </w:tcPr>
          <w:p w14:paraId="0896B923" w14:textId="64C3A39B" w:rsidR="007029FF" w:rsidRPr="00C22C49" w:rsidRDefault="007869AB" w:rsidP="004B0018">
            <w:pPr>
              <w:pStyle w:val="Table"/>
              <w:spacing w:before="0" w:after="0" w:line="240" w:lineRule="auto"/>
              <w:rPr>
                <w:lang w:val="uk-UA"/>
              </w:rPr>
            </w:pPr>
            <w:r>
              <w:rPr>
                <w:lang w:val="uk-UA"/>
              </w:rPr>
              <w:t>П</w:t>
            </w:r>
            <w:r w:rsidR="00121170" w:rsidRPr="00C22C49">
              <w:rPr>
                <w:lang w:val="uk-UA"/>
              </w:rPr>
              <w:t>отужність, тис.т</w:t>
            </w:r>
          </w:p>
        </w:tc>
      </w:tr>
      <w:tr w:rsidR="00121170" w:rsidRPr="00C22C49" w14:paraId="0896B928" w14:textId="77777777" w:rsidTr="007869AB">
        <w:trPr>
          <w:trHeight w:val="20"/>
        </w:trPr>
        <w:tc>
          <w:tcPr>
            <w:tcW w:w="5778" w:type="dxa"/>
            <w:hideMark/>
          </w:tcPr>
          <w:p w14:paraId="0896B925" w14:textId="7CB5CF19" w:rsidR="00121170" w:rsidRPr="00C22C49" w:rsidRDefault="00D936A9" w:rsidP="004B0018">
            <w:pPr>
              <w:pStyle w:val="Table"/>
              <w:spacing w:before="0" w:after="0" w:line="240" w:lineRule="auto"/>
              <w:rPr>
                <w:b/>
                <w:bCs/>
                <w:lang w:val="uk-UA"/>
              </w:rPr>
            </w:pPr>
            <w:r>
              <w:rPr>
                <w:b/>
                <w:bCs/>
                <w:lang w:val="uk-UA"/>
              </w:rPr>
              <w:t>У</w:t>
            </w:r>
            <w:r w:rsidR="00121170" w:rsidRPr="00C22C49">
              <w:rPr>
                <w:b/>
                <w:bCs/>
                <w:lang w:val="uk-UA"/>
              </w:rPr>
              <w:t>сього</w:t>
            </w:r>
          </w:p>
        </w:tc>
        <w:tc>
          <w:tcPr>
            <w:tcW w:w="2060" w:type="dxa"/>
            <w:hideMark/>
          </w:tcPr>
          <w:p w14:paraId="0896B926" w14:textId="77777777" w:rsidR="00121170" w:rsidRPr="00C22C49" w:rsidRDefault="00121170" w:rsidP="004B0018">
            <w:pPr>
              <w:pStyle w:val="Table"/>
              <w:spacing w:before="0" w:after="0" w:line="240" w:lineRule="auto"/>
              <w:rPr>
                <w:b/>
                <w:bCs/>
                <w:lang w:val="uk-UA"/>
              </w:rPr>
            </w:pPr>
            <w:r w:rsidRPr="00C22C49">
              <w:rPr>
                <w:b/>
                <w:bCs/>
                <w:lang w:val="uk-UA"/>
              </w:rPr>
              <w:t>782</w:t>
            </w:r>
          </w:p>
        </w:tc>
        <w:tc>
          <w:tcPr>
            <w:tcW w:w="2060" w:type="dxa"/>
          </w:tcPr>
          <w:p w14:paraId="0896B927" w14:textId="77777777" w:rsidR="00121170" w:rsidRPr="00C22C49" w:rsidRDefault="00121170" w:rsidP="004B0018">
            <w:pPr>
              <w:pStyle w:val="Table"/>
              <w:spacing w:before="0" w:after="0" w:line="240" w:lineRule="auto"/>
              <w:rPr>
                <w:b/>
                <w:bCs/>
                <w:lang w:val="uk-UA"/>
              </w:rPr>
            </w:pPr>
            <w:r w:rsidRPr="00C22C49">
              <w:rPr>
                <w:b/>
                <w:bCs/>
                <w:lang w:val="uk-UA"/>
              </w:rPr>
              <w:t>15902,9</w:t>
            </w:r>
          </w:p>
        </w:tc>
      </w:tr>
      <w:tr w:rsidR="00121170" w:rsidRPr="00C22C49" w14:paraId="0896B92C" w14:textId="77777777" w:rsidTr="007869AB">
        <w:trPr>
          <w:trHeight w:val="20"/>
        </w:trPr>
        <w:tc>
          <w:tcPr>
            <w:tcW w:w="5778" w:type="dxa"/>
            <w:hideMark/>
          </w:tcPr>
          <w:p w14:paraId="0896B929" w14:textId="77777777" w:rsidR="00121170" w:rsidRPr="00C22C49" w:rsidRDefault="00121170" w:rsidP="004B0018">
            <w:pPr>
              <w:pStyle w:val="Table"/>
              <w:spacing w:before="0" w:after="0" w:line="240" w:lineRule="auto"/>
              <w:rPr>
                <w:lang w:val="uk-UA"/>
              </w:rPr>
            </w:pPr>
            <w:r w:rsidRPr="00C22C49">
              <w:rPr>
                <w:lang w:val="uk-UA"/>
              </w:rPr>
              <w:t>для спалювання відходів з метою отримання енергії</w:t>
            </w:r>
          </w:p>
        </w:tc>
        <w:tc>
          <w:tcPr>
            <w:tcW w:w="2060" w:type="dxa"/>
            <w:hideMark/>
          </w:tcPr>
          <w:p w14:paraId="0896B92A" w14:textId="77777777" w:rsidR="00121170" w:rsidRPr="00C22C49" w:rsidRDefault="00121170" w:rsidP="004B0018">
            <w:pPr>
              <w:pStyle w:val="Table"/>
              <w:spacing w:before="0" w:after="0" w:line="240" w:lineRule="auto"/>
              <w:rPr>
                <w:lang w:val="uk-UA"/>
              </w:rPr>
            </w:pPr>
            <w:r w:rsidRPr="00C22C49">
              <w:rPr>
                <w:lang w:val="uk-UA"/>
              </w:rPr>
              <w:t>334</w:t>
            </w:r>
          </w:p>
        </w:tc>
        <w:tc>
          <w:tcPr>
            <w:tcW w:w="2060" w:type="dxa"/>
          </w:tcPr>
          <w:p w14:paraId="0896B92B" w14:textId="77777777" w:rsidR="00121170" w:rsidRPr="00C22C49" w:rsidRDefault="00121170" w:rsidP="004B0018">
            <w:pPr>
              <w:pStyle w:val="Table"/>
              <w:spacing w:before="0" w:after="0" w:line="240" w:lineRule="auto"/>
              <w:rPr>
                <w:lang w:val="uk-UA"/>
              </w:rPr>
            </w:pPr>
            <w:r w:rsidRPr="00C22C49">
              <w:rPr>
                <w:lang w:val="uk-UA"/>
              </w:rPr>
              <w:t>1780,2</w:t>
            </w:r>
          </w:p>
        </w:tc>
      </w:tr>
      <w:tr w:rsidR="00121170" w:rsidRPr="00C22C49" w14:paraId="0896B930" w14:textId="77777777" w:rsidTr="007869AB">
        <w:trPr>
          <w:trHeight w:val="20"/>
        </w:trPr>
        <w:tc>
          <w:tcPr>
            <w:tcW w:w="5778" w:type="dxa"/>
            <w:hideMark/>
          </w:tcPr>
          <w:p w14:paraId="0896B92D" w14:textId="77777777" w:rsidR="00121170" w:rsidRPr="00C22C49" w:rsidRDefault="00121170" w:rsidP="004B0018">
            <w:pPr>
              <w:pStyle w:val="Table"/>
              <w:spacing w:before="0" w:after="0" w:line="240" w:lineRule="auto"/>
              <w:rPr>
                <w:lang w:val="uk-UA"/>
              </w:rPr>
            </w:pPr>
            <w:r w:rsidRPr="00C22C49">
              <w:rPr>
                <w:lang w:val="uk-UA"/>
              </w:rPr>
              <w:t>для спалювання відходів з метою теплового перероблення відходів</w:t>
            </w:r>
          </w:p>
        </w:tc>
        <w:tc>
          <w:tcPr>
            <w:tcW w:w="2060" w:type="dxa"/>
            <w:hideMark/>
          </w:tcPr>
          <w:p w14:paraId="0896B92E" w14:textId="77777777" w:rsidR="00121170" w:rsidRPr="00C22C49" w:rsidRDefault="00121170" w:rsidP="004B0018">
            <w:pPr>
              <w:pStyle w:val="Table"/>
              <w:spacing w:before="0" w:after="0" w:line="240" w:lineRule="auto"/>
              <w:rPr>
                <w:lang w:val="uk-UA"/>
              </w:rPr>
            </w:pPr>
            <w:r w:rsidRPr="00C22C49">
              <w:rPr>
                <w:lang w:val="uk-UA"/>
              </w:rPr>
              <w:t>105</w:t>
            </w:r>
          </w:p>
        </w:tc>
        <w:tc>
          <w:tcPr>
            <w:tcW w:w="2060" w:type="dxa"/>
          </w:tcPr>
          <w:p w14:paraId="0896B92F" w14:textId="77777777" w:rsidR="00121170" w:rsidRPr="00C22C49" w:rsidRDefault="00121170" w:rsidP="004B0018">
            <w:pPr>
              <w:pStyle w:val="Table"/>
              <w:spacing w:before="0" w:after="0" w:line="240" w:lineRule="auto"/>
              <w:rPr>
                <w:lang w:val="uk-UA"/>
              </w:rPr>
            </w:pPr>
            <w:r w:rsidRPr="00C22C49">
              <w:rPr>
                <w:lang w:val="uk-UA"/>
              </w:rPr>
              <w:t>152,4</w:t>
            </w:r>
          </w:p>
        </w:tc>
      </w:tr>
      <w:tr w:rsidR="00121170" w:rsidRPr="00C22C49" w14:paraId="0896B934" w14:textId="77777777" w:rsidTr="007869AB">
        <w:trPr>
          <w:trHeight w:val="20"/>
        </w:trPr>
        <w:tc>
          <w:tcPr>
            <w:tcW w:w="5778" w:type="dxa"/>
            <w:hideMark/>
          </w:tcPr>
          <w:p w14:paraId="0896B931" w14:textId="77777777" w:rsidR="00121170" w:rsidRPr="00C22C49" w:rsidRDefault="00121170" w:rsidP="004B0018">
            <w:pPr>
              <w:pStyle w:val="Table"/>
              <w:spacing w:before="0" w:after="0" w:line="240" w:lineRule="auto"/>
              <w:rPr>
                <w:lang w:val="uk-UA"/>
              </w:rPr>
            </w:pPr>
            <w:r w:rsidRPr="00C22C49">
              <w:rPr>
                <w:lang w:val="uk-UA"/>
              </w:rPr>
              <w:t>для утилізації (перероблення) відходів</w:t>
            </w:r>
          </w:p>
        </w:tc>
        <w:tc>
          <w:tcPr>
            <w:tcW w:w="2060" w:type="dxa"/>
            <w:hideMark/>
          </w:tcPr>
          <w:p w14:paraId="0896B932" w14:textId="77777777" w:rsidR="00121170" w:rsidRPr="00C22C49" w:rsidRDefault="00121170" w:rsidP="004B0018">
            <w:pPr>
              <w:pStyle w:val="Table"/>
              <w:spacing w:before="0" w:after="0" w:line="240" w:lineRule="auto"/>
              <w:rPr>
                <w:lang w:val="uk-UA"/>
              </w:rPr>
            </w:pPr>
            <w:r w:rsidRPr="00C22C49">
              <w:rPr>
                <w:lang w:val="uk-UA"/>
              </w:rPr>
              <w:t>316</w:t>
            </w:r>
          </w:p>
        </w:tc>
        <w:tc>
          <w:tcPr>
            <w:tcW w:w="2060" w:type="dxa"/>
          </w:tcPr>
          <w:p w14:paraId="0896B933" w14:textId="77777777" w:rsidR="00121170" w:rsidRPr="00C22C49" w:rsidRDefault="00121170" w:rsidP="004B0018">
            <w:pPr>
              <w:pStyle w:val="Table"/>
              <w:spacing w:before="0" w:after="0" w:line="240" w:lineRule="auto"/>
              <w:rPr>
                <w:lang w:val="uk-UA"/>
              </w:rPr>
            </w:pPr>
            <w:r w:rsidRPr="00C22C49">
              <w:rPr>
                <w:lang w:val="uk-UA"/>
              </w:rPr>
              <w:t>13848,7</w:t>
            </w:r>
          </w:p>
        </w:tc>
      </w:tr>
      <w:tr w:rsidR="00121170" w:rsidRPr="00C22C49" w14:paraId="0896B938" w14:textId="77777777" w:rsidTr="007869AB">
        <w:trPr>
          <w:trHeight w:val="20"/>
        </w:trPr>
        <w:tc>
          <w:tcPr>
            <w:tcW w:w="5778" w:type="dxa"/>
            <w:hideMark/>
          </w:tcPr>
          <w:p w14:paraId="0896B935" w14:textId="77777777" w:rsidR="00121170" w:rsidRPr="00C22C49" w:rsidRDefault="00121170" w:rsidP="004B0018">
            <w:pPr>
              <w:pStyle w:val="Table"/>
              <w:spacing w:before="0" w:after="0" w:line="240" w:lineRule="auto"/>
              <w:rPr>
                <w:lang w:val="uk-UA"/>
              </w:rPr>
            </w:pPr>
            <w:r w:rsidRPr="00C22C49">
              <w:rPr>
                <w:lang w:val="uk-UA"/>
              </w:rPr>
              <w:t>інші установки для видалення (крім спалювання) відходів</w:t>
            </w:r>
          </w:p>
        </w:tc>
        <w:tc>
          <w:tcPr>
            <w:tcW w:w="2060" w:type="dxa"/>
            <w:hideMark/>
          </w:tcPr>
          <w:p w14:paraId="0896B936" w14:textId="77777777" w:rsidR="00121170" w:rsidRPr="00C22C49" w:rsidRDefault="00121170" w:rsidP="004B0018">
            <w:pPr>
              <w:pStyle w:val="Table"/>
              <w:spacing w:before="0" w:after="0" w:line="240" w:lineRule="auto"/>
              <w:rPr>
                <w:lang w:val="uk-UA"/>
              </w:rPr>
            </w:pPr>
            <w:r w:rsidRPr="00C22C49">
              <w:rPr>
                <w:lang w:val="uk-UA"/>
              </w:rPr>
              <w:t>27</w:t>
            </w:r>
          </w:p>
        </w:tc>
        <w:tc>
          <w:tcPr>
            <w:tcW w:w="2060" w:type="dxa"/>
          </w:tcPr>
          <w:p w14:paraId="0896B937" w14:textId="77777777" w:rsidR="00121170" w:rsidRPr="00C22C49" w:rsidRDefault="00121170" w:rsidP="004B0018">
            <w:pPr>
              <w:pStyle w:val="Table"/>
              <w:spacing w:before="0" w:after="0" w:line="240" w:lineRule="auto"/>
              <w:rPr>
                <w:lang w:val="uk-UA"/>
              </w:rPr>
            </w:pPr>
            <w:r w:rsidRPr="00C22C49">
              <w:rPr>
                <w:lang w:val="uk-UA"/>
              </w:rPr>
              <w:t>121,6</w:t>
            </w:r>
          </w:p>
        </w:tc>
      </w:tr>
    </w:tbl>
    <w:p w14:paraId="0896B93A" w14:textId="5910A067" w:rsidR="009A5F97" w:rsidRPr="00C22C49" w:rsidRDefault="00C71DFE" w:rsidP="00C71DFE">
      <w:pPr>
        <w:pStyle w:val="ad"/>
        <w:rPr>
          <w:lang w:val="uk-UA"/>
        </w:rPr>
      </w:pPr>
      <w:bookmarkStart w:id="20" w:name="_Toc142262254"/>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7</w:t>
      </w:r>
      <w:r w:rsidR="005E0A06" w:rsidRPr="00C22C49">
        <w:rPr>
          <w:lang w:val="uk-UA"/>
        </w:rPr>
        <w:fldChar w:fldCharType="end"/>
      </w:r>
      <w:r w:rsidRPr="00C22C49">
        <w:rPr>
          <w:lang w:val="uk-UA"/>
        </w:rPr>
        <w:t xml:space="preserve">. </w:t>
      </w:r>
      <w:r w:rsidR="009B12AE" w:rsidRPr="00C22C49">
        <w:rPr>
          <w:lang w:val="uk-UA"/>
        </w:rPr>
        <w:t>Спеціально відведені місця та об’єкти видалення відходів</w:t>
      </w:r>
      <w:bookmarkEnd w:id="20"/>
    </w:p>
    <w:tbl>
      <w:tblPr>
        <w:tblStyle w:val="afa"/>
        <w:tblW w:w="0" w:type="auto"/>
        <w:tblLook w:val="04A0" w:firstRow="1" w:lastRow="0" w:firstColumn="1" w:lastColumn="0" w:noHBand="0" w:noVBand="1"/>
      </w:tblPr>
      <w:tblGrid>
        <w:gridCol w:w="4077"/>
        <w:gridCol w:w="2891"/>
        <w:gridCol w:w="2891"/>
      </w:tblGrid>
      <w:tr w:rsidR="009B12AE" w:rsidRPr="00C22C49" w14:paraId="0896B93E" w14:textId="77777777" w:rsidTr="007869AB">
        <w:trPr>
          <w:trHeight w:val="227"/>
        </w:trPr>
        <w:tc>
          <w:tcPr>
            <w:tcW w:w="4077" w:type="dxa"/>
          </w:tcPr>
          <w:p w14:paraId="0896B93B" w14:textId="77777777" w:rsidR="009B12AE" w:rsidRPr="00C22C49" w:rsidRDefault="009B12AE" w:rsidP="007869AB">
            <w:pPr>
              <w:spacing w:before="0" w:after="0" w:line="240" w:lineRule="auto"/>
            </w:pPr>
          </w:p>
        </w:tc>
        <w:tc>
          <w:tcPr>
            <w:tcW w:w="2891" w:type="dxa"/>
            <w:vAlign w:val="center"/>
          </w:tcPr>
          <w:p w14:paraId="0896B93C" w14:textId="77777777" w:rsidR="009B12AE" w:rsidRPr="00C22C49" w:rsidRDefault="00C71DFE" w:rsidP="007869AB">
            <w:pPr>
              <w:spacing w:before="0" w:after="0" w:line="240" w:lineRule="auto"/>
              <w:jc w:val="center"/>
            </w:pPr>
            <w:r w:rsidRPr="00C22C49">
              <w:t>Кількість, одиниць</w:t>
            </w:r>
          </w:p>
        </w:tc>
        <w:tc>
          <w:tcPr>
            <w:tcW w:w="2891" w:type="dxa"/>
            <w:vAlign w:val="center"/>
          </w:tcPr>
          <w:p w14:paraId="0896B93D" w14:textId="77777777" w:rsidR="009B12AE" w:rsidRPr="00C22C49" w:rsidRDefault="00C71DFE" w:rsidP="007869AB">
            <w:pPr>
              <w:spacing w:before="0" w:after="0" w:line="240" w:lineRule="auto"/>
              <w:jc w:val="center"/>
            </w:pPr>
            <w:r w:rsidRPr="00C22C49">
              <w:t>Залишкова потужність, млн.м3</w:t>
            </w:r>
          </w:p>
        </w:tc>
      </w:tr>
      <w:tr w:rsidR="009B12AE" w:rsidRPr="00C22C49" w14:paraId="0896B942" w14:textId="77777777" w:rsidTr="007869AB">
        <w:trPr>
          <w:trHeight w:val="227"/>
        </w:trPr>
        <w:tc>
          <w:tcPr>
            <w:tcW w:w="4077" w:type="dxa"/>
          </w:tcPr>
          <w:p w14:paraId="0896B93F" w14:textId="77777777" w:rsidR="009B12AE" w:rsidRPr="00C22C49" w:rsidRDefault="009B12AE" w:rsidP="007869AB">
            <w:pPr>
              <w:spacing w:before="0" w:after="0" w:line="240" w:lineRule="auto"/>
            </w:pPr>
            <w:r w:rsidRPr="00C22C49">
              <w:t>Спеціально відведені місця та об’єкти видалення відходів, усього</w:t>
            </w:r>
          </w:p>
        </w:tc>
        <w:tc>
          <w:tcPr>
            <w:tcW w:w="2891" w:type="dxa"/>
            <w:vAlign w:val="center"/>
          </w:tcPr>
          <w:p w14:paraId="0896B940" w14:textId="77777777" w:rsidR="009B12AE" w:rsidRPr="00C22C49" w:rsidRDefault="009B12AE" w:rsidP="007869AB">
            <w:pPr>
              <w:spacing w:before="0" w:after="0" w:line="240" w:lineRule="auto"/>
              <w:jc w:val="center"/>
            </w:pPr>
            <w:r w:rsidRPr="00C22C49">
              <w:t>2244</w:t>
            </w:r>
          </w:p>
        </w:tc>
        <w:tc>
          <w:tcPr>
            <w:tcW w:w="2891" w:type="dxa"/>
            <w:vAlign w:val="center"/>
          </w:tcPr>
          <w:p w14:paraId="0896B941" w14:textId="77777777" w:rsidR="009B12AE" w:rsidRPr="00C22C49" w:rsidRDefault="009B12AE" w:rsidP="007869AB">
            <w:pPr>
              <w:spacing w:before="0" w:after="0" w:line="240" w:lineRule="auto"/>
              <w:jc w:val="center"/>
            </w:pPr>
            <w:r w:rsidRPr="00C22C49">
              <w:t>4062,6</w:t>
            </w:r>
          </w:p>
        </w:tc>
      </w:tr>
      <w:tr w:rsidR="009B12AE" w:rsidRPr="00C22C49" w14:paraId="0896B946" w14:textId="77777777" w:rsidTr="007869AB">
        <w:trPr>
          <w:trHeight w:val="227"/>
        </w:trPr>
        <w:tc>
          <w:tcPr>
            <w:tcW w:w="4077" w:type="dxa"/>
          </w:tcPr>
          <w:p w14:paraId="0896B943" w14:textId="77777777" w:rsidR="009B12AE" w:rsidRPr="00C22C49" w:rsidRDefault="009B12AE" w:rsidP="007869AB">
            <w:pPr>
              <w:spacing w:before="0" w:after="0" w:line="240" w:lineRule="auto"/>
            </w:pPr>
            <w:r w:rsidRPr="00C22C49">
              <w:t>у тому числі побутових відходів</w:t>
            </w:r>
          </w:p>
        </w:tc>
        <w:tc>
          <w:tcPr>
            <w:tcW w:w="2891" w:type="dxa"/>
            <w:vAlign w:val="center"/>
          </w:tcPr>
          <w:p w14:paraId="0896B944" w14:textId="77777777" w:rsidR="009B12AE" w:rsidRPr="00C22C49" w:rsidRDefault="009B12AE" w:rsidP="007869AB">
            <w:pPr>
              <w:spacing w:before="0" w:after="0" w:line="240" w:lineRule="auto"/>
              <w:jc w:val="center"/>
            </w:pPr>
            <w:r w:rsidRPr="00C22C49">
              <w:t>1255</w:t>
            </w:r>
          </w:p>
        </w:tc>
        <w:tc>
          <w:tcPr>
            <w:tcW w:w="2891" w:type="dxa"/>
            <w:vAlign w:val="center"/>
          </w:tcPr>
          <w:p w14:paraId="0896B945" w14:textId="77777777" w:rsidR="009B12AE" w:rsidRPr="00C22C49" w:rsidRDefault="009B12AE" w:rsidP="007869AB">
            <w:pPr>
              <w:spacing w:before="0" w:after="0" w:line="240" w:lineRule="auto"/>
              <w:jc w:val="center"/>
            </w:pPr>
            <w:r w:rsidRPr="00C22C49">
              <w:t>176,0</w:t>
            </w:r>
          </w:p>
        </w:tc>
      </w:tr>
    </w:tbl>
    <w:p w14:paraId="0896B948" w14:textId="77777777" w:rsidR="00014FC5" w:rsidRPr="00C22C49" w:rsidRDefault="00014FC5">
      <w:pPr>
        <w:tabs>
          <w:tab w:val="clear" w:pos="284"/>
          <w:tab w:val="clear" w:pos="1985"/>
        </w:tabs>
        <w:spacing w:before="0" w:after="0" w:line="240" w:lineRule="auto"/>
        <w:jc w:val="left"/>
        <w:rPr>
          <w:rFonts w:asciiTheme="minorHAnsi" w:hAnsiTheme="minorHAnsi" w:cstheme="minorHAnsi"/>
          <w:sz w:val="22"/>
          <w:szCs w:val="22"/>
        </w:rPr>
      </w:pPr>
      <w:r w:rsidRPr="00C22C49">
        <w:rPr>
          <w:rFonts w:asciiTheme="minorHAnsi" w:hAnsiTheme="minorHAnsi" w:cstheme="minorHAnsi"/>
          <w:sz w:val="22"/>
          <w:szCs w:val="22"/>
        </w:rPr>
        <w:br w:type="page"/>
      </w:r>
    </w:p>
    <w:p w14:paraId="0896B949" w14:textId="77777777" w:rsidR="008B1E83" w:rsidRPr="00C22C49" w:rsidRDefault="0047116B" w:rsidP="0047116B">
      <w:pPr>
        <w:pStyle w:val="20"/>
      </w:pPr>
      <w:bookmarkStart w:id="21" w:name="_Toc151583266"/>
      <w:r w:rsidRPr="00C22C49">
        <w:t>СТРАТЕГІЧНЕ ПЛАНУВАННЯ УПРАВЛІННЯ ВІДХОДАМИ</w:t>
      </w:r>
      <w:bookmarkEnd w:id="21"/>
    </w:p>
    <w:p w14:paraId="0896B94A" w14:textId="77777777" w:rsidR="00454864" w:rsidRPr="00C22C49" w:rsidRDefault="00767CAA" w:rsidP="00767CAA">
      <w:r w:rsidRPr="00C22C49">
        <w:t>Основними принципами державної політики у сфері запобігання утворенню та управління відходами є</w:t>
      </w:r>
      <w:r w:rsidR="00652829" w:rsidRPr="00C22C49">
        <w:t xml:space="preserve"> принципи</w:t>
      </w:r>
      <w:r w:rsidRPr="00C22C49">
        <w:t xml:space="preserve"> запобігання</w:t>
      </w:r>
      <w:r w:rsidR="00FF08E4" w:rsidRPr="00C22C49">
        <w:t>,</w:t>
      </w:r>
      <w:r w:rsidRPr="00C22C49">
        <w:t xml:space="preserve"> "забруднювач платить», територіальної наближеності</w:t>
      </w:r>
      <w:r w:rsidR="00652829" w:rsidRPr="00C22C49">
        <w:t xml:space="preserve"> та</w:t>
      </w:r>
      <w:r w:rsidRPr="00C22C49">
        <w:t xml:space="preserve"> формування конкурентного середовища у сфері управління.</w:t>
      </w:r>
      <w:r w:rsidR="007F4519" w:rsidRPr="00C22C49">
        <w:t xml:space="preserve"> </w:t>
      </w:r>
      <w:r w:rsidR="009077F5" w:rsidRPr="00C22C49">
        <w:t xml:space="preserve">Основні зусилля </w:t>
      </w:r>
      <w:r w:rsidR="005E6354" w:rsidRPr="00C22C49">
        <w:t>стратегічного планування будуть спрямовані на запобіганні утворенню відходів</w:t>
      </w:r>
      <w:r w:rsidR="005217F2" w:rsidRPr="00C22C49">
        <w:t xml:space="preserve"> </w:t>
      </w:r>
      <w:r w:rsidR="00463876" w:rsidRPr="00C22C49">
        <w:t xml:space="preserve">шляхом запровадження вимог до дизайну продукту, продовження життєвого циклу, </w:t>
      </w:r>
      <w:r w:rsidR="00454864" w:rsidRPr="00C22C49">
        <w:t>можливості ремонту.</w:t>
      </w:r>
    </w:p>
    <w:p w14:paraId="0896B94B" w14:textId="77777777" w:rsidR="00454864" w:rsidRPr="00C22C49" w:rsidRDefault="00454864" w:rsidP="00767CAA">
      <w:r w:rsidRPr="00C22C49">
        <w:t xml:space="preserve">Управління відходами здійснюватиметься </w:t>
      </w:r>
      <w:r w:rsidR="00773133" w:rsidRPr="00C22C49">
        <w:t>відповідно</w:t>
      </w:r>
      <w:r w:rsidRPr="00C22C49">
        <w:t xml:space="preserve"> до прийнятої ієрархії управління відходами</w:t>
      </w:r>
      <w:r w:rsidR="0069136A" w:rsidRPr="00C22C49">
        <w:t xml:space="preserve">, що передбачає в порядку </w:t>
      </w:r>
      <w:r w:rsidR="00773133" w:rsidRPr="00C22C49">
        <w:t>пріоритетності</w:t>
      </w:r>
      <w:r w:rsidRPr="00C22C49">
        <w:t>:</w:t>
      </w:r>
    </w:p>
    <w:p w14:paraId="0896B94C" w14:textId="77777777" w:rsidR="0069136A" w:rsidRPr="00C22C49" w:rsidRDefault="003B7DF6" w:rsidP="003D215F">
      <w:pPr>
        <w:pStyle w:val="a1"/>
        <w:numPr>
          <w:ilvl w:val="0"/>
          <w:numId w:val="16"/>
        </w:numPr>
        <w:rPr>
          <w:color w:val="auto"/>
        </w:rPr>
      </w:pPr>
      <w:r w:rsidRPr="00C22C49">
        <w:rPr>
          <w:color w:val="auto"/>
        </w:rPr>
        <w:t xml:space="preserve">Запобігання </w:t>
      </w:r>
      <w:r w:rsidR="0069136A" w:rsidRPr="00C22C49">
        <w:rPr>
          <w:color w:val="auto"/>
        </w:rPr>
        <w:t>утворенню відходів;</w:t>
      </w:r>
    </w:p>
    <w:p w14:paraId="0896B94D" w14:textId="77777777" w:rsidR="0069136A" w:rsidRPr="00C22C49" w:rsidRDefault="003B7DF6" w:rsidP="00773133">
      <w:pPr>
        <w:pStyle w:val="a1"/>
        <w:rPr>
          <w:color w:val="auto"/>
        </w:rPr>
      </w:pPr>
      <w:r w:rsidRPr="00C22C49">
        <w:rPr>
          <w:color w:val="auto"/>
        </w:rPr>
        <w:t xml:space="preserve">Підготовки </w:t>
      </w:r>
      <w:r w:rsidR="0069136A" w:rsidRPr="00C22C49">
        <w:rPr>
          <w:color w:val="auto"/>
        </w:rPr>
        <w:t>відходів до повторного використання;</w:t>
      </w:r>
    </w:p>
    <w:p w14:paraId="0896B94E" w14:textId="77777777" w:rsidR="0069136A" w:rsidRPr="00C22C49" w:rsidRDefault="003B7DF6" w:rsidP="00773133">
      <w:pPr>
        <w:pStyle w:val="a1"/>
        <w:rPr>
          <w:color w:val="auto"/>
        </w:rPr>
      </w:pPr>
      <w:r w:rsidRPr="00C22C49">
        <w:rPr>
          <w:color w:val="auto"/>
        </w:rPr>
        <w:t>Рециклінгу</w:t>
      </w:r>
      <w:r w:rsidR="0069136A" w:rsidRPr="00C22C49">
        <w:rPr>
          <w:color w:val="auto"/>
        </w:rPr>
        <w:t>;</w:t>
      </w:r>
    </w:p>
    <w:p w14:paraId="0896B94F" w14:textId="77777777" w:rsidR="0069136A" w:rsidRPr="00C22C49" w:rsidRDefault="003B7DF6" w:rsidP="00773133">
      <w:pPr>
        <w:pStyle w:val="a1"/>
        <w:rPr>
          <w:color w:val="auto"/>
        </w:rPr>
      </w:pPr>
      <w:r w:rsidRPr="00C22C49">
        <w:rPr>
          <w:color w:val="auto"/>
        </w:rPr>
        <w:t xml:space="preserve">Відновлення </w:t>
      </w:r>
      <w:r w:rsidR="0069136A" w:rsidRPr="00C22C49">
        <w:rPr>
          <w:color w:val="auto"/>
        </w:rPr>
        <w:t>відходів (у тому числі виробництва енергії);</w:t>
      </w:r>
    </w:p>
    <w:p w14:paraId="0896B950" w14:textId="77777777" w:rsidR="000C7E7E" w:rsidRPr="00C22C49" w:rsidRDefault="003B7DF6" w:rsidP="00773133">
      <w:pPr>
        <w:pStyle w:val="a1"/>
        <w:rPr>
          <w:color w:val="auto"/>
        </w:rPr>
      </w:pPr>
      <w:r w:rsidRPr="00C22C49">
        <w:rPr>
          <w:color w:val="auto"/>
        </w:rPr>
        <w:t xml:space="preserve">Видалення </w:t>
      </w:r>
      <w:r w:rsidR="0069136A" w:rsidRPr="00C22C49">
        <w:rPr>
          <w:color w:val="auto"/>
        </w:rPr>
        <w:t>відходів.</w:t>
      </w:r>
      <w:r w:rsidR="009077F5" w:rsidRPr="00C22C49">
        <w:rPr>
          <w:color w:val="auto"/>
        </w:rPr>
        <w:t xml:space="preserve"> </w:t>
      </w:r>
    </w:p>
    <w:p w14:paraId="0896B951" w14:textId="77777777" w:rsidR="00D9758F" w:rsidRPr="00C22C49" w:rsidRDefault="00D9758F" w:rsidP="00D9758F">
      <w:pPr>
        <w:pStyle w:val="a1"/>
        <w:numPr>
          <w:ilvl w:val="0"/>
          <w:numId w:val="0"/>
        </w:numPr>
        <w:ind w:left="644" w:hanging="360"/>
        <w:rPr>
          <w:color w:val="auto"/>
        </w:rPr>
      </w:pPr>
    </w:p>
    <w:p w14:paraId="0896B952" w14:textId="77777777" w:rsidR="008B1E83" w:rsidRPr="00C22C49" w:rsidRDefault="0047116B" w:rsidP="00DE7CA4">
      <w:pPr>
        <w:pStyle w:val="30"/>
      </w:pPr>
      <w:bookmarkStart w:id="22" w:name="_Toc151583267"/>
      <w:r w:rsidRPr="00C22C49">
        <w:t>П</w:t>
      </w:r>
      <w:r w:rsidR="008B1E83" w:rsidRPr="00C22C49">
        <w:t>рогнозні показники утворення відходів та очікуваного розвитку системи управління відходами</w:t>
      </w:r>
      <w:r w:rsidR="002F184C" w:rsidRPr="00C22C49">
        <w:t>.</w:t>
      </w:r>
      <w:bookmarkEnd w:id="22"/>
    </w:p>
    <w:p w14:paraId="0896B953" w14:textId="77777777" w:rsidR="00F34B5B" w:rsidRPr="00C22C49" w:rsidRDefault="00CE783A" w:rsidP="00F34B5B">
      <w:pPr>
        <w:rPr>
          <w:szCs w:val="24"/>
        </w:rPr>
      </w:pPr>
      <w:r w:rsidRPr="00C22C49">
        <w:t>Основою для складання прогнозів утворення відходів в Україні є чисельність населення та рівень розвитку виробничого потенціалу, транспортної та соціальної інфраструктури.</w:t>
      </w:r>
      <w:r w:rsidR="00F34B5B" w:rsidRPr="00C22C49">
        <w:t xml:space="preserve"> </w:t>
      </w:r>
      <w:r w:rsidR="00F34B5B" w:rsidRPr="00C22C49">
        <w:rPr>
          <w:szCs w:val="24"/>
        </w:rPr>
        <w:t>На основі даних Держстату України</w:t>
      </w:r>
      <w:r w:rsidR="00333AD9" w:rsidRPr="00C22C49">
        <w:rPr>
          <w:szCs w:val="24"/>
        </w:rPr>
        <w:t>,</w:t>
      </w:r>
      <w:r w:rsidR="00F34B5B" w:rsidRPr="00C22C49">
        <w:rPr>
          <w:szCs w:val="24"/>
        </w:rPr>
        <w:t xml:space="preserve"> Інституту демографії та соціальних досліджень НАН України,  UNHCR, інформації Управління верховного комісара ООН у справах біженців </w:t>
      </w:r>
      <w:r w:rsidR="007E0A67" w:rsidRPr="00C22C49">
        <w:rPr>
          <w:szCs w:val="24"/>
        </w:rPr>
        <w:t>з врахуванням тенденцій, факторів і прогнозів</w:t>
      </w:r>
      <w:r w:rsidR="00781FDB" w:rsidRPr="00C22C49">
        <w:rPr>
          <w:szCs w:val="24"/>
        </w:rPr>
        <w:t xml:space="preserve"> (Додаток</w:t>
      </w:r>
      <w:r w:rsidR="00054404" w:rsidRPr="00C22C49">
        <w:rPr>
          <w:szCs w:val="24"/>
        </w:rPr>
        <w:t>_ Прогноз УВ</w:t>
      </w:r>
      <w:r w:rsidR="00781FDB" w:rsidRPr="00C22C49">
        <w:rPr>
          <w:szCs w:val="24"/>
        </w:rPr>
        <w:t>)</w:t>
      </w:r>
      <w:r w:rsidR="007E0A67" w:rsidRPr="00C22C49">
        <w:rPr>
          <w:szCs w:val="24"/>
        </w:rPr>
        <w:t xml:space="preserve"> розроблено два варіанти - оптимістичний та песимістичний прогнози чисельності населення України в 2023-2035 рр</w:t>
      </w:r>
      <w:r w:rsidR="00F34B5B" w:rsidRPr="00C22C49">
        <w:rPr>
          <w:szCs w:val="24"/>
        </w:rPr>
        <w:t>.</w:t>
      </w:r>
      <w:r w:rsidR="00781FDB" w:rsidRPr="00C22C49">
        <w:rPr>
          <w:szCs w:val="24"/>
        </w:rPr>
        <w:t>:</w:t>
      </w:r>
      <w:r w:rsidR="00F41B34" w:rsidRPr="00C22C49">
        <w:rPr>
          <w:szCs w:val="24"/>
        </w:rPr>
        <w:t xml:space="preserve"> </w:t>
      </w:r>
    </w:p>
    <w:p w14:paraId="0896B954" w14:textId="77777777" w:rsidR="008B1E83" w:rsidRPr="00C22C49" w:rsidRDefault="00F41B34" w:rsidP="00781FDB">
      <w:pPr>
        <w:pStyle w:val="BulletRED"/>
      </w:pPr>
      <w:r w:rsidRPr="00C22C49">
        <w:t>В оптимістичному варіанті зберігаються існуючі в останній роки тенденції зміни чисельності населення під впливом демографічних та міграційних процесів.  Передбачається повернення на Батьківщину в 2023-2026 рр.  50% біженців, основну частину яких складають жінки фертильного віку та діти. На початок 2035 р. загальна чисельність населення України становитиме 30 763,7 млн. осіб - 74,7% від довоєнного рівня 2022 р.</w:t>
      </w:r>
    </w:p>
    <w:p w14:paraId="0896B955" w14:textId="77777777" w:rsidR="00F41B34" w:rsidRPr="00C22C49" w:rsidRDefault="00781FDB" w:rsidP="00781FDB">
      <w:pPr>
        <w:pStyle w:val="BulletRED"/>
      </w:pPr>
      <w:r w:rsidRPr="00C22C49">
        <w:t>Песимістичний варіант передбачає зменшення природного приросту населення та зростання міграційних процесів при варіанті повернення 25% біженців в 2023-2026 рр., що дещо покращить демографічну ситуацію в регіонах. На кінець прогнозованого періоду чисельність населення України становитиме 25 173,9 млн. осіб - 61,2% довоєнного рівня 2022</w:t>
      </w:r>
      <w:r w:rsidR="00254EA2" w:rsidRPr="00C22C49">
        <w:t>р.</w:t>
      </w:r>
    </w:p>
    <w:p w14:paraId="0896B956" w14:textId="77777777" w:rsidR="00B26A5C" w:rsidRPr="00C22C49" w:rsidRDefault="00B26A5C" w:rsidP="00254EA2">
      <w:pPr>
        <w:pStyle w:val="BulletRED"/>
        <w:numPr>
          <w:ilvl w:val="0"/>
          <w:numId w:val="0"/>
        </w:numPr>
        <w:ind w:left="927" w:hanging="360"/>
      </w:pPr>
    </w:p>
    <w:p w14:paraId="0896B957" w14:textId="3C766276" w:rsidR="00254EA2" w:rsidRPr="00C22C49" w:rsidRDefault="00BE48A4" w:rsidP="00BE48A4">
      <w:pPr>
        <w:pStyle w:val="ad"/>
        <w:rPr>
          <w:lang w:val="uk-UA"/>
        </w:rPr>
      </w:pPr>
      <w:bookmarkStart w:id="23" w:name="_Toc142262255"/>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8</w:t>
      </w:r>
      <w:r w:rsidR="005E0A06" w:rsidRPr="00C22C49">
        <w:rPr>
          <w:lang w:val="uk-UA"/>
        </w:rPr>
        <w:fldChar w:fldCharType="end"/>
      </w:r>
      <w:r w:rsidRPr="00C22C49">
        <w:rPr>
          <w:lang w:val="uk-UA"/>
        </w:rPr>
        <w:t xml:space="preserve">. </w:t>
      </w:r>
      <w:r w:rsidR="00B26A5C" w:rsidRPr="00C22C49">
        <w:rPr>
          <w:lang w:val="uk-UA"/>
        </w:rPr>
        <w:t>П</w:t>
      </w:r>
      <w:r w:rsidR="00BD5EE1" w:rsidRPr="00C22C49">
        <w:rPr>
          <w:lang w:val="uk-UA"/>
        </w:rPr>
        <w:t>рогноз чисельності населення до 2035 року</w:t>
      </w:r>
      <w:bookmarkEnd w:id="23"/>
    </w:p>
    <w:tbl>
      <w:tblPr>
        <w:tblW w:w="9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1"/>
        <w:gridCol w:w="624"/>
        <w:gridCol w:w="624"/>
        <w:gridCol w:w="624"/>
        <w:gridCol w:w="624"/>
        <w:gridCol w:w="624"/>
        <w:gridCol w:w="624"/>
        <w:gridCol w:w="624"/>
        <w:gridCol w:w="624"/>
        <w:gridCol w:w="624"/>
        <w:gridCol w:w="624"/>
        <w:gridCol w:w="624"/>
        <w:gridCol w:w="624"/>
        <w:gridCol w:w="642"/>
      </w:tblGrid>
      <w:tr w:rsidR="00BD19BF" w:rsidRPr="00C22C49" w14:paraId="0896B966" w14:textId="77777777" w:rsidTr="004045B6">
        <w:trPr>
          <w:trHeight w:val="20"/>
          <w:jc w:val="center"/>
        </w:trPr>
        <w:tc>
          <w:tcPr>
            <w:tcW w:w="1421" w:type="dxa"/>
            <w:shd w:val="clear" w:color="000000" w:fill="FFFFFF"/>
            <w:noWrap/>
            <w:vAlign w:val="center"/>
            <w:hideMark/>
          </w:tcPr>
          <w:p w14:paraId="0896B958" w14:textId="77777777" w:rsidR="00B26A5C" w:rsidRPr="00C22C49" w:rsidRDefault="00B26A5C" w:rsidP="004045B6">
            <w:pPr>
              <w:pStyle w:val="Table"/>
              <w:spacing w:before="0" w:after="0"/>
              <w:rPr>
                <w:sz w:val="20"/>
                <w:szCs w:val="20"/>
                <w:lang w:val="uk-UA" w:eastAsia="uk-UA"/>
              </w:rPr>
            </w:pPr>
            <w:r w:rsidRPr="00C22C49">
              <w:rPr>
                <w:sz w:val="20"/>
                <w:szCs w:val="20"/>
                <w:lang w:val="uk-UA" w:eastAsia="uk-UA"/>
              </w:rPr>
              <w:t>Рік</w:t>
            </w:r>
          </w:p>
        </w:tc>
        <w:tc>
          <w:tcPr>
            <w:tcW w:w="624" w:type="dxa"/>
            <w:shd w:val="clear" w:color="000000" w:fill="FFFFFF"/>
            <w:vAlign w:val="center"/>
            <w:hideMark/>
          </w:tcPr>
          <w:p w14:paraId="0896B959"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2023</w:t>
            </w:r>
          </w:p>
        </w:tc>
        <w:tc>
          <w:tcPr>
            <w:tcW w:w="624" w:type="dxa"/>
            <w:shd w:val="clear" w:color="000000" w:fill="FFFFFF"/>
            <w:noWrap/>
            <w:vAlign w:val="center"/>
            <w:hideMark/>
          </w:tcPr>
          <w:p w14:paraId="0896B95A"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2024</w:t>
            </w:r>
          </w:p>
        </w:tc>
        <w:tc>
          <w:tcPr>
            <w:tcW w:w="624" w:type="dxa"/>
            <w:shd w:val="clear" w:color="000000" w:fill="FFFFFF"/>
            <w:noWrap/>
            <w:vAlign w:val="center"/>
            <w:hideMark/>
          </w:tcPr>
          <w:p w14:paraId="0896B95B"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2025</w:t>
            </w:r>
          </w:p>
        </w:tc>
        <w:tc>
          <w:tcPr>
            <w:tcW w:w="624" w:type="dxa"/>
            <w:shd w:val="clear" w:color="000000" w:fill="FFFFFF"/>
            <w:noWrap/>
            <w:vAlign w:val="center"/>
            <w:hideMark/>
          </w:tcPr>
          <w:p w14:paraId="0896B95C"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2026</w:t>
            </w:r>
          </w:p>
        </w:tc>
        <w:tc>
          <w:tcPr>
            <w:tcW w:w="624" w:type="dxa"/>
            <w:shd w:val="clear" w:color="000000" w:fill="FFFFFF"/>
            <w:noWrap/>
            <w:vAlign w:val="center"/>
            <w:hideMark/>
          </w:tcPr>
          <w:p w14:paraId="0896B95D"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2027</w:t>
            </w:r>
          </w:p>
        </w:tc>
        <w:tc>
          <w:tcPr>
            <w:tcW w:w="624" w:type="dxa"/>
            <w:shd w:val="clear" w:color="000000" w:fill="FFFFFF"/>
            <w:noWrap/>
            <w:vAlign w:val="center"/>
            <w:hideMark/>
          </w:tcPr>
          <w:p w14:paraId="0896B95E"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2028</w:t>
            </w:r>
          </w:p>
        </w:tc>
        <w:tc>
          <w:tcPr>
            <w:tcW w:w="624" w:type="dxa"/>
            <w:shd w:val="clear" w:color="000000" w:fill="FFFFFF"/>
            <w:noWrap/>
            <w:vAlign w:val="center"/>
            <w:hideMark/>
          </w:tcPr>
          <w:p w14:paraId="0896B95F"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2029</w:t>
            </w:r>
          </w:p>
        </w:tc>
        <w:tc>
          <w:tcPr>
            <w:tcW w:w="624" w:type="dxa"/>
            <w:shd w:val="clear" w:color="000000" w:fill="FFFFFF"/>
            <w:noWrap/>
            <w:vAlign w:val="center"/>
            <w:hideMark/>
          </w:tcPr>
          <w:p w14:paraId="0896B960"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2030</w:t>
            </w:r>
          </w:p>
        </w:tc>
        <w:tc>
          <w:tcPr>
            <w:tcW w:w="624" w:type="dxa"/>
            <w:shd w:val="clear" w:color="000000" w:fill="FFFFFF"/>
            <w:noWrap/>
            <w:vAlign w:val="center"/>
            <w:hideMark/>
          </w:tcPr>
          <w:p w14:paraId="0896B961"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2031</w:t>
            </w:r>
          </w:p>
        </w:tc>
        <w:tc>
          <w:tcPr>
            <w:tcW w:w="624" w:type="dxa"/>
            <w:shd w:val="clear" w:color="000000" w:fill="FFFFFF"/>
            <w:noWrap/>
            <w:vAlign w:val="center"/>
            <w:hideMark/>
          </w:tcPr>
          <w:p w14:paraId="0896B962"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2032</w:t>
            </w:r>
          </w:p>
        </w:tc>
        <w:tc>
          <w:tcPr>
            <w:tcW w:w="624" w:type="dxa"/>
            <w:shd w:val="clear" w:color="000000" w:fill="FFFFFF"/>
            <w:noWrap/>
            <w:vAlign w:val="center"/>
            <w:hideMark/>
          </w:tcPr>
          <w:p w14:paraId="0896B963"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2033</w:t>
            </w:r>
          </w:p>
        </w:tc>
        <w:tc>
          <w:tcPr>
            <w:tcW w:w="624" w:type="dxa"/>
            <w:shd w:val="clear" w:color="000000" w:fill="FFFFFF"/>
            <w:noWrap/>
            <w:vAlign w:val="center"/>
            <w:hideMark/>
          </w:tcPr>
          <w:p w14:paraId="0896B964"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2034</w:t>
            </w:r>
          </w:p>
        </w:tc>
        <w:tc>
          <w:tcPr>
            <w:tcW w:w="634" w:type="dxa"/>
            <w:shd w:val="clear" w:color="000000" w:fill="FFFFFF"/>
            <w:noWrap/>
            <w:vAlign w:val="center"/>
            <w:hideMark/>
          </w:tcPr>
          <w:p w14:paraId="0896B965" w14:textId="77777777" w:rsidR="00B26A5C" w:rsidRPr="00C22C49" w:rsidRDefault="00B26A5C" w:rsidP="004045B6">
            <w:pPr>
              <w:pStyle w:val="Table"/>
              <w:spacing w:before="0" w:after="0"/>
              <w:rPr>
                <w:b/>
                <w:bCs/>
                <w:sz w:val="20"/>
                <w:szCs w:val="20"/>
                <w:lang w:val="uk-UA" w:eastAsia="uk-UA"/>
              </w:rPr>
            </w:pPr>
            <w:r w:rsidRPr="00C22C49">
              <w:rPr>
                <w:b/>
                <w:bCs/>
                <w:sz w:val="20"/>
                <w:szCs w:val="20"/>
                <w:lang w:val="uk-UA" w:eastAsia="uk-UA"/>
              </w:rPr>
              <w:t>2035</w:t>
            </w:r>
          </w:p>
        </w:tc>
      </w:tr>
      <w:tr w:rsidR="00BE48A4" w:rsidRPr="00C22C49" w14:paraId="0896B968" w14:textId="77777777" w:rsidTr="004045B6">
        <w:trPr>
          <w:trHeight w:val="20"/>
          <w:jc w:val="center"/>
        </w:trPr>
        <w:tc>
          <w:tcPr>
            <w:tcW w:w="9551" w:type="dxa"/>
            <w:gridSpan w:val="14"/>
            <w:shd w:val="clear" w:color="000000" w:fill="FFFFFF"/>
            <w:noWrap/>
            <w:vAlign w:val="center"/>
          </w:tcPr>
          <w:p w14:paraId="0896B967" w14:textId="77777777" w:rsidR="00BE48A4" w:rsidRPr="00C22C49" w:rsidRDefault="00BE48A4" w:rsidP="004045B6">
            <w:pPr>
              <w:pStyle w:val="Table"/>
              <w:spacing w:before="0" w:after="0"/>
              <w:rPr>
                <w:b/>
                <w:bCs/>
                <w:color w:val="000000" w:themeColor="text1"/>
                <w:sz w:val="20"/>
                <w:szCs w:val="20"/>
                <w:lang w:val="uk-UA" w:eastAsia="uk-UA"/>
              </w:rPr>
            </w:pPr>
            <w:r w:rsidRPr="00C22C49">
              <w:rPr>
                <w:color w:val="000000" w:themeColor="text1"/>
                <w:sz w:val="20"/>
                <w:szCs w:val="20"/>
                <w:lang w:val="uk-UA" w:eastAsia="uk-UA"/>
              </w:rPr>
              <w:t>Оптимістичний прогноз</w:t>
            </w:r>
          </w:p>
        </w:tc>
      </w:tr>
      <w:tr w:rsidR="00BD19BF" w:rsidRPr="00C22C49" w14:paraId="0896B977" w14:textId="77777777" w:rsidTr="004045B6">
        <w:trPr>
          <w:trHeight w:val="20"/>
          <w:jc w:val="center"/>
        </w:trPr>
        <w:tc>
          <w:tcPr>
            <w:tcW w:w="1421" w:type="dxa"/>
            <w:shd w:val="clear" w:color="000000" w:fill="FFFFFF"/>
            <w:vAlign w:val="center"/>
            <w:hideMark/>
          </w:tcPr>
          <w:p w14:paraId="0896B969" w14:textId="77777777" w:rsidR="00B26A5C" w:rsidRPr="00C22C49" w:rsidRDefault="00B26A5C" w:rsidP="004045B6">
            <w:pPr>
              <w:pStyle w:val="Table"/>
              <w:spacing w:before="0" w:after="0"/>
              <w:rPr>
                <w:sz w:val="20"/>
                <w:szCs w:val="20"/>
                <w:lang w:val="uk-UA" w:eastAsia="uk-UA"/>
              </w:rPr>
            </w:pPr>
            <w:r w:rsidRPr="00C22C49">
              <w:rPr>
                <w:sz w:val="20"/>
                <w:szCs w:val="20"/>
                <w:lang w:val="uk-UA" w:eastAsia="uk-UA"/>
              </w:rPr>
              <w:t>Чисельність, млн. осіб</w:t>
            </w:r>
          </w:p>
        </w:tc>
        <w:tc>
          <w:tcPr>
            <w:tcW w:w="624" w:type="dxa"/>
            <w:shd w:val="clear" w:color="000000" w:fill="FFFFFF"/>
            <w:vAlign w:val="center"/>
            <w:hideMark/>
          </w:tcPr>
          <w:p w14:paraId="0896B96A"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34,43</w:t>
            </w:r>
          </w:p>
        </w:tc>
        <w:tc>
          <w:tcPr>
            <w:tcW w:w="624" w:type="dxa"/>
            <w:shd w:val="clear" w:color="000000" w:fill="FFFFFF"/>
            <w:noWrap/>
            <w:vAlign w:val="center"/>
            <w:hideMark/>
          </w:tcPr>
          <w:p w14:paraId="0896B96B" w14:textId="77777777" w:rsidR="00B26A5C" w:rsidRPr="00C22C49" w:rsidRDefault="00B26A5C" w:rsidP="004045B6">
            <w:pPr>
              <w:pStyle w:val="Table"/>
              <w:spacing w:before="0" w:after="0"/>
              <w:rPr>
                <w:color w:val="000000" w:themeColor="text1"/>
                <w:sz w:val="18"/>
                <w:szCs w:val="18"/>
                <w:lang w:val="uk-UA" w:eastAsia="uk-UA"/>
              </w:rPr>
            </w:pPr>
            <w:r w:rsidRPr="00C22C49">
              <w:rPr>
                <w:color w:val="000000" w:themeColor="text1"/>
                <w:sz w:val="18"/>
                <w:szCs w:val="18"/>
                <w:lang w:val="uk-UA" w:eastAsia="uk-UA"/>
              </w:rPr>
              <w:t>34,76</w:t>
            </w:r>
          </w:p>
        </w:tc>
        <w:tc>
          <w:tcPr>
            <w:tcW w:w="624" w:type="dxa"/>
            <w:shd w:val="clear" w:color="000000" w:fill="FFFFFF"/>
            <w:noWrap/>
            <w:vAlign w:val="center"/>
            <w:hideMark/>
          </w:tcPr>
          <w:p w14:paraId="0896B96C"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35,27</w:t>
            </w:r>
          </w:p>
        </w:tc>
        <w:tc>
          <w:tcPr>
            <w:tcW w:w="624" w:type="dxa"/>
            <w:shd w:val="clear" w:color="000000" w:fill="FFFFFF"/>
            <w:noWrap/>
            <w:vAlign w:val="center"/>
            <w:hideMark/>
          </w:tcPr>
          <w:p w14:paraId="0896B96D"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35,57</w:t>
            </w:r>
          </w:p>
        </w:tc>
        <w:tc>
          <w:tcPr>
            <w:tcW w:w="624" w:type="dxa"/>
            <w:shd w:val="clear" w:color="000000" w:fill="FFFFFF"/>
            <w:noWrap/>
            <w:vAlign w:val="center"/>
            <w:hideMark/>
          </w:tcPr>
          <w:p w14:paraId="0896B96E"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35,00</w:t>
            </w:r>
          </w:p>
        </w:tc>
        <w:tc>
          <w:tcPr>
            <w:tcW w:w="624" w:type="dxa"/>
            <w:shd w:val="clear" w:color="000000" w:fill="FFFFFF"/>
            <w:noWrap/>
            <w:vAlign w:val="center"/>
            <w:hideMark/>
          </w:tcPr>
          <w:p w14:paraId="0896B96F"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34,44</w:t>
            </w:r>
          </w:p>
        </w:tc>
        <w:tc>
          <w:tcPr>
            <w:tcW w:w="624" w:type="dxa"/>
            <w:shd w:val="clear" w:color="000000" w:fill="FFFFFF"/>
            <w:noWrap/>
            <w:vAlign w:val="center"/>
            <w:hideMark/>
          </w:tcPr>
          <w:p w14:paraId="0896B970"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33,89</w:t>
            </w:r>
          </w:p>
        </w:tc>
        <w:tc>
          <w:tcPr>
            <w:tcW w:w="624" w:type="dxa"/>
            <w:shd w:val="clear" w:color="000000" w:fill="FFFFFF"/>
            <w:noWrap/>
            <w:vAlign w:val="center"/>
            <w:hideMark/>
          </w:tcPr>
          <w:p w14:paraId="0896B971"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33,35</w:t>
            </w:r>
          </w:p>
        </w:tc>
        <w:tc>
          <w:tcPr>
            <w:tcW w:w="624" w:type="dxa"/>
            <w:shd w:val="clear" w:color="000000" w:fill="FFFFFF"/>
            <w:noWrap/>
            <w:vAlign w:val="center"/>
            <w:hideMark/>
          </w:tcPr>
          <w:p w14:paraId="0896B972"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32,81</w:t>
            </w:r>
          </w:p>
        </w:tc>
        <w:tc>
          <w:tcPr>
            <w:tcW w:w="624" w:type="dxa"/>
            <w:shd w:val="clear" w:color="000000" w:fill="FFFFFF"/>
            <w:noWrap/>
            <w:vAlign w:val="center"/>
            <w:hideMark/>
          </w:tcPr>
          <w:p w14:paraId="0896B973"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32,29</w:t>
            </w:r>
          </w:p>
        </w:tc>
        <w:tc>
          <w:tcPr>
            <w:tcW w:w="624" w:type="dxa"/>
            <w:shd w:val="clear" w:color="000000" w:fill="FFFFFF"/>
            <w:noWrap/>
            <w:vAlign w:val="center"/>
            <w:hideMark/>
          </w:tcPr>
          <w:p w14:paraId="0896B974"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31,77</w:t>
            </w:r>
          </w:p>
        </w:tc>
        <w:tc>
          <w:tcPr>
            <w:tcW w:w="624" w:type="dxa"/>
            <w:shd w:val="clear" w:color="000000" w:fill="FFFFFF"/>
            <w:noWrap/>
            <w:vAlign w:val="center"/>
            <w:hideMark/>
          </w:tcPr>
          <w:p w14:paraId="0896B975"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31,26</w:t>
            </w:r>
          </w:p>
        </w:tc>
        <w:tc>
          <w:tcPr>
            <w:tcW w:w="634" w:type="dxa"/>
            <w:shd w:val="clear" w:color="000000" w:fill="FFFFFF"/>
            <w:noWrap/>
            <w:vAlign w:val="center"/>
            <w:hideMark/>
          </w:tcPr>
          <w:p w14:paraId="0896B976"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30,76</w:t>
            </w:r>
          </w:p>
        </w:tc>
      </w:tr>
      <w:tr w:rsidR="00BD19BF" w:rsidRPr="00C22C49" w14:paraId="0896B986" w14:textId="77777777" w:rsidTr="004045B6">
        <w:trPr>
          <w:trHeight w:val="20"/>
          <w:jc w:val="center"/>
        </w:trPr>
        <w:tc>
          <w:tcPr>
            <w:tcW w:w="1421" w:type="dxa"/>
            <w:shd w:val="clear" w:color="000000" w:fill="FFFFFF"/>
            <w:vAlign w:val="center"/>
            <w:hideMark/>
          </w:tcPr>
          <w:p w14:paraId="0896B978" w14:textId="77777777" w:rsidR="00B26A5C" w:rsidRPr="00C22C49" w:rsidRDefault="00B26A5C" w:rsidP="004045B6">
            <w:pPr>
              <w:pStyle w:val="Table"/>
              <w:spacing w:before="0" w:after="0"/>
              <w:rPr>
                <w:sz w:val="20"/>
                <w:szCs w:val="20"/>
                <w:lang w:val="uk-UA" w:eastAsia="uk-UA"/>
              </w:rPr>
            </w:pPr>
            <w:r w:rsidRPr="00C22C49">
              <w:rPr>
                <w:sz w:val="20"/>
                <w:szCs w:val="20"/>
                <w:lang w:val="uk-UA" w:eastAsia="uk-UA"/>
              </w:rPr>
              <w:t>Сальдо, млн. осіб</w:t>
            </w:r>
          </w:p>
        </w:tc>
        <w:tc>
          <w:tcPr>
            <w:tcW w:w="624" w:type="dxa"/>
            <w:shd w:val="clear" w:color="000000" w:fill="FFFFFF"/>
            <w:vAlign w:val="center"/>
            <w:hideMark/>
          </w:tcPr>
          <w:p w14:paraId="0896B979"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-6,74</w:t>
            </w:r>
          </w:p>
        </w:tc>
        <w:tc>
          <w:tcPr>
            <w:tcW w:w="624" w:type="dxa"/>
            <w:shd w:val="clear" w:color="000000" w:fill="FFFFFF"/>
            <w:noWrap/>
            <w:vAlign w:val="center"/>
            <w:hideMark/>
          </w:tcPr>
          <w:p w14:paraId="0896B97A"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0,33</w:t>
            </w:r>
          </w:p>
        </w:tc>
        <w:tc>
          <w:tcPr>
            <w:tcW w:w="624" w:type="dxa"/>
            <w:shd w:val="clear" w:color="000000" w:fill="FFFFFF"/>
            <w:noWrap/>
            <w:vAlign w:val="center"/>
            <w:hideMark/>
          </w:tcPr>
          <w:p w14:paraId="0896B97B"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0,51</w:t>
            </w:r>
          </w:p>
        </w:tc>
        <w:tc>
          <w:tcPr>
            <w:tcW w:w="624" w:type="dxa"/>
            <w:shd w:val="clear" w:color="000000" w:fill="FFFFFF"/>
            <w:noWrap/>
            <w:vAlign w:val="center"/>
            <w:hideMark/>
          </w:tcPr>
          <w:p w14:paraId="0896B97C"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0,30</w:t>
            </w:r>
          </w:p>
        </w:tc>
        <w:tc>
          <w:tcPr>
            <w:tcW w:w="624" w:type="dxa"/>
            <w:shd w:val="clear" w:color="000000" w:fill="FFFFFF"/>
            <w:noWrap/>
            <w:vAlign w:val="center"/>
            <w:hideMark/>
          </w:tcPr>
          <w:p w14:paraId="0896B97D"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-0,57</w:t>
            </w:r>
          </w:p>
        </w:tc>
        <w:tc>
          <w:tcPr>
            <w:tcW w:w="624" w:type="dxa"/>
            <w:shd w:val="clear" w:color="000000" w:fill="FFFFFF"/>
            <w:noWrap/>
            <w:vAlign w:val="center"/>
            <w:hideMark/>
          </w:tcPr>
          <w:p w14:paraId="0896B97E"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-0,56</w:t>
            </w:r>
          </w:p>
        </w:tc>
        <w:tc>
          <w:tcPr>
            <w:tcW w:w="624" w:type="dxa"/>
            <w:shd w:val="clear" w:color="000000" w:fill="FFFFFF"/>
            <w:noWrap/>
            <w:vAlign w:val="center"/>
            <w:hideMark/>
          </w:tcPr>
          <w:p w14:paraId="0896B97F"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-0,55</w:t>
            </w:r>
          </w:p>
        </w:tc>
        <w:tc>
          <w:tcPr>
            <w:tcW w:w="624" w:type="dxa"/>
            <w:shd w:val="clear" w:color="000000" w:fill="FFFFFF"/>
            <w:noWrap/>
            <w:vAlign w:val="center"/>
            <w:hideMark/>
          </w:tcPr>
          <w:p w14:paraId="0896B980"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-0,54</w:t>
            </w:r>
          </w:p>
        </w:tc>
        <w:tc>
          <w:tcPr>
            <w:tcW w:w="624" w:type="dxa"/>
            <w:shd w:val="clear" w:color="000000" w:fill="FFFFFF"/>
            <w:noWrap/>
            <w:vAlign w:val="center"/>
            <w:hideMark/>
          </w:tcPr>
          <w:p w14:paraId="0896B981"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-0,53</w:t>
            </w:r>
          </w:p>
        </w:tc>
        <w:tc>
          <w:tcPr>
            <w:tcW w:w="624" w:type="dxa"/>
            <w:shd w:val="clear" w:color="000000" w:fill="FFFFFF"/>
            <w:noWrap/>
            <w:vAlign w:val="center"/>
            <w:hideMark/>
          </w:tcPr>
          <w:p w14:paraId="0896B982"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-0,53</w:t>
            </w:r>
          </w:p>
        </w:tc>
        <w:tc>
          <w:tcPr>
            <w:tcW w:w="624" w:type="dxa"/>
            <w:shd w:val="clear" w:color="000000" w:fill="FFFFFF"/>
            <w:noWrap/>
            <w:vAlign w:val="center"/>
            <w:hideMark/>
          </w:tcPr>
          <w:p w14:paraId="0896B983"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-0,52</w:t>
            </w:r>
          </w:p>
        </w:tc>
        <w:tc>
          <w:tcPr>
            <w:tcW w:w="624" w:type="dxa"/>
            <w:shd w:val="clear" w:color="000000" w:fill="FFFFFF"/>
            <w:noWrap/>
            <w:vAlign w:val="center"/>
            <w:hideMark/>
          </w:tcPr>
          <w:p w14:paraId="0896B984"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-0,51</w:t>
            </w:r>
          </w:p>
        </w:tc>
        <w:tc>
          <w:tcPr>
            <w:tcW w:w="634" w:type="dxa"/>
            <w:shd w:val="clear" w:color="000000" w:fill="FFFFFF"/>
            <w:noWrap/>
            <w:vAlign w:val="center"/>
            <w:hideMark/>
          </w:tcPr>
          <w:p w14:paraId="0896B985"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-0,50</w:t>
            </w:r>
          </w:p>
        </w:tc>
      </w:tr>
      <w:tr w:rsidR="00BD19BF" w:rsidRPr="00C22C49" w14:paraId="0896B995" w14:textId="77777777" w:rsidTr="004045B6">
        <w:trPr>
          <w:trHeight w:val="20"/>
          <w:jc w:val="center"/>
        </w:trPr>
        <w:tc>
          <w:tcPr>
            <w:tcW w:w="1421" w:type="dxa"/>
            <w:shd w:val="clear" w:color="000000" w:fill="FFFFFF"/>
            <w:vAlign w:val="center"/>
            <w:hideMark/>
          </w:tcPr>
          <w:p w14:paraId="0896B987" w14:textId="77777777" w:rsidR="00B26A5C" w:rsidRPr="00C22C49" w:rsidRDefault="00B26A5C" w:rsidP="004045B6">
            <w:pPr>
              <w:pStyle w:val="Table"/>
              <w:spacing w:before="0" w:after="0"/>
              <w:rPr>
                <w:sz w:val="20"/>
                <w:szCs w:val="20"/>
                <w:lang w:val="uk-UA" w:eastAsia="uk-UA"/>
              </w:rPr>
            </w:pPr>
            <w:r w:rsidRPr="00C22C49">
              <w:rPr>
                <w:sz w:val="20"/>
                <w:szCs w:val="20"/>
                <w:lang w:val="uk-UA" w:eastAsia="uk-UA"/>
              </w:rPr>
              <w:t>Сальдо, в % до 2022 р.</w:t>
            </w:r>
          </w:p>
        </w:tc>
        <w:tc>
          <w:tcPr>
            <w:tcW w:w="624" w:type="dxa"/>
            <w:shd w:val="clear" w:color="000000" w:fill="FFFFFF"/>
            <w:vAlign w:val="center"/>
            <w:hideMark/>
          </w:tcPr>
          <w:p w14:paraId="0896B988"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83,6%</w:t>
            </w:r>
          </w:p>
        </w:tc>
        <w:tc>
          <w:tcPr>
            <w:tcW w:w="624" w:type="dxa"/>
            <w:shd w:val="clear" w:color="000000" w:fill="FFFFFF"/>
            <w:noWrap/>
            <w:vAlign w:val="center"/>
            <w:hideMark/>
          </w:tcPr>
          <w:p w14:paraId="0896B989"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84,4%</w:t>
            </w:r>
          </w:p>
        </w:tc>
        <w:tc>
          <w:tcPr>
            <w:tcW w:w="624" w:type="dxa"/>
            <w:shd w:val="clear" w:color="000000" w:fill="FFFFFF"/>
            <w:noWrap/>
            <w:vAlign w:val="center"/>
            <w:hideMark/>
          </w:tcPr>
          <w:p w14:paraId="0896B98A"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85,7%</w:t>
            </w:r>
          </w:p>
        </w:tc>
        <w:tc>
          <w:tcPr>
            <w:tcW w:w="624" w:type="dxa"/>
            <w:shd w:val="clear" w:color="000000" w:fill="FFFFFF"/>
            <w:noWrap/>
            <w:vAlign w:val="center"/>
            <w:hideMark/>
          </w:tcPr>
          <w:p w14:paraId="0896B98B"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86,4%</w:t>
            </w:r>
          </w:p>
        </w:tc>
        <w:tc>
          <w:tcPr>
            <w:tcW w:w="624" w:type="dxa"/>
            <w:shd w:val="clear" w:color="000000" w:fill="FFFFFF"/>
            <w:noWrap/>
            <w:vAlign w:val="center"/>
            <w:hideMark/>
          </w:tcPr>
          <w:p w14:paraId="0896B98C"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85,0%</w:t>
            </w:r>
          </w:p>
        </w:tc>
        <w:tc>
          <w:tcPr>
            <w:tcW w:w="624" w:type="dxa"/>
            <w:shd w:val="clear" w:color="000000" w:fill="FFFFFF"/>
            <w:noWrap/>
            <w:vAlign w:val="center"/>
            <w:hideMark/>
          </w:tcPr>
          <w:p w14:paraId="0896B98D"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83,7%</w:t>
            </w:r>
          </w:p>
        </w:tc>
        <w:tc>
          <w:tcPr>
            <w:tcW w:w="624" w:type="dxa"/>
            <w:shd w:val="clear" w:color="000000" w:fill="FFFFFF"/>
            <w:noWrap/>
            <w:vAlign w:val="center"/>
            <w:hideMark/>
          </w:tcPr>
          <w:p w14:paraId="0896B98E"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82,3%</w:t>
            </w:r>
          </w:p>
        </w:tc>
        <w:tc>
          <w:tcPr>
            <w:tcW w:w="624" w:type="dxa"/>
            <w:shd w:val="clear" w:color="000000" w:fill="FFFFFF"/>
            <w:noWrap/>
            <w:vAlign w:val="center"/>
            <w:hideMark/>
          </w:tcPr>
          <w:p w14:paraId="0896B98F"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81,0%</w:t>
            </w:r>
          </w:p>
        </w:tc>
        <w:tc>
          <w:tcPr>
            <w:tcW w:w="624" w:type="dxa"/>
            <w:shd w:val="clear" w:color="000000" w:fill="FFFFFF"/>
            <w:noWrap/>
            <w:vAlign w:val="center"/>
            <w:hideMark/>
          </w:tcPr>
          <w:p w14:paraId="0896B990"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79,7%</w:t>
            </w:r>
          </w:p>
        </w:tc>
        <w:tc>
          <w:tcPr>
            <w:tcW w:w="624" w:type="dxa"/>
            <w:shd w:val="clear" w:color="000000" w:fill="FFFFFF"/>
            <w:noWrap/>
            <w:vAlign w:val="center"/>
            <w:hideMark/>
          </w:tcPr>
          <w:p w14:paraId="0896B991"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78,4%</w:t>
            </w:r>
          </w:p>
        </w:tc>
        <w:tc>
          <w:tcPr>
            <w:tcW w:w="624" w:type="dxa"/>
            <w:shd w:val="clear" w:color="000000" w:fill="FFFFFF"/>
            <w:noWrap/>
            <w:vAlign w:val="center"/>
            <w:hideMark/>
          </w:tcPr>
          <w:p w14:paraId="0896B992"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77,2%</w:t>
            </w:r>
          </w:p>
        </w:tc>
        <w:tc>
          <w:tcPr>
            <w:tcW w:w="624" w:type="dxa"/>
            <w:shd w:val="clear" w:color="000000" w:fill="FFFFFF"/>
            <w:noWrap/>
            <w:vAlign w:val="center"/>
            <w:hideMark/>
          </w:tcPr>
          <w:p w14:paraId="0896B993"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75,9%</w:t>
            </w:r>
          </w:p>
        </w:tc>
        <w:tc>
          <w:tcPr>
            <w:tcW w:w="634" w:type="dxa"/>
            <w:shd w:val="clear" w:color="000000" w:fill="FFFFFF"/>
            <w:noWrap/>
            <w:vAlign w:val="center"/>
            <w:hideMark/>
          </w:tcPr>
          <w:p w14:paraId="0896B994" w14:textId="77777777" w:rsidR="00B26A5C" w:rsidRPr="00C22C49" w:rsidRDefault="00B26A5C" w:rsidP="004045B6">
            <w:pPr>
              <w:pStyle w:val="Table"/>
              <w:spacing w:before="0" w:after="0"/>
              <w:rPr>
                <w:sz w:val="18"/>
                <w:szCs w:val="18"/>
                <w:lang w:val="uk-UA" w:eastAsia="uk-UA"/>
              </w:rPr>
            </w:pPr>
            <w:r w:rsidRPr="00C22C49">
              <w:rPr>
                <w:sz w:val="18"/>
                <w:szCs w:val="18"/>
                <w:lang w:val="uk-UA" w:eastAsia="uk-UA"/>
              </w:rPr>
              <w:t>74,7%</w:t>
            </w:r>
          </w:p>
        </w:tc>
      </w:tr>
      <w:tr w:rsidR="00C62943" w:rsidRPr="00C22C49" w14:paraId="0896B997" w14:textId="77777777" w:rsidTr="004045B6">
        <w:trPr>
          <w:trHeight w:val="20"/>
          <w:jc w:val="center"/>
        </w:trPr>
        <w:tc>
          <w:tcPr>
            <w:tcW w:w="9551" w:type="dxa"/>
            <w:gridSpan w:val="14"/>
            <w:shd w:val="clear" w:color="000000" w:fill="FFFFFF"/>
            <w:vAlign w:val="center"/>
          </w:tcPr>
          <w:p w14:paraId="0896B996" w14:textId="77777777" w:rsidR="00C62943" w:rsidRPr="00C22C49" w:rsidRDefault="006E2F91" w:rsidP="004045B6">
            <w:pPr>
              <w:pStyle w:val="Table"/>
              <w:spacing w:before="0" w:after="0"/>
              <w:rPr>
                <w:sz w:val="20"/>
                <w:szCs w:val="20"/>
                <w:lang w:val="uk-UA" w:eastAsia="uk-UA"/>
              </w:rPr>
            </w:pPr>
            <w:r w:rsidRPr="00C22C49">
              <w:rPr>
                <w:sz w:val="20"/>
                <w:szCs w:val="20"/>
                <w:lang w:val="uk-UA" w:eastAsia="uk-UA"/>
              </w:rPr>
              <w:t>Песимістичний прогноз</w:t>
            </w:r>
          </w:p>
        </w:tc>
      </w:tr>
      <w:tr w:rsidR="00BD19BF" w:rsidRPr="00C22C49" w14:paraId="0896B9A6" w14:textId="77777777" w:rsidTr="0040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0896B998" w14:textId="77777777" w:rsidR="00270B73" w:rsidRPr="00C22C49" w:rsidRDefault="00270B73" w:rsidP="004045B6">
            <w:pPr>
              <w:pStyle w:val="Table"/>
              <w:spacing w:before="0" w:after="0"/>
              <w:rPr>
                <w:sz w:val="20"/>
                <w:szCs w:val="20"/>
                <w:lang w:val="uk-UA" w:eastAsia="uk-UA"/>
              </w:rPr>
            </w:pPr>
            <w:r w:rsidRPr="00C22C49">
              <w:rPr>
                <w:sz w:val="20"/>
                <w:szCs w:val="20"/>
                <w:lang w:val="uk-UA" w:eastAsia="uk-UA"/>
              </w:rPr>
              <w:t>Чисельність, млн. осіб</w:t>
            </w:r>
          </w:p>
        </w:tc>
        <w:tc>
          <w:tcPr>
            <w:tcW w:w="624" w:type="dxa"/>
            <w:tcBorders>
              <w:top w:val="nil"/>
              <w:left w:val="nil"/>
              <w:bottom w:val="single" w:sz="4" w:space="0" w:color="auto"/>
              <w:right w:val="single" w:sz="4" w:space="0" w:color="auto"/>
            </w:tcBorders>
            <w:shd w:val="clear" w:color="000000" w:fill="FFFFFF"/>
            <w:vAlign w:val="center"/>
            <w:hideMark/>
          </w:tcPr>
          <w:p w14:paraId="0896B999"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34,4</w:t>
            </w:r>
          </w:p>
        </w:tc>
        <w:tc>
          <w:tcPr>
            <w:tcW w:w="624" w:type="dxa"/>
            <w:tcBorders>
              <w:top w:val="nil"/>
              <w:left w:val="nil"/>
              <w:bottom w:val="single" w:sz="4" w:space="0" w:color="auto"/>
              <w:right w:val="single" w:sz="4" w:space="0" w:color="auto"/>
            </w:tcBorders>
            <w:shd w:val="clear" w:color="000000" w:fill="FFFFFF"/>
            <w:noWrap/>
            <w:vAlign w:val="center"/>
            <w:hideMark/>
          </w:tcPr>
          <w:p w14:paraId="0896B99A"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33,8</w:t>
            </w:r>
          </w:p>
        </w:tc>
        <w:tc>
          <w:tcPr>
            <w:tcW w:w="624" w:type="dxa"/>
            <w:tcBorders>
              <w:top w:val="nil"/>
              <w:left w:val="nil"/>
              <w:bottom w:val="single" w:sz="4" w:space="0" w:color="auto"/>
              <w:right w:val="single" w:sz="4" w:space="0" w:color="auto"/>
            </w:tcBorders>
            <w:shd w:val="clear" w:color="000000" w:fill="FFFFFF"/>
            <w:noWrap/>
            <w:vAlign w:val="center"/>
            <w:hideMark/>
          </w:tcPr>
          <w:p w14:paraId="0896B99B"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33,5</w:t>
            </w:r>
          </w:p>
        </w:tc>
        <w:tc>
          <w:tcPr>
            <w:tcW w:w="624" w:type="dxa"/>
            <w:tcBorders>
              <w:top w:val="nil"/>
              <w:left w:val="nil"/>
              <w:bottom w:val="single" w:sz="4" w:space="0" w:color="auto"/>
              <w:right w:val="single" w:sz="4" w:space="0" w:color="auto"/>
            </w:tcBorders>
            <w:shd w:val="clear" w:color="000000" w:fill="FFFFFF"/>
            <w:noWrap/>
            <w:vAlign w:val="center"/>
            <w:hideMark/>
          </w:tcPr>
          <w:p w14:paraId="0896B99C"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32,8</w:t>
            </w:r>
          </w:p>
        </w:tc>
        <w:tc>
          <w:tcPr>
            <w:tcW w:w="624" w:type="dxa"/>
            <w:tcBorders>
              <w:top w:val="nil"/>
              <w:left w:val="nil"/>
              <w:bottom w:val="single" w:sz="4" w:space="0" w:color="auto"/>
              <w:right w:val="single" w:sz="4" w:space="0" w:color="auto"/>
            </w:tcBorders>
            <w:shd w:val="clear" w:color="000000" w:fill="FFFFFF"/>
            <w:noWrap/>
            <w:vAlign w:val="center"/>
            <w:hideMark/>
          </w:tcPr>
          <w:p w14:paraId="0896B99D"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31,9</w:t>
            </w:r>
          </w:p>
        </w:tc>
        <w:tc>
          <w:tcPr>
            <w:tcW w:w="624" w:type="dxa"/>
            <w:tcBorders>
              <w:top w:val="nil"/>
              <w:left w:val="nil"/>
              <w:bottom w:val="single" w:sz="4" w:space="0" w:color="auto"/>
              <w:right w:val="single" w:sz="4" w:space="0" w:color="auto"/>
            </w:tcBorders>
            <w:shd w:val="clear" w:color="000000" w:fill="FFFFFF"/>
            <w:noWrap/>
            <w:vAlign w:val="center"/>
            <w:hideMark/>
          </w:tcPr>
          <w:p w14:paraId="0896B99E"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30,9</w:t>
            </w:r>
          </w:p>
        </w:tc>
        <w:tc>
          <w:tcPr>
            <w:tcW w:w="624" w:type="dxa"/>
            <w:tcBorders>
              <w:top w:val="nil"/>
              <w:left w:val="nil"/>
              <w:bottom w:val="single" w:sz="4" w:space="0" w:color="auto"/>
              <w:right w:val="single" w:sz="4" w:space="0" w:color="auto"/>
            </w:tcBorders>
            <w:shd w:val="clear" w:color="000000" w:fill="FFFFFF"/>
            <w:noWrap/>
            <w:vAlign w:val="center"/>
            <w:hideMark/>
          </w:tcPr>
          <w:p w14:paraId="0896B99F"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30,0</w:t>
            </w:r>
          </w:p>
        </w:tc>
        <w:tc>
          <w:tcPr>
            <w:tcW w:w="624" w:type="dxa"/>
            <w:tcBorders>
              <w:top w:val="nil"/>
              <w:left w:val="nil"/>
              <w:bottom w:val="single" w:sz="4" w:space="0" w:color="auto"/>
              <w:right w:val="single" w:sz="4" w:space="0" w:color="auto"/>
            </w:tcBorders>
            <w:shd w:val="clear" w:color="000000" w:fill="FFFFFF"/>
            <w:noWrap/>
            <w:vAlign w:val="center"/>
            <w:hideMark/>
          </w:tcPr>
          <w:p w14:paraId="0896B9A0"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29,2</w:t>
            </w:r>
          </w:p>
        </w:tc>
        <w:tc>
          <w:tcPr>
            <w:tcW w:w="624" w:type="dxa"/>
            <w:tcBorders>
              <w:top w:val="nil"/>
              <w:left w:val="nil"/>
              <w:bottom w:val="single" w:sz="4" w:space="0" w:color="auto"/>
              <w:right w:val="single" w:sz="4" w:space="0" w:color="auto"/>
            </w:tcBorders>
            <w:shd w:val="clear" w:color="000000" w:fill="FFFFFF"/>
            <w:noWrap/>
            <w:vAlign w:val="center"/>
            <w:hideMark/>
          </w:tcPr>
          <w:p w14:paraId="0896B9A1"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28,3</w:t>
            </w:r>
          </w:p>
        </w:tc>
        <w:tc>
          <w:tcPr>
            <w:tcW w:w="624" w:type="dxa"/>
            <w:tcBorders>
              <w:top w:val="nil"/>
              <w:left w:val="nil"/>
              <w:bottom w:val="single" w:sz="4" w:space="0" w:color="auto"/>
              <w:right w:val="single" w:sz="4" w:space="0" w:color="auto"/>
            </w:tcBorders>
            <w:shd w:val="clear" w:color="000000" w:fill="FFFFFF"/>
            <w:noWrap/>
            <w:vAlign w:val="center"/>
            <w:hideMark/>
          </w:tcPr>
          <w:p w14:paraId="0896B9A2"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27,5</w:t>
            </w:r>
          </w:p>
        </w:tc>
        <w:tc>
          <w:tcPr>
            <w:tcW w:w="624" w:type="dxa"/>
            <w:tcBorders>
              <w:top w:val="nil"/>
              <w:left w:val="nil"/>
              <w:bottom w:val="single" w:sz="4" w:space="0" w:color="auto"/>
              <w:right w:val="single" w:sz="4" w:space="0" w:color="auto"/>
            </w:tcBorders>
            <w:shd w:val="clear" w:color="000000" w:fill="FFFFFF"/>
            <w:noWrap/>
            <w:vAlign w:val="center"/>
            <w:hideMark/>
          </w:tcPr>
          <w:p w14:paraId="0896B9A3"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26,7</w:t>
            </w:r>
          </w:p>
        </w:tc>
        <w:tc>
          <w:tcPr>
            <w:tcW w:w="624" w:type="dxa"/>
            <w:tcBorders>
              <w:top w:val="nil"/>
              <w:left w:val="nil"/>
              <w:bottom w:val="single" w:sz="4" w:space="0" w:color="auto"/>
              <w:right w:val="single" w:sz="4" w:space="0" w:color="auto"/>
            </w:tcBorders>
            <w:shd w:val="clear" w:color="000000" w:fill="FFFFFF"/>
            <w:noWrap/>
            <w:vAlign w:val="center"/>
            <w:hideMark/>
          </w:tcPr>
          <w:p w14:paraId="0896B9A4"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25,9</w:t>
            </w:r>
          </w:p>
        </w:tc>
        <w:tc>
          <w:tcPr>
            <w:tcW w:w="634" w:type="dxa"/>
            <w:tcBorders>
              <w:top w:val="nil"/>
              <w:left w:val="nil"/>
              <w:bottom w:val="single" w:sz="4" w:space="0" w:color="auto"/>
              <w:right w:val="single" w:sz="4" w:space="0" w:color="auto"/>
            </w:tcBorders>
            <w:shd w:val="clear" w:color="000000" w:fill="FFFFFF"/>
            <w:noWrap/>
            <w:vAlign w:val="center"/>
            <w:hideMark/>
          </w:tcPr>
          <w:p w14:paraId="0896B9A5"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25,2</w:t>
            </w:r>
          </w:p>
        </w:tc>
      </w:tr>
      <w:tr w:rsidR="00BD19BF" w:rsidRPr="00C22C49" w14:paraId="0896B9B5" w14:textId="77777777" w:rsidTr="0040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0896B9A7" w14:textId="77777777" w:rsidR="00270B73" w:rsidRPr="00C22C49" w:rsidRDefault="00270B73" w:rsidP="004045B6">
            <w:pPr>
              <w:pStyle w:val="Table"/>
              <w:spacing w:before="0" w:after="0"/>
              <w:rPr>
                <w:sz w:val="20"/>
                <w:szCs w:val="20"/>
                <w:lang w:val="uk-UA" w:eastAsia="uk-UA"/>
              </w:rPr>
            </w:pPr>
            <w:r w:rsidRPr="00C22C49">
              <w:rPr>
                <w:sz w:val="20"/>
                <w:szCs w:val="20"/>
                <w:lang w:val="uk-UA" w:eastAsia="uk-UA"/>
              </w:rPr>
              <w:t>Сальдо, млн. осіб</w:t>
            </w:r>
          </w:p>
        </w:tc>
        <w:tc>
          <w:tcPr>
            <w:tcW w:w="624" w:type="dxa"/>
            <w:tcBorders>
              <w:top w:val="nil"/>
              <w:left w:val="nil"/>
              <w:bottom w:val="single" w:sz="4" w:space="0" w:color="auto"/>
              <w:right w:val="single" w:sz="4" w:space="0" w:color="auto"/>
            </w:tcBorders>
            <w:shd w:val="clear" w:color="000000" w:fill="FFFFFF"/>
            <w:vAlign w:val="center"/>
            <w:hideMark/>
          </w:tcPr>
          <w:p w14:paraId="0896B9A8"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-6,7</w:t>
            </w:r>
          </w:p>
        </w:tc>
        <w:tc>
          <w:tcPr>
            <w:tcW w:w="624" w:type="dxa"/>
            <w:tcBorders>
              <w:top w:val="nil"/>
              <w:left w:val="nil"/>
              <w:bottom w:val="single" w:sz="4" w:space="0" w:color="auto"/>
              <w:right w:val="single" w:sz="4" w:space="0" w:color="auto"/>
            </w:tcBorders>
            <w:shd w:val="clear" w:color="000000" w:fill="FFFFFF"/>
            <w:noWrap/>
            <w:vAlign w:val="center"/>
            <w:hideMark/>
          </w:tcPr>
          <w:p w14:paraId="0896B9A9"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0,5</w:t>
            </w:r>
          </w:p>
        </w:tc>
        <w:tc>
          <w:tcPr>
            <w:tcW w:w="624" w:type="dxa"/>
            <w:tcBorders>
              <w:top w:val="nil"/>
              <w:left w:val="nil"/>
              <w:bottom w:val="single" w:sz="4" w:space="0" w:color="auto"/>
              <w:right w:val="single" w:sz="4" w:space="0" w:color="auto"/>
            </w:tcBorders>
            <w:shd w:val="clear" w:color="000000" w:fill="FFFFFF"/>
            <w:noWrap/>
            <w:vAlign w:val="center"/>
            <w:hideMark/>
          </w:tcPr>
          <w:p w14:paraId="0896B9AA"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0,7</w:t>
            </w:r>
          </w:p>
        </w:tc>
        <w:tc>
          <w:tcPr>
            <w:tcW w:w="624" w:type="dxa"/>
            <w:tcBorders>
              <w:top w:val="nil"/>
              <w:left w:val="nil"/>
              <w:bottom w:val="single" w:sz="4" w:space="0" w:color="auto"/>
              <w:right w:val="single" w:sz="4" w:space="0" w:color="auto"/>
            </w:tcBorders>
            <w:shd w:val="clear" w:color="000000" w:fill="FFFFFF"/>
            <w:noWrap/>
            <w:vAlign w:val="center"/>
            <w:hideMark/>
          </w:tcPr>
          <w:p w14:paraId="0896B9AB"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0,3</w:t>
            </w:r>
          </w:p>
        </w:tc>
        <w:tc>
          <w:tcPr>
            <w:tcW w:w="624" w:type="dxa"/>
            <w:tcBorders>
              <w:top w:val="nil"/>
              <w:left w:val="nil"/>
              <w:bottom w:val="single" w:sz="4" w:space="0" w:color="auto"/>
              <w:right w:val="single" w:sz="4" w:space="0" w:color="auto"/>
            </w:tcBorders>
            <w:shd w:val="clear" w:color="000000" w:fill="FFFFFF"/>
            <w:noWrap/>
            <w:vAlign w:val="center"/>
            <w:hideMark/>
          </w:tcPr>
          <w:p w14:paraId="0896B9AC"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-1,0</w:t>
            </w:r>
          </w:p>
        </w:tc>
        <w:tc>
          <w:tcPr>
            <w:tcW w:w="624" w:type="dxa"/>
            <w:tcBorders>
              <w:top w:val="nil"/>
              <w:left w:val="nil"/>
              <w:bottom w:val="single" w:sz="4" w:space="0" w:color="auto"/>
              <w:right w:val="single" w:sz="4" w:space="0" w:color="auto"/>
            </w:tcBorders>
            <w:shd w:val="clear" w:color="000000" w:fill="FFFFFF"/>
            <w:noWrap/>
            <w:vAlign w:val="center"/>
            <w:hideMark/>
          </w:tcPr>
          <w:p w14:paraId="0896B9AD"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-0,9</w:t>
            </w:r>
          </w:p>
        </w:tc>
        <w:tc>
          <w:tcPr>
            <w:tcW w:w="624" w:type="dxa"/>
            <w:tcBorders>
              <w:top w:val="nil"/>
              <w:left w:val="nil"/>
              <w:bottom w:val="single" w:sz="4" w:space="0" w:color="auto"/>
              <w:right w:val="single" w:sz="4" w:space="0" w:color="auto"/>
            </w:tcBorders>
            <w:shd w:val="clear" w:color="000000" w:fill="FFFFFF"/>
            <w:noWrap/>
            <w:vAlign w:val="center"/>
            <w:hideMark/>
          </w:tcPr>
          <w:p w14:paraId="0896B9AE"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-0,9</w:t>
            </w:r>
          </w:p>
        </w:tc>
        <w:tc>
          <w:tcPr>
            <w:tcW w:w="624" w:type="dxa"/>
            <w:tcBorders>
              <w:top w:val="nil"/>
              <w:left w:val="nil"/>
              <w:bottom w:val="single" w:sz="4" w:space="0" w:color="auto"/>
              <w:right w:val="single" w:sz="4" w:space="0" w:color="auto"/>
            </w:tcBorders>
            <w:shd w:val="clear" w:color="000000" w:fill="FFFFFF"/>
            <w:noWrap/>
            <w:vAlign w:val="center"/>
            <w:hideMark/>
          </w:tcPr>
          <w:p w14:paraId="0896B9AF"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-0,9</w:t>
            </w:r>
          </w:p>
        </w:tc>
        <w:tc>
          <w:tcPr>
            <w:tcW w:w="624" w:type="dxa"/>
            <w:tcBorders>
              <w:top w:val="nil"/>
              <w:left w:val="nil"/>
              <w:bottom w:val="single" w:sz="4" w:space="0" w:color="auto"/>
              <w:right w:val="single" w:sz="4" w:space="0" w:color="auto"/>
            </w:tcBorders>
            <w:shd w:val="clear" w:color="000000" w:fill="FFFFFF"/>
            <w:noWrap/>
            <w:vAlign w:val="center"/>
            <w:hideMark/>
          </w:tcPr>
          <w:p w14:paraId="0896B9B0"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-0,8</w:t>
            </w:r>
          </w:p>
        </w:tc>
        <w:tc>
          <w:tcPr>
            <w:tcW w:w="624" w:type="dxa"/>
            <w:tcBorders>
              <w:top w:val="nil"/>
              <w:left w:val="nil"/>
              <w:bottom w:val="single" w:sz="4" w:space="0" w:color="auto"/>
              <w:right w:val="single" w:sz="4" w:space="0" w:color="auto"/>
            </w:tcBorders>
            <w:shd w:val="clear" w:color="000000" w:fill="FFFFFF"/>
            <w:noWrap/>
            <w:vAlign w:val="center"/>
            <w:hideMark/>
          </w:tcPr>
          <w:p w14:paraId="0896B9B1"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-0,8</w:t>
            </w:r>
          </w:p>
        </w:tc>
        <w:tc>
          <w:tcPr>
            <w:tcW w:w="624" w:type="dxa"/>
            <w:tcBorders>
              <w:top w:val="nil"/>
              <w:left w:val="nil"/>
              <w:bottom w:val="single" w:sz="4" w:space="0" w:color="auto"/>
              <w:right w:val="single" w:sz="4" w:space="0" w:color="auto"/>
            </w:tcBorders>
            <w:shd w:val="clear" w:color="000000" w:fill="FFFFFF"/>
            <w:noWrap/>
            <w:vAlign w:val="center"/>
            <w:hideMark/>
          </w:tcPr>
          <w:p w14:paraId="0896B9B2"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-0,8</w:t>
            </w:r>
          </w:p>
        </w:tc>
        <w:tc>
          <w:tcPr>
            <w:tcW w:w="624" w:type="dxa"/>
            <w:tcBorders>
              <w:top w:val="nil"/>
              <w:left w:val="nil"/>
              <w:bottom w:val="single" w:sz="4" w:space="0" w:color="auto"/>
              <w:right w:val="single" w:sz="4" w:space="0" w:color="auto"/>
            </w:tcBorders>
            <w:shd w:val="clear" w:color="000000" w:fill="FFFFFF"/>
            <w:noWrap/>
            <w:vAlign w:val="center"/>
            <w:hideMark/>
          </w:tcPr>
          <w:p w14:paraId="0896B9B3"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-0,8</w:t>
            </w:r>
          </w:p>
        </w:tc>
        <w:tc>
          <w:tcPr>
            <w:tcW w:w="634" w:type="dxa"/>
            <w:tcBorders>
              <w:top w:val="nil"/>
              <w:left w:val="nil"/>
              <w:bottom w:val="single" w:sz="4" w:space="0" w:color="auto"/>
              <w:right w:val="single" w:sz="4" w:space="0" w:color="auto"/>
            </w:tcBorders>
            <w:shd w:val="clear" w:color="000000" w:fill="FFFFFF"/>
            <w:noWrap/>
            <w:vAlign w:val="center"/>
            <w:hideMark/>
          </w:tcPr>
          <w:p w14:paraId="0896B9B4"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-0,8</w:t>
            </w:r>
          </w:p>
        </w:tc>
      </w:tr>
      <w:tr w:rsidR="00BD19BF" w:rsidRPr="00C22C49" w14:paraId="0896B9C4" w14:textId="77777777" w:rsidTr="00404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0896B9B6" w14:textId="77777777" w:rsidR="00270B73" w:rsidRPr="00C22C49" w:rsidRDefault="00270B73" w:rsidP="004045B6">
            <w:pPr>
              <w:pStyle w:val="Table"/>
              <w:spacing w:before="0" w:after="0"/>
              <w:rPr>
                <w:sz w:val="20"/>
                <w:szCs w:val="20"/>
                <w:lang w:val="uk-UA" w:eastAsia="uk-UA"/>
              </w:rPr>
            </w:pPr>
            <w:r w:rsidRPr="00C22C49">
              <w:rPr>
                <w:sz w:val="20"/>
                <w:szCs w:val="20"/>
                <w:lang w:val="uk-UA" w:eastAsia="uk-UA"/>
              </w:rPr>
              <w:t>Сальдо, % до 2022 р.</w:t>
            </w:r>
          </w:p>
        </w:tc>
        <w:tc>
          <w:tcPr>
            <w:tcW w:w="624" w:type="dxa"/>
            <w:tcBorders>
              <w:top w:val="nil"/>
              <w:left w:val="nil"/>
              <w:bottom w:val="single" w:sz="4" w:space="0" w:color="auto"/>
              <w:right w:val="single" w:sz="4" w:space="0" w:color="auto"/>
            </w:tcBorders>
            <w:shd w:val="clear" w:color="000000" w:fill="FFFFFF"/>
            <w:vAlign w:val="center"/>
            <w:hideMark/>
          </w:tcPr>
          <w:p w14:paraId="0896B9B7"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86,1%</w:t>
            </w:r>
          </w:p>
        </w:tc>
        <w:tc>
          <w:tcPr>
            <w:tcW w:w="624" w:type="dxa"/>
            <w:tcBorders>
              <w:top w:val="nil"/>
              <w:left w:val="nil"/>
              <w:bottom w:val="single" w:sz="4" w:space="0" w:color="auto"/>
              <w:right w:val="single" w:sz="4" w:space="0" w:color="auto"/>
            </w:tcBorders>
            <w:shd w:val="clear" w:color="000000" w:fill="FFFFFF"/>
            <w:noWrap/>
            <w:vAlign w:val="center"/>
            <w:hideMark/>
          </w:tcPr>
          <w:p w14:paraId="0896B9B8"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82,2%</w:t>
            </w:r>
          </w:p>
        </w:tc>
        <w:tc>
          <w:tcPr>
            <w:tcW w:w="624" w:type="dxa"/>
            <w:tcBorders>
              <w:top w:val="nil"/>
              <w:left w:val="nil"/>
              <w:bottom w:val="single" w:sz="4" w:space="0" w:color="auto"/>
              <w:right w:val="single" w:sz="4" w:space="0" w:color="auto"/>
            </w:tcBorders>
            <w:shd w:val="clear" w:color="000000" w:fill="FFFFFF"/>
            <w:noWrap/>
            <w:vAlign w:val="center"/>
            <w:hideMark/>
          </w:tcPr>
          <w:p w14:paraId="0896B9B9"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81,4%</w:t>
            </w:r>
          </w:p>
        </w:tc>
        <w:tc>
          <w:tcPr>
            <w:tcW w:w="624" w:type="dxa"/>
            <w:tcBorders>
              <w:top w:val="nil"/>
              <w:left w:val="nil"/>
              <w:bottom w:val="single" w:sz="4" w:space="0" w:color="auto"/>
              <w:right w:val="single" w:sz="4" w:space="0" w:color="auto"/>
            </w:tcBorders>
            <w:shd w:val="clear" w:color="000000" w:fill="FFFFFF"/>
            <w:noWrap/>
            <w:vAlign w:val="center"/>
            <w:hideMark/>
          </w:tcPr>
          <w:p w14:paraId="0896B9BA"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79,8%</w:t>
            </w:r>
          </w:p>
        </w:tc>
        <w:tc>
          <w:tcPr>
            <w:tcW w:w="624" w:type="dxa"/>
            <w:tcBorders>
              <w:top w:val="nil"/>
              <w:left w:val="nil"/>
              <w:bottom w:val="single" w:sz="4" w:space="0" w:color="auto"/>
              <w:right w:val="single" w:sz="4" w:space="0" w:color="auto"/>
            </w:tcBorders>
            <w:shd w:val="clear" w:color="000000" w:fill="FFFFFF"/>
            <w:noWrap/>
            <w:vAlign w:val="center"/>
            <w:hideMark/>
          </w:tcPr>
          <w:p w14:paraId="0896B9BB"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77,4%</w:t>
            </w:r>
          </w:p>
        </w:tc>
        <w:tc>
          <w:tcPr>
            <w:tcW w:w="624" w:type="dxa"/>
            <w:tcBorders>
              <w:top w:val="nil"/>
              <w:left w:val="nil"/>
              <w:bottom w:val="single" w:sz="4" w:space="0" w:color="auto"/>
              <w:right w:val="single" w:sz="4" w:space="0" w:color="auto"/>
            </w:tcBorders>
            <w:shd w:val="clear" w:color="000000" w:fill="FFFFFF"/>
            <w:noWrap/>
            <w:vAlign w:val="center"/>
            <w:hideMark/>
          </w:tcPr>
          <w:p w14:paraId="0896B9BC"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75,1%</w:t>
            </w:r>
          </w:p>
        </w:tc>
        <w:tc>
          <w:tcPr>
            <w:tcW w:w="624" w:type="dxa"/>
            <w:tcBorders>
              <w:top w:val="nil"/>
              <w:left w:val="nil"/>
              <w:bottom w:val="single" w:sz="4" w:space="0" w:color="auto"/>
              <w:right w:val="single" w:sz="4" w:space="0" w:color="auto"/>
            </w:tcBorders>
            <w:shd w:val="clear" w:color="000000" w:fill="FFFFFF"/>
            <w:noWrap/>
            <w:vAlign w:val="center"/>
            <w:hideMark/>
          </w:tcPr>
          <w:p w14:paraId="0896B9BD"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73,0%</w:t>
            </w:r>
          </w:p>
        </w:tc>
        <w:tc>
          <w:tcPr>
            <w:tcW w:w="624" w:type="dxa"/>
            <w:tcBorders>
              <w:top w:val="nil"/>
              <w:left w:val="nil"/>
              <w:bottom w:val="single" w:sz="4" w:space="0" w:color="auto"/>
              <w:right w:val="single" w:sz="4" w:space="0" w:color="auto"/>
            </w:tcBorders>
            <w:shd w:val="clear" w:color="000000" w:fill="FFFFFF"/>
            <w:noWrap/>
            <w:vAlign w:val="center"/>
            <w:hideMark/>
          </w:tcPr>
          <w:p w14:paraId="0896B9BE"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70,8%</w:t>
            </w:r>
          </w:p>
        </w:tc>
        <w:tc>
          <w:tcPr>
            <w:tcW w:w="624" w:type="dxa"/>
            <w:tcBorders>
              <w:top w:val="nil"/>
              <w:left w:val="nil"/>
              <w:bottom w:val="single" w:sz="4" w:space="0" w:color="auto"/>
              <w:right w:val="single" w:sz="4" w:space="0" w:color="auto"/>
            </w:tcBorders>
            <w:shd w:val="clear" w:color="000000" w:fill="FFFFFF"/>
            <w:noWrap/>
            <w:vAlign w:val="center"/>
            <w:hideMark/>
          </w:tcPr>
          <w:p w14:paraId="0896B9BF"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68,8%</w:t>
            </w:r>
          </w:p>
        </w:tc>
        <w:tc>
          <w:tcPr>
            <w:tcW w:w="624" w:type="dxa"/>
            <w:tcBorders>
              <w:top w:val="nil"/>
              <w:left w:val="nil"/>
              <w:bottom w:val="single" w:sz="4" w:space="0" w:color="auto"/>
              <w:right w:val="single" w:sz="4" w:space="0" w:color="auto"/>
            </w:tcBorders>
            <w:shd w:val="clear" w:color="000000" w:fill="FFFFFF"/>
            <w:noWrap/>
            <w:vAlign w:val="center"/>
            <w:hideMark/>
          </w:tcPr>
          <w:p w14:paraId="0896B9C0"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66,8%</w:t>
            </w:r>
          </w:p>
        </w:tc>
        <w:tc>
          <w:tcPr>
            <w:tcW w:w="624" w:type="dxa"/>
            <w:tcBorders>
              <w:top w:val="nil"/>
              <w:left w:val="nil"/>
              <w:bottom w:val="single" w:sz="4" w:space="0" w:color="auto"/>
              <w:right w:val="single" w:sz="4" w:space="0" w:color="auto"/>
            </w:tcBorders>
            <w:shd w:val="clear" w:color="000000" w:fill="FFFFFF"/>
            <w:noWrap/>
            <w:vAlign w:val="center"/>
            <w:hideMark/>
          </w:tcPr>
          <w:p w14:paraId="0896B9C1"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64,9%</w:t>
            </w:r>
          </w:p>
        </w:tc>
        <w:tc>
          <w:tcPr>
            <w:tcW w:w="624" w:type="dxa"/>
            <w:tcBorders>
              <w:top w:val="nil"/>
              <w:left w:val="nil"/>
              <w:bottom w:val="single" w:sz="4" w:space="0" w:color="auto"/>
              <w:right w:val="single" w:sz="4" w:space="0" w:color="auto"/>
            </w:tcBorders>
            <w:shd w:val="clear" w:color="000000" w:fill="FFFFFF"/>
            <w:noWrap/>
            <w:vAlign w:val="center"/>
            <w:hideMark/>
          </w:tcPr>
          <w:p w14:paraId="0896B9C2"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63,0%</w:t>
            </w:r>
          </w:p>
        </w:tc>
        <w:tc>
          <w:tcPr>
            <w:tcW w:w="634" w:type="dxa"/>
            <w:tcBorders>
              <w:top w:val="nil"/>
              <w:left w:val="nil"/>
              <w:bottom w:val="single" w:sz="4" w:space="0" w:color="auto"/>
              <w:right w:val="single" w:sz="4" w:space="0" w:color="auto"/>
            </w:tcBorders>
            <w:shd w:val="clear" w:color="000000" w:fill="FFFFFF"/>
            <w:noWrap/>
            <w:vAlign w:val="center"/>
            <w:hideMark/>
          </w:tcPr>
          <w:p w14:paraId="0896B9C3" w14:textId="77777777" w:rsidR="00270B73" w:rsidRPr="00C22C49" w:rsidRDefault="00270B73" w:rsidP="004045B6">
            <w:pPr>
              <w:pStyle w:val="Table"/>
              <w:spacing w:before="0" w:after="0"/>
              <w:rPr>
                <w:sz w:val="18"/>
                <w:szCs w:val="18"/>
                <w:lang w:val="uk-UA" w:eastAsia="uk-UA"/>
              </w:rPr>
            </w:pPr>
            <w:r w:rsidRPr="00C22C49">
              <w:rPr>
                <w:sz w:val="18"/>
                <w:szCs w:val="18"/>
                <w:lang w:val="uk-UA" w:eastAsia="uk-UA"/>
              </w:rPr>
              <w:t>61,2%</w:t>
            </w:r>
          </w:p>
        </w:tc>
      </w:tr>
    </w:tbl>
    <w:p w14:paraId="0896B9C7" w14:textId="77777777" w:rsidR="008B1E83" w:rsidRPr="00C22C49" w:rsidRDefault="002B5FBE" w:rsidP="008B1E83">
      <w:pPr>
        <w:rPr>
          <w:b/>
          <w:bCs/>
        </w:rPr>
      </w:pPr>
      <w:r w:rsidRPr="00C22C49">
        <w:rPr>
          <w:b/>
          <w:bCs/>
        </w:rPr>
        <w:t xml:space="preserve">Результати прогнозів утворення відходів </w:t>
      </w:r>
      <w:r w:rsidR="000C7E7E" w:rsidRPr="00C22C49">
        <w:rPr>
          <w:b/>
          <w:bCs/>
        </w:rPr>
        <w:t>наведенні нижче.</w:t>
      </w:r>
      <w:r w:rsidR="0058773D" w:rsidRPr="00C22C49">
        <w:rPr>
          <w:b/>
          <w:bCs/>
        </w:rPr>
        <w:t xml:space="preserve"> </w:t>
      </w:r>
    </w:p>
    <w:p w14:paraId="0896B9C8" w14:textId="77777777" w:rsidR="009E1FC8" w:rsidRPr="00C22C49" w:rsidRDefault="0058773D" w:rsidP="00C95E5C">
      <w:pPr>
        <w:pStyle w:val="Heading4boldRED"/>
        <w:rPr>
          <w:rStyle w:val="affe"/>
          <w:iCs w:val="0"/>
          <w:sz w:val="26"/>
          <w:lang w:val="uk-UA"/>
        </w:rPr>
      </w:pPr>
      <w:r w:rsidRPr="00C22C49">
        <w:rPr>
          <w:rStyle w:val="affe"/>
          <w:iCs w:val="0"/>
          <w:sz w:val="26"/>
          <w:lang w:val="uk-UA"/>
        </w:rPr>
        <w:t>Побутові відходи</w:t>
      </w:r>
    </w:p>
    <w:p w14:paraId="0896B9C9" w14:textId="78F9B888" w:rsidR="00683CF3" w:rsidRPr="00C22C49" w:rsidRDefault="00683CF3" w:rsidP="00683CF3">
      <w:pPr>
        <w:spacing w:after="0"/>
        <w:rPr>
          <w:szCs w:val="24"/>
          <w:shd w:val="clear" w:color="auto" w:fill="FFFFFF"/>
        </w:rPr>
      </w:pPr>
      <w:r w:rsidRPr="00C22C49">
        <w:rPr>
          <w:rFonts w:eastAsia="Times New Roman"/>
          <w:szCs w:val="24"/>
          <w:lang w:eastAsia="de-DE"/>
        </w:rPr>
        <w:t xml:space="preserve">В цілому середньостатистичний українець утворює </w:t>
      </w:r>
      <w:r w:rsidRPr="00C22C49">
        <w:rPr>
          <w:rFonts w:eastAsia="Times New Roman"/>
          <w:b/>
          <w:bCs/>
          <w:szCs w:val="24"/>
          <w:lang w:eastAsia="de-DE"/>
        </w:rPr>
        <w:t xml:space="preserve">1,04 кг </w:t>
      </w:r>
      <w:r w:rsidR="00D84FEA">
        <w:rPr>
          <w:rFonts w:eastAsia="Times New Roman"/>
          <w:b/>
          <w:bCs/>
          <w:szCs w:val="24"/>
          <w:lang w:eastAsia="de-DE"/>
        </w:rPr>
        <w:t>п</w:t>
      </w:r>
      <w:r w:rsidR="00D84FEA" w:rsidRPr="00D84FEA">
        <w:rPr>
          <w:rFonts w:eastAsia="Times New Roman"/>
          <w:b/>
          <w:bCs/>
          <w:szCs w:val="24"/>
          <w:lang w:eastAsia="de-DE"/>
        </w:rPr>
        <w:t>обутов</w:t>
      </w:r>
      <w:r w:rsidR="00D84FEA">
        <w:rPr>
          <w:rFonts w:eastAsia="Times New Roman"/>
          <w:b/>
          <w:bCs/>
          <w:szCs w:val="24"/>
          <w:lang w:eastAsia="de-DE"/>
        </w:rPr>
        <w:t>их</w:t>
      </w:r>
      <w:r w:rsidR="00D84FEA" w:rsidRPr="00D84FEA">
        <w:rPr>
          <w:rFonts w:eastAsia="Times New Roman"/>
          <w:b/>
          <w:bCs/>
          <w:szCs w:val="24"/>
          <w:lang w:eastAsia="de-DE"/>
        </w:rPr>
        <w:t xml:space="preserve"> відход</w:t>
      </w:r>
      <w:r w:rsidR="00D84FEA">
        <w:rPr>
          <w:rFonts w:eastAsia="Times New Roman"/>
          <w:b/>
          <w:bCs/>
          <w:szCs w:val="24"/>
          <w:lang w:eastAsia="de-DE"/>
        </w:rPr>
        <w:t>ів</w:t>
      </w:r>
      <w:r w:rsidRPr="00C22C49">
        <w:rPr>
          <w:rFonts w:eastAsia="Times New Roman"/>
          <w:b/>
          <w:bCs/>
          <w:szCs w:val="24"/>
          <w:lang w:eastAsia="de-DE"/>
        </w:rPr>
        <w:t xml:space="preserve"> за день</w:t>
      </w:r>
      <w:r w:rsidRPr="00C22C49">
        <w:rPr>
          <w:rFonts w:eastAsia="Times New Roman"/>
          <w:szCs w:val="24"/>
          <w:lang w:eastAsia="de-DE"/>
        </w:rPr>
        <w:t>, що</w:t>
      </w:r>
      <w:r w:rsidRPr="00C22C49">
        <w:rPr>
          <w:szCs w:val="24"/>
        </w:rPr>
        <w:t xml:space="preserve"> включає обсяги утворення змету та відходів з площі зеленого насадження на прибудинковій території</w:t>
      </w:r>
      <w:r w:rsidRPr="00C22C49">
        <w:rPr>
          <w:rFonts w:eastAsia="Times New Roman"/>
          <w:szCs w:val="24"/>
          <w:lang w:eastAsia="de-DE"/>
        </w:rPr>
        <w:t xml:space="preserve">.  Таким чином за рік одна особа утворює в середньому </w:t>
      </w:r>
      <w:r w:rsidRPr="00C22C49">
        <w:rPr>
          <w:rFonts w:eastAsia="Times New Roman"/>
          <w:b/>
          <w:bCs/>
          <w:szCs w:val="24"/>
          <w:lang w:eastAsia="de-DE"/>
        </w:rPr>
        <w:t xml:space="preserve">379,6 кг </w:t>
      </w:r>
      <w:r w:rsidR="00D84FEA" w:rsidRPr="00D84FEA">
        <w:rPr>
          <w:rFonts w:eastAsia="Times New Roman"/>
          <w:b/>
          <w:bCs/>
          <w:szCs w:val="24"/>
          <w:lang w:eastAsia="de-DE"/>
        </w:rPr>
        <w:t>побутових відходів</w:t>
      </w:r>
      <w:r w:rsidRPr="00C22C49">
        <w:rPr>
          <w:rFonts w:eastAsia="Times New Roman"/>
          <w:b/>
          <w:bCs/>
          <w:szCs w:val="24"/>
          <w:lang w:eastAsia="de-DE"/>
        </w:rPr>
        <w:t xml:space="preserve"> за рік</w:t>
      </w:r>
      <w:r w:rsidRPr="00C22C49">
        <w:rPr>
          <w:rFonts w:eastAsia="Times New Roman"/>
          <w:szCs w:val="24"/>
          <w:lang w:eastAsia="de-DE"/>
        </w:rPr>
        <w:t xml:space="preserve">, що в порівнянні з середньоєвропейськими показниками значно менше та 38 кг  </w:t>
      </w:r>
      <w:r w:rsidRPr="00C22C49">
        <w:rPr>
          <w:szCs w:val="24"/>
        </w:rPr>
        <w:t>великогабаритних, ремонтних та будівельних відходів на рік.</w:t>
      </w:r>
      <w:r w:rsidRPr="00C22C49">
        <w:rPr>
          <w:rFonts w:eastAsia="Times New Roman"/>
          <w:szCs w:val="24"/>
          <w:lang w:eastAsia="de-DE"/>
        </w:rPr>
        <w:t xml:space="preserve"> Дані обсяги приймаються за базові при складанні прогнозу обсягів утворення відходів з врахуванням того, що середньорічний темп приросту обсягів утворюваних відходів, </w:t>
      </w:r>
      <w:r w:rsidRPr="00C22C49">
        <w:rPr>
          <w:szCs w:val="24"/>
          <w:shd w:val="clear" w:color="auto" w:fill="FFFFFF"/>
        </w:rPr>
        <w:t xml:space="preserve">за прогнозами Інституту економіки природокористування та сталого розвитку НАН України, складає 1,38%, за даними НДКТІ МГ –  1,69% для великих міст та 0,9%  для інших населених пунктів. </w:t>
      </w:r>
    </w:p>
    <w:p w14:paraId="0896B9CA" w14:textId="77777777" w:rsidR="00683CF3" w:rsidRDefault="007742BE" w:rsidP="009E1FC8">
      <w:r w:rsidRPr="00C22C49">
        <w:t>Пр</w:t>
      </w:r>
      <w:r w:rsidR="00033862" w:rsidRPr="00C22C49">
        <w:t xml:space="preserve">огнозується, що в </w:t>
      </w:r>
      <w:r w:rsidR="00033862" w:rsidRPr="00C22C49">
        <w:rPr>
          <w:b/>
          <w:bCs/>
        </w:rPr>
        <w:t xml:space="preserve">2025 році </w:t>
      </w:r>
      <w:r w:rsidR="00462D80" w:rsidRPr="00C22C49">
        <w:rPr>
          <w:b/>
          <w:bCs/>
        </w:rPr>
        <w:t xml:space="preserve">утворюватиметься 13,51 млн.т, у 2030 – 13,65 </w:t>
      </w:r>
      <w:r w:rsidR="000D5498" w:rsidRPr="00C22C49">
        <w:rPr>
          <w:b/>
          <w:bCs/>
        </w:rPr>
        <w:t>млн.т</w:t>
      </w:r>
      <w:r w:rsidR="000D5498" w:rsidRPr="00C22C49">
        <w:t xml:space="preserve"> </w:t>
      </w:r>
      <w:r w:rsidR="00033862" w:rsidRPr="00C22C49">
        <w:t xml:space="preserve">побутових відходів від домогосподарств та </w:t>
      </w:r>
      <w:r w:rsidR="00B244EB" w:rsidRPr="00C22C49">
        <w:t>інших</w:t>
      </w:r>
      <w:r w:rsidR="00033862" w:rsidRPr="00C22C49">
        <w:t xml:space="preserve"> джерел</w:t>
      </w:r>
      <w:r w:rsidR="00B244EB" w:rsidRPr="00C22C49">
        <w:t xml:space="preserve">, які утворюють </w:t>
      </w:r>
      <w:r w:rsidR="004F3804" w:rsidRPr="00C22C49">
        <w:t xml:space="preserve">подібні </w:t>
      </w:r>
      <w:r w:rsidR="00AC556D" w:rsidRPr="00C22C49">
        <w:t>за складом відходи.</w:t>
      </w:r>
    </w:p>
    <w:p w14:paraId="026D417E" w14:textId="53D07262" w:rsidR="0093412E" w:rsidRDefault="0093412E" w:rsidP="009E1FC8">
      <w:r w:rsidRPr="0093412E">
        <w:t>Таблиця Прогноз утворення твердих  побутових відходів, ( 2023-2035 рр., млн. т/рік)</w:t>
      </w:r>
    </w:p>
    <w:tbl>
      <w:tblPr>
        <w:tblStyle w:val="afa"/>
        <w:tblW w:w="10428" w:type="dxa"/>
        <w:tblLayout w:type="fixed"/>
        <w:tblLook w:val="0000" w:firstRow="0" w:lastRow="0" w:firstColumn="0" w:lastColumn="0" w:noHBand="0" w:noVBand="0"/>
      </w:tblPr>
      <w:tblGrid>
        <w:gridCol w:w="2093"/>
        <w:gridCol w:w="614"/>
        <w:gridCol w:w="615"/>
        <w:gridCol w:w="789"/>
        <w:gridCol w:w="790"/>
        <w:gridCol w:w="789"/>
        <w:gridCol w:w="790"/>
        <w:gridCol w:w="790"/>
        <w:gridCol w:w="789"/>
        <w:gridCol w:w="790"/>
        <w:gridCol w:w="789"/>
        <w:gridCol w:w="790"/>
      </w:tblGrid>
      <w:tr w:rsidR="0093412E" w14:paraId="674361D6" w14:textId="77777777" w:rsidTr="00E66635">
        <w:trPr>
          <w:trHeight w:val="302"/>
        </w:trPr>
        <w:tc>
          <w:tcPr>
            <w:tcW w:w="2093" w:type="dxa"/>
          </w:tcPr>
          <w:p w14:paraId="081E5C94"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614" w:type="dxa"/>
          </w:tcPr>
          <w:p w14:paraId="0FD2477A"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2023</w:t>
            </w:r>
          </w:p>
        </w:tc>
        <w:tc>
          <w:tcPr>
            <w:tcW w:w="615" w:type="dxa"/>
          </w:tcPr>
          <w:p w14:paraId="110CBF28"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2024</w:t>
            </w:r>
          </w:p>
        </w:tc>
        <w:tc>
          <w:tcPr>
            <w:tcW w:w="789" w:type="dxa"/>
          </w:tcPr>
          <w:p w14:paraId="310E1EF9"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2025</w:t>
            </w:r>
          </w:p>
        </w:tc>
        <w:tc>
          <w:tcPr>
            <w:tcW w:w="790" w:type="dxa"/>
          </w:tcPr>
          <w:p w14:paraId="05C70E34"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2026</w:t>
            </w:r>
          </w:p>
        </w:tc>
        <w:tc>
          <w:tcPr>
            <w:tcW w:w="789" w:type="dxa"/>
          </w:tcPr>
          <w:p w14:paraId="407888E7"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2027</w:t>
            </w:r>
          </w:p>
        </w:tc>
        <w:tc>
          <w:tcPr>
            <w:tcW w:w="790" w:type="dxa"/>
          </w:tcPr>
          <w:p w14:paraId="6B28DF9B"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2028</w:t>
            </w:r>
          </w:p>
        </w:tc>
        <w:tc>
          <w:tcPr>
            <w:tcW w:w="790" w:type="dxa"/>
          </w:tcPr>
          <w:p w14:paraId="1A172769"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2029</w:t>
            </w:r>
          </w:p>
        </w:tc>
        <w:tc>
          <w:tcPr>
            <w:tcW w:w="789" w:type="dxa"/>
          </w:tcPr>
          <w:p w14:paraId="054FA26B"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2030</w:t>
            </w:r>
          </w:p>
        </w:tc>
        <w:tc>
          <w:tcPr>
            <w:tcW w:w="790" w:type="dxa"/>
          </w:tcPr>
          <w:p w14:paraId="5B1689FB"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2031</w:t>
            </w:r>
          </w:p>
        </w:tc>
        <w:tc>
          <w:tcPr>
            <w:tcW w:w="789" w:type="dxa"/>
          </w:tcPr>
          <w:p w14:paraId="0AB85B59"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2032</w:t>
            </w:r>
          </w:p>
        </w:tc>
        <w:tc>
          <w:tcPr>
            <w:tcW w:w="790" w:type="dxa"/>
          </w:tcPr>
          <w:p w14:paraId="5D950DCB" w14:textId="77777777" w:rsidR="0093412E" w:rsidRDefault="0093412E">
            <w:pPr>
              <w:tabs>
                <w:tab w:val="clear" w:pos="284"/>
                <w:tab w:val="clear" w:pos="1985"/>
              </w:tabs>
              <w:autoSpaceDE w:val="0"/>
              <w:autoSpaceDN w:val="0"/>
              <w:adjustRightInd w:val="0"/>
              <w:spacing w:before="0" w:after="0" w:line="240" w:lineRule="auto"/>
              <w:jc w:val="center"/>
              <w:rPr>
                <w:color w:val="000000"/>
                <w:sz w:val="16"/>
                <w:szCs w:val="16"/>
              </w:rPr>
            </w:pPr>
            <w:r>
              <w:rPr>
                <w:color w:val="000000"/>
                <w:sz w:val="16"/>
                <w:szCs w:val="16"/>
              </w:rPr>
              <w:t>2033</w:t>
            </w:r>
          </w:p>
        </w:tc>
      </w:tr>
      <w:tr w:rsidR="0093412E" w14:paraId="5D8C88B4" w14:textId="77777777" w:rsidTr="00E66635">
        <w:trPr>
          <w:trHeight w:val="302"/>
        </w:trPr>
        <w:tc>
          <w:tcPr>
            <w:tcW w:w="2093" w:type="dxa"/>
          </w:tcPr>
          <w:p w14:paraId="1F0D2D74"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населенням</w:t>
            </w:r>
          </w:p>
        </w:tc>
        <w:tc>
          <w:tcPr>
            <w:tcW w:w="614" w:type="dxa"/>
          </w:tcPr>
          <w:p w14:paraId="5795856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11,83</w:t>
            </w:r>
          </w:p>
        </w:tc>
        <w:tc>
          <w:tcPr>
            <w:tcW w:w="615" w:type="dxa"/>
          </w:tcPr>
          <w:p w14:paraId="1E2B4DC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13,23</w:t>
            </w:r>
          </w:p>
        </w:tc>
        <w:tc>
          <w:tcPr>
            <w:tcW w:w="789" w:type="dxa"/>
          </w:tcPr>
          <w:p w14:paraId="7E52CBB0"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13,26</w:t>
            </w:r>
          </w:p>
        </w:tc>
        <w:tc>
          <w:tcPr>
            <w:tcW w:w="790" w:type="dxa"/>
          </w:tcPr>
          <w:p w14:paraId="495D125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13,29</w:t>
            </w:r>
          </w:p>
        </w:tc>
        <w:tc>
          <w:tcPr>
            <w:tcW w:w="789" w:type="dxa"/>
          </w:tcPr>
          <w:p w14:paraId="1294EFD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13,32</w:t>
            </w:r>
          </w:p>
        </w:tc>
        <w:tc>
          <w:tcPr>
            <w:tcW w:w="790" w:type="dxa"/>
          </w:tcPr>
          <w:p w14:paraId="76C2D8D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13,34</w:t>
            </w:r>
          </w:p>
        </w:tc>
        <w:tc>
          <w:tcPr>
            <w:tcW w:w="790" w:type="dxa"/>
          </w:tcPr>
          <w:p w14:paraId="2C0564A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13,37</w:t>
            </w:r>
          </w:p>
        </w:tc>
        <w:tc>
          <w:tcPr>
            <w:tcW w:w="789" w:type="dxa"/>
          </w:tcPr>
          <w:p w14:paraId="65F25B10"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13,4</w:t>
            </w:r>
          </w:p>
        </w:tc>
        <w:tc>
          <w:tcPr>
            <w:tcW w:w="790" w:type="dxa"/>
          </w:tcPr>
          <w:p w14:paraId="1D9C683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13,43</w:t>
            </w:r>
          </w:p>
        </w:tc>
        <w:tc>
          <w:tcPr>
            <w:tcW w:w="789" w:type="dxa"/>
          </w:tcPr>
          <w:p w14:paraId="1456623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13,46</w:t>
            </w:r>
          </w:p>
        </w:tc>
        <w:tc>
          <w:tcPr>
            <w:tcW w:w="790" w:type="dxa"/>
          </w:tcPr>
          <w:p w14:paraId="5103A5B6"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13,48</w:t>
            </w:r>
          </w:p>
        </w:tc>
      </w:tr>
      <w:tr w:rsidR="0093412E" w14:paraId="37C4AF92" w14:textId="77777777" w:rsidTr="00E66635">
        <w:trPr>
          <w:trHeight w:val="422"/>
        </w:trPr>
        <w:tc>
          <w:tcPr>
            <w:tcW w:w="2093" w:type="dxa"/>
          </w:tcPr>
          <w:p w14:paraId="73655B39"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організаціями, установами та інфраструкторою  НП</w:t>
            </w:r>
          </w:p>
        </w:tc>
        <w:tc>
          <w:tcPr>
            <w:tcW w:w="614" w:type="dxa"/>
          </w:tcPr>
          <w:p w14:paraId="126980E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1,61</w:t>
            </w:r>
          </w:p>
        </w:tc>
        <w:tc>
          <w:tcPr>
            <w:tcW w:w="615" w:type="dxa"/>
          </w:tcPr>
          <w:p w14:paraId="74823C9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w:t>
            </w:r>
          </w:p>
        </w:tc>
        <w:tc>
          <w:tcPr>
            <w:tcW w:w="789" w:type="dxa"/>
          </w:tcPr>
          <w:p w14:paraId="435B223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1,81</w:t>
            </w:r>
          </w:p>
        </w:tc>
        <w:tc>
          <w:tcPr>
            <w:tcW w:w="790" w:type="dxa"/>
          </w:tcPr>
          <w:p w14:paraId="1A3C0B5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1,81</w:t>
            </w:r>
          </w:p>
        </w:tc>
        <w:tc>
          <w:tcPr>
            <w:tcW w:w="789" w:type="dxa"/>
          </w:tcPr>
          <w:p w14:paraId="0C8B07E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1,82</w:t>
            </w:r>
          </w:p>
        </w:tc>
        <w:tc>
          <w:tcPr>
            <w:tcW w:w="790" w:type="dxa"/>
          </w:tcPr>
          <w:p w14:paraId="4CBA1A5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1,82</w:t>
            </w:r>
          </w:p>
        </w:tc>
        <w:tc>
          <w:tcPr>
            <w:tcW w:w="790" w:type="dxa"/>
          </w:tcPr>
          <w:p w14:paraId="1A90EF5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1,82</w:t>
            </w:r>
          </w:p>
        </w:tc>
        <w:tc>
          <w:tcPr>
            <w:tcW w:w="789" w:type="dxa"/>
          </w:tcPr>
          <w:p w14:paraId="4539D85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1,83</w:t>
            </w:r>
          </w:p>
        </w:tc>
        <w:tc>
          <w:tcPr>
            <w:tcW w:w="790" w:type="dxa"/>
          </w:tcPr>
          <w:p w14:paraId="572E0468"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1,83</w:t>
            </w:r>
          </w:p>
        </w:tc>
        <w:tc>
          <w:tcPr>
            <w:tcW w:w="789" w:type="dxa"/>
          </w:tcPr>
          <w:p w14:paraId="1B6BF27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1,83</w:t>
            </w:r>
          </w:p>
        </w:tc>
        <w:tc>
          <w:tcPr>
            <w:tcW w:w="790" w:type="dxa"/>
          </w:tcPr>
          <w:p w14:paraId="174142D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1,84</w:t>
            </w:r>
          </w:p>
        </w:tc>
      </w:tr>
      <w:tr w:rsidR="0093412E" w14:paraId="2B267FBD" w14:textId="77777777" w:rsidTr="00E66635">
        <w:trPr>
          <w:trHeight w:val="302"/>
        </w:trPr>
        <w:tc>
          <w:tcPr>
            <w:tcW w:w="2093" w:type="dxa"/>
          </w:tcPr>
          <w:p w14:paraId="0F9032AF" w14:textId="77777777" w:rsidR="0093412E" w:rsidRDefault="0093412E">
            <w:pPr>
              <w:tabs>
                <w:tab w:val="clear" w:pos="284"/>
                <w:tab w:val="clear" w:pos="1985"/>
              </w:tabs>
              <w:autoSpaceDE w:val="0"/>
              <w:autoSpaceDN w:val="0"/>
              <w:adjustRightInd w:val="0"/>
              <w:spacing w:before="0" w:after="0" w:line="240" w:lineRule="auto"/>
              <w:jc w:val="left"/>
              <w:rPr>
                <w:color w:val="333333"/>
                <w:sz w:val="16"/>
                <w:szCs w:val="16"/>
              </w:rPr>
            </w:pPr>
            <w:r>
              <w:rPr>
                <w:color w:val="333333"/>
                <w:sz w:val="16"/>
                <w:szCs w:val="16"/>
              </w:rPr>
              <w:t> великогабаритні та ремонтні</w:t>
            </w:r>
          </w:p>
        </w:tc>
        <w:tc>
          <w:tcPr>
            <w:tcW w:w="614" w:type="dxa"/>
          </w:tcPr>
          <w:p w14:paraId="29F5115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1,35</w:t>
            </w:r>
          </w:p>
        </w:tc>
        <w:tc>
          <w:tcPr>
            <w:tcW w:w="615" w:type="dxa"/>
          </w:tcPr>
          <w:p w14:paraId="39A7A939"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1,34</w:t>
            </w:r>
          </w:p>
        </w:tc>
        <w:tc>
          <w:tcPr>
            <w:tcW w:w="789" w:type="dxa"/>
          </w:tcPr>
          <w:p w14:paraId="7013CF6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1,33</w:t>
            </w:r>
          </w:p>
        </w:tc>
        <w:tc>
          <w:tcPr>
            <w:tcW w:w="790" w:type="dxa"/>
          </w:tcPr>
          <w:p w14:paraId="4308077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1,32</w:t>
            </w:r>
          </w:p>
        </w:tc>
        <w:tc>
          <w:tcPr>
            <w:tcW w:w="789" w:type="dxa"/>
          </w:tcPr>
          <w:p w14:paraId="26126B4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1,32</w:t>
            </w:r>
          </w:p>
        </w:tc>
        <w:tc>
          <w:tcPr>
            <w:tcW w:w="790" w:type="dxa"/>
          </w:tcPr>
          <w:p w14:paraId="2BA9FB2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1,31</w:t>
            </w:r>
          </w:p>
        </w:tc>
        <w:tc>
          <w:tcPr>
            <w:tcW w:w="790" w:type="dxa"/>
          </w:tcPr>
          <w:p w14:paraId="3314CCC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w:t>
            </w:r>
          </w:p>
        </w:tc>
        <w:tc>
          <w:tcPr>
            <w:tcW w:w="789" w:type="dxa"/>
          </w:tcPr>
          <w:p w14:paraId="4000BE51"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1,29</w:t>
            </w:r>
          </w:p>
        </w:tc>
        <w:tc>
          <w:tcPr>
            <w:tcW w:w="790" w:type="dxa"/>
          </w:tcPr>
          <w:p w14:paraId="779202F6"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1,29</w:t>
            </w:r>
          </w:p>
        </w:tc>
        <w:tc>
          <w:tcPr>
            <w:tcW w:w="789" w:type="dxa"/>
          </w:tcPr>
          <w:p w14:paraId="378899E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1,28</w:t>
            </w:r>
          </w:p>
        </w:tc>
        <w:tc>
          <w:tcPr>
            <w:tcW w:w="790" w:type="dxa"/>
          </w:tcPr>
          <w:p w14:paraId="0E84A9D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1,27</w:t>
            </w:r>
          </w:p>
        </w:tc>
      </w:tr>
      <w:tr w:rsidR="0093412E" w14:paraId="7FE965B5" w14:textId="77777777" w:rsidTr="00E66635">
        <w:trPr>
          <w:trHeight w:val="422"/>
        </w:trPr>
        <w:tc>
          <w:tcPr>
            <w:tcW w:w="2093" w:type="dxa"/>
          </w:tcPr>
          <w:p w14:paraId="7EFF4801" w14:textId="77777777" w:rsidR="0093412E" w:rsidRDefault="0093412E">
            <w:pPr>
              <w:tabs>
                <w:tab w:val="clear" w:pos="284"/>
                <w:tab w:val="clear" w:pos="1985"/>
              </w:tabs>
              <w:autoSpaceDE w:val="0"/>
              <w:autoSpaceDN w:val="0"/>
              <w:adjustRightInd w:val="0"/>
              <w:spacing w:before="0" w:after="0" w:line="240" w:lineRule="auto"/>
              <w:jc w:val="left"/>
              <w:rPr>
                <w:color w:val="333333"/>
                <w:sz w:val="16"/>
                <w:szCs w:val="16"/>
              </w:rPr>
            </w:pPr>
            <w:r>
              <w:rPr>
                <w:color w:val="333333"/>
                <w:sz w:val="16"/>
                <w:szCs w:val="16"/>
              </w:rPr>
              <w:t>відходи електричного та електронного обладнання</w:t>
            </w:r>
          </w:p>
        </w:tc>
        <w:tc>
          <w:tcPr>
            <w:tcW w:w="614" w:type="dxa"/>
          </w:tcPr>
          <w:p w14:paraId="227A401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615" w:type="dxa"/>
          </w:tcPr>
          <w:p w14:paraId="46FA1B7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89" w:type="dxa"/>
          </w:tcPr>
          <w:p w14:paraId="03FC349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90" w:type="dxa"/>
          </w:tcPr>
          <w:p w14:paraId="7D79691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89" w:type="dxa"/>
          </w:tcPr>
          <w:p w14:paraId="35C10C4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90" w:type="dxa"/>
          </w:tcPr>
          <w:p w14:paraId="4A006B0A"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90" w:type="dxa"/>
          </w:tcPr>
          <w:p w14:paraId="0D172C69"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89" w:type="dxa"/>
          </w:tcPr>
          <w:p w14:paraId="4D0F807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90" w:type="dxa"/>
          </w:tcPr>
          <w:p w14:paraId="66BFA07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89" w:type="dxa"/>
          </w:tcPr>
          <w:p w14:paraId="607C6D51"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c>
          <w:tcPr>
            <w:tcW w:w="790" w:type="dxa"/>
          </w:tcPr>
          <w:p w14:paraId="207AA61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0,21</w:t>
            </w:r>
          </w:p>
        </w:tc>
      </w:tr>
      <w:tr w:rsidR="0093412E" w14:paraId="0067BBDD" w14:textId="77777777" w:rsidTr="00E66635">
        <w:trPr>
          <w:trHeight w:val="302"/>
        </w:trPr>
        <w:tc>
          <w:tcPr>
            <w:tcW w:w="2093" w:type="dxa"/>
          </w:tcPr>
          <w:p w14:paraId="37EFDB13"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r>
              <w:rPr>
                <w:b/>
                <w:bCs/>
                <w:color w:val="000000"/>
                <w:sz w:val="16"/>
                <w:szCs w:val="16"/>
              </w:rPr>
              <w:t>У розрахунку на одну особу:</w:t>
            </w:r>
          </w:p>
        </w:tc>
        <w:tc>
          <w:tcPr>
            <w:tcW w:w="614" w:type="dxa"/>
          </w:tcPr>
          <w:p w14:paraId="07B4275F"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615" w:type="dxa"/>
          </w:tcPr>
          <w:p w14:paraId="25571538"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89" w:type="dxa"/>
          </w:tcPr>
          <w:p w14:paraId="18D5D78B"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90" w:type="dxa"/>
          </w:tcPr>
          <w:p w14:paraId="5EBAACF0"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89" w:type="dxa"/>
          </w:tcPr>
          <w:p w14:paraId="3A894AEE"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90" w:type="dxa"/>
          </w:tcPr>
          <w:p w14:paraId="400C5AD6"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90" w:type="dxa"/>
          </w:tcPr>
          <w:p w14:paraId="35059D6F"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89" w:type="dxa"/>
          </w:tcPr>
          <w:p w14:paraId="33756F0F"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90" w:type="dxa"/>
          </w:tcPr>
          <w:p w14:paraId="3B327415"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89" w:type="dxa"/>
          </w:tcPr>
          <w:p w14:paraId="199C171C"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c>
          <w:tcPr>
            <w:tcW w:w="790" w:type="dxa"/>
          </w:tcPr>
          <w:p w14:paraId="142F399B" w14:textId="77777777" w:rsidR="0093412E" w:rsidRDefault="0093412E">
            <w:pPr>
              <w:tabs>
                <w:tab w:val="clear" w:pos="284"/>
                <w:tab w:val="clear" w:pos="1985"/>
              </w:tabs>
              <w:autoSpaceDE w:val="0"/>
              <w:autoSpaceDN w:val="0"/>
              <w:adjustRightInd w:val="0"/>
              <w:spacing w:before="0" w:after="0" w:line="240" w:lineRule="auto"/>
              <w:jc w:val="left"/>
              <w:rPr>
                <w:b/>
                <w:bCs/>
                <w:color w:val="000000"/>
                <w:sz w:val="16"/>
                <w:szCs w:val="16"/>
              </w:rPr>
            </w:pPr>
          </w:p>
        </w:tc>
      </w:tr>
      <w:tr w:rsidR="0093412E" w14:paraId="3741390C" w14:textId="77777777" w:rsidTr="00E66635">
        <w:trPr>
          <w:trHeight w:val="302"/>
        </w:trPr>
        <w:tc>
          <w:tcPr>
            <w:tcW w:w="2093" w:type="dxa"/>
          </w:tcPr>
          <w:p w14:paraId="269EAB69"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Утворено  ТПВ, кг</w:t>
            </w:r>
          </w:p>
        </w:tc>
        <w:tc>
          <w:tcPr>
            <w:tcW w:w="614" w:type="dxa"/>
          </w:tcPr>
          <w:p w14:paraId="30228F5F"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423,6</w:t>
            </w:r>
          </w:p>
        </w:tc>
        <w:tc>
          <w:tcPr>
            <w:tcW w:w="615" w:type="dxa"/>
          </w:tcPr>
          <w:p w14:paraId="38E3088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429,4</w:t>
            </w:r>
          </w:p>
        </w:tc>
        <w:tc>
          <w:tcPr>
            <w:tcW w:w="789" w:type="dxa"/>
          </w:tcPr>
          <w:p w14:paraId="78CAF4C9"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435,3</w:t>
            </w:r>
          </w:p>
        </w:tc>
        <w:tc>
          <w:tcPr>
            <w:tcW w:w="790" w:type="dxa"/>
          </w:tcPr>
          <w:p w14:paraId="1D1DC9B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441,3</w:t>
            </w:r>
          </w:p>
        </w:tc>
        <w:tc>
          <w:tcPr>
            <w:tcW w:w="789" w:type="dxa"/>
          </w:tcPr>
          <w:p w14:paraId="1AD14848"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447,4</w:t>
            </w:r>
          </w:p>
        </w:tc>
        <w:tc>
          <w:tcPr>
            <w:tcW w:w="790" w:type="dxa"/>
          </w:tcPr>
          <w:p w14:paraId="69CEA5D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453,6</w:t>
            </w:r>
          </w:p>
        </w:tc>
        <w:tc>
          <w:tcPr>
            <w:tcW w:w="790" w:type="dxa"/>
          </w:tcPr>
          <w:p w14:paraId="37BDA92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459,9</w:t>
            </w:r>
          </w:p>
        </w:tc>
        <w:tc>
          <w:tcPr>
            <w:tcW w:w="789" w:type="dxa"/>
          </w:tcPr>
          <w:p w14:paraId="020E70BF"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466,2</w:t>
            </w:r>
          </w:p>
        </w:tc>
        <w:tc>
          <w:tcPr>
            <w:tcW w:w="790" w:type="dxa"/>
          </w:tcPr>
          <w:p w14:paraId="7F07F85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472,6</w:t>
            </w:r>
          </w:p>
        </w:tc>
        <w:tc>
          <w:tcPr>
            <w:tcW w:w="789" w:type="dxa"/>
          </w:tcPr>
          <w:p w14:paraId="6FD03C10"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479,2</w:t>
            </w:r>
          </w:p>
        </w:tc>
        <w:tc>
          <w:tcPr>
            <w:tcW w:w="790" w:type="dxa"/>
          </w:tcPr>
          <w:p w14:paraId="229D23C8"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485,8</w:t>
            </w:r>
          </w:p>
        </w:tc>
      </w:tr>
      <w:tr w:rsidR="0093412E" w14:paraId="5B60FA28" w14:textId="77777777" w:rsidTr="00E66635">
        <w:trPr>
          <w:trHeight w:val="302"/>
        </w:trPr>
        <w:tc>
          <w:tcPr>
            <w:tcW w:w="2093" w:type="dxa"/>
          </w:tcPr>
          <w:p w14:paraId="5C36438F"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Динаміка, в % до 2022 р.</w:t>
            </w:r>
          </w:p>
        </w:tc>
        <w:tc>
          <w:tcPr>
            <w:tcW w:w="614" w:type="dxa"/>
          </w:tcPr>
          <w:p w14:paraId="28CA9DF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133,20%</w:t>
            </w:r>
          </w:p>
        </w:tc>
        <w:tc>
          <w:tcPr>
            <w:tcW w:w="615" w:type="dxa"/>
          </w:tcPr>
          <w:p w14:paraId="001ADE7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135,00%</w:t>
            </w:r>
          </w:p>
        </w:tc>
        <w:tc>
          <w:tcPr>
            <w:tcW w:w="789" w:type="dxa"/>
          </w:tcPr>
          <w:p w14:paraId="21D5CEA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136,90%</w:t>
            </w:r>
          </w:p>
        </w:tc>
        <w:tc>
          <w:tcPr>
            <w:tcW w:w="790" w:type="dxa"/>
          </w:tcPr>
          <w:p w14:paraId="2266B35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138,80%</w:t>
            </w:r>
          </w:p>
        </w:tc>
        <w:tc>
          <w:tcPr>
            <w:tcW w:w="789" w:type="dxa"/>
          </w:tcPr>
          <w:p w14:paraId="58FA04F0"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140,70%</w:t>
            </w:r>
          </w:p>
        </w:tc>
        <w:tc>
          <w:tcPr>
            <w:tcW w:w="790" w:type="dxa"/>
          </w:tcPr>
          <w:p w14:paraId="0A9C553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142,60%</w:t>
            </w:r>
          </w:p>
        </w:tc>
        <w:tc>
          <w:tcPr>
            <w:tcW w:w="790" w:type="dxa"/>
          </w:tcPr>
          <w:p w14:paraId="2A7DD348"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144,60%</w:t>
            </w:r>
          </w:p>
        </w:tc>
        <w:tc>
          <w:tcPr>
            <w:tcW w:w="789" w:type="dxa"/>
          </w:tcPr>
          <w:p w14:paraId="381F42C1"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146,60%</w:t>
            </w:r>
          </w:p>
        </w:tc>
        <w:tc>
          <w:tcPr>
            <w:tcW w:w="790" w:type="dxa"/>
          </w:tcPr>
          <w:p w14:paraId="2250B889"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148,60%</w:t>
            </w:r>
          </w:p>
        </w:tc>
        <w:tc>
          <w:tcPr>
            <w:tcW w:w="789" w:type="dxa"/>
          </w:tcPr>
          <w:p w14:paraId="0DC4321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150,70%</w:t>
            </w:r>
          </w:p>
        </w:tc>
        <w:tc>
          <w:tcPr>
            <w:tcW w:w="790" w:type="dxa"/>
          </w:tcPr>
          <w:p w14:paraId="3AC3744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152,80%</w:t>
            </w:r>
          </w:p>
        </w:tc>
      </w:tr>
      <w:tr w:rsidR="0093412E" w14:paraId="0812655A" w14:textId="77777777" w:rsidTr="00E66635">
        <w:trPr>
          <w:trHeight w:val="302"/>
        </w:trPr>
        <w:tc>
          <w:tcPr>
            <w:tcW w:w="2093" w:type="dxa"/>
          </w:tcPr>
          <w:p w14:paraId="3269B7C9"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в тому числі:</w:t>
            </w:r>
          </w:p>
        </w:tc>
        <w:tc>
          <w:tcPr>
            <w:tcW w:w="614" w:type="dxa"/>
          </w:tcPr>
          <w:p w14:paraId="1CBC5909"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615" w:type="dxa"/>
          </w:tcPr>
          <w:p w14:paraId="00B07EE6"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89" w:type="dxa"/>
          </w:tcPr>
          <w:p w14:paraId="0E00DBC1"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90" w:type="dxa"/>
          </w:tcPr>
          <w:p w14:paraId="51FB364F"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89" w:type="dxa"/>
          </w:tcPr>
          <w:p w14:paraId="2D5F46B6"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90" w:type="dxa"/>
          </w:tcPr>
          <w:p w14:paraId="3B28735B"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90" w:type="dxa"/>
          </w:tcPr>
          <w:p w14:paraId="19DE4F97"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89" w:type="dxa"/>
          </w:tcPr>
          <w:p w14:paraId="00A00C0E"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90" w:type="dxa"/>
          </w:tcPr>
          <w:p w14:paraId="16FB3168"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89" w:type="dxa"/>
          </w:tcPr>
          <w:p w14:paraId="3DA31EBA"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c>
          <w:tcPr>
            <w:tcW w:w="790" w:type="dxa"/>
          </w:tcPr>
          <w:p w14:paraId="35DE9089"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p>
        </w:tc>
      </w:tr>
      <w:tr w:rsidR="0093412E" w14:paraId="6405F9D5" w14:textId="77777777" w:rsidTr="00E66635">
        <w:trPr>
          <w:trHeight w:val="302"/>
        </w:trPr>
        <w:tc>
          <w:tcPr>
            <w:tcW w:w="2093" w:type="dxa"/>
          </w:tcPr>
          <w:p w14:paraId="44C6DBC7"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населенням</w:t>
            </w:r>
          </w:p>
        </w:tc>
        <w:tc>
          <w:tcPr>
            <w:tcW w:w="614" w:type="dxa"/>
          </w:tcPr>
          <w:p w14:paraId="1BEA2FF8"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334</w:t>
            </w:r>
          </w:p>
        </w:tc>
        <w:tc>
          <w:tcPr>
            <w:tcW w:w="615" w:type="dxa"/>
          </w:tcPr>
          <w:p w14:paraId="023F0C4C"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377,9</w:t>
            </w:r>
          </w:p>
        </w:tc>
        <w:tc>
          <w:tcPr>
            <w:tcW w:w="789" w:type="dxa"/>
          </w:tcPr>
          <w:p w14:paraId="47C772DC"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383,1</w:t>
            </w:r>
          </w:p>
        </w:tc>
        <w:tc>
          <w:tcPr>
            <w:tcW w:w="790" w:type="dxa"/>
          </w:tcPr>
          <w:p w14:paraId="498E450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388,4</w:t>
            </w:r>
          </w:p>
        </w:tc>
        <w:tc>
          <w:tcPr>
            <w:tcW w:w="789" w:type="dxa"/>
          </w:tcPr>
          <w:p w14:paraId="71FC007A"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393,7</w:t>
            </w:r>
          </w:p>
        </w:tc>
        <w:tc>
          <w:tcPr>
            <w:tcW w:w="790" w:type="dxa"/>
          </w:tcPr>
          <w:p w14:paraId="6BAB32B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399,2</w:t>
            </w:r>
          </w:p>
        </w:tc>
        <w:tc>
          <w:tcPr>
            <w:tcW w:w="790" w:type="dxa"/>
          </w:tcPr>
          <w:p w14:paraId="21C593FD"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404,7</w:t>
            </w:r>
          </w:p>
        </w:tc>
        <w:tc>
          <w:tcPr>
            <w:tcW w:w="789" w:type="dxa"/>
          </w:tcPr>
          <w:p w14:paraId="33CB0DFA"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410,3</w:t>
            </w:r>
          </w:p>
        </w:tc>
        <w:tc>
          <w:tcPr>
            <w:tcW w:w="790" w:type="dxa"/>
          </w:tcPr>
          <w:p w14:paraId="0FE40B16"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415,9</w:t>
            </w:r>
          </w:p>
        </w:tc>
        <w:tc>
          <w:tcPr>
            <w:tcW w:w="789" w:type="dxa"/>
          </w:tcPr>
          <w:p w14:paraId="3A8A079C"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421,7</w:t>
            </w:r>
          </w:p>
        </w:tc>
        <w:tc>
          <w:tcPr>
            <w:tcW w:w="790" w:type="dxa"/>
          </w:tcPr>
          <w:p w14:paraId="5C52C37D"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427,5</w:t>
            </w:r>
          </w:p>
        </w:tc>
      </w:tr>
      <w:tr w:rsidR="0093412E" w14:paraId="317945C1" w14:textId="77777777" w:rsidTr="00E66635">
        <w:trPr>
          <w:trHeight w:val="422"/>
        </w:trPr>
        <w:tc>
          <w:tcPr>
            <w:tcW w:w="2093" w:type="dxa"/>
          </w:tcPr>
          <w:p w14:paraId="544E4C6D" w14:textId="77777777" w:rsidR="0093412E" w:rsidRDefault="0093412E">
            <w:pPr>
              <w:tabs>
                <w:tab w:val="clear" w:pos="284"/>
                <w:tab w:val="clear" w:pos="1985"/>
              </w:tabs>
              <w:autoSpaceDE w:val="0"/>
              <w:autoSpaceDN w:val="0"/>
              <w:adjustRightInd w:val="0"/>
              <w:spacing w:before="0" w:after="0" w:line="240" w:lineRule="auto"/>
              <w:jc w:val="left"/>
              <w:rPr>
                <w:color w:val="000000"/>
                <w:sz w:val="16"/>
                <w:szCs w:val="16"/>
              </w:rPr>
            </w:pPr>
            <w:r>
              <w:rPr>
                <w:color w:val="000000"/>
                <w:sz w:val="16"/>
                <w:szCs w:val="16"/>
              </w:rPr>
              <w:t>організаціями, установами та інфраструкторою  НП</w:t>
            </w:r>
          </w:p>
        </w:tc>
        <w:tc>
          <w:tcPr>
            <w:tcW w:w="614" w:type="dxa"/>
          </w:tcPr>
          <w:p w14:paraId="5AD6C89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45,6</w:t>
            </w:r>
          </w:p>
        </w:tc>
        <w:tc>
          <w:tcPr>
            <w:tcW w:w="615" w:type="dxa"/>
          </w:tcPr>
          <w:p w14:paraId="7CDA1E4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51,5</w:t>
            </w:r>
          </w:p>
        </w:tc>
        <w:tc>
          <w:tcPr>
            <w:tcW w:w="789" w:type="dxa"/>
          </w:tcPr>
          <w:p w14:paraId="56C83FF7"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52,2</w:t>
            </w:r>
          </w:p>
        </w:tc>
        <w:tc>
          <w:tcPr>
            <w:tcW w:w="790" w:type="dxa"/>
          </w:tcPr>
          <w:p w14:paraId="5B4ACD28"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53</w:t>
            </w:r>
          </w:p>
        </w:tc>
        <w:tc>
          <w:tcPr>
            <w:tcW w:w="789" w:type="dxa"/>
          </w:tcPr>
          <w:p w14:paraId="5FAD5CFC"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53,7</w:t>
            </w:r>
          </w:p>
        </w:tc>
        <w:tc>
          <w:tcPr>
            <w:tcW w:w="790" w:type="dxa"/>
          </w:tcPr>
          <w:p w14:paraId="18D5072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54,4</w:t>
            </w:r>
          </w:p>
        </w:tc>
        <w:tc>
          <w:tcPr>
            <w:tcW w:w="790" w:type="dxa"/>
          </w:tcPr>
          <w:p w14:paraId="3F7FB08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55,2</w:t>
            </w:r>
          </w:p>
        </w:tc>
        <w:tc>
          <w:tcPr>
            <w:tcW w:w="789" w:type="dxa"/>
          </w:tcPr>
          <w:p w14:paraId="20A399E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55,9</w:t>
            </w:r>
          </w:p>
        </w:tc>
        <w:tc>
          <w:tcPr>
            <w:tcW w:w="790" w:type="dxa"/>
          </w:tcPr>
          <w:p w14:paraId="3F535C7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56,7</w:t>
            </w:r>
          </w:p>
        </w:tc>
        <w:tc>
          <w:tcPr>
            <w:tcW w:w="789" w:type="dxa"/>
          </w:tcPr>
          <w:p w14:paraId="7C0E9073"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57,5</w:t>
            </w:r>
          </w:p>
        </w:tc>
        <w:tc>
          <w:tcPr>
            <w:tcW w:w="790" w:type="dxa"/>
          </w:tcPr>
          <w:p w14:paraId="55C88276"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58,3</w:t>
            </w:r>
          </w:p>
        </w:tc>
      </w:tr>
      <w:tr w:rsidR="0093412E" w14:paraId="49CE82A7" w14:textId="77777777" w:rsidTr="00E66635">
        <w:trPr>
          <w:trHeight w:val="302"/>
        </w:trPr>
        <w:tc>
          <w:tcPr>
            <w:tcW w:w="2093" w:type="dxa"/>
          </w:tcPr>
          <w:p w14:paraId="1475BBC2" w14:textId="77777777" w:rsidR="0093412E" w:rsidRDefault="0093412E">
            <w:pPr>
              <w:tabs>
                <w:tab w:val="clear" w:pos="284"/>
                <w:tab w:val="clear" w:pos="1985"/>
              </w:tabs>
              <w:autoSpaceDE w:val="0"/>
              <w:autoSpaceDN w:val="0"/>
              <w:adjustRightInd w:val="0"/>
              <w:spacing w:before="0" w:after="0" w:line="240" w:lineRule="auto"/>
              <w:jc w:val="left"/>
              <w:rPr>
                <w:color w:val="333333"/>
                <w:sz w:val="16"/>
                <w:szCs w:val="16"/>
              </w:rPr>
            </w:pPr>
            <w:r>
              <w:rPr>
                <w:color w:val="333333"/>
                <w:sz w:val="16"/>
                <w:szCs w:val="16"/>
              </w:rPr>
              <w:t> великогабаритні та ремонтні</w:t>
            </w:r>
          </w:p>
        </w:tc>
        <w:tc>
          <w:tcPr>
            <w:tcW w:w="614" w:type="dxa"/>
          </w:tcPr>
          <w:p w14:paraId="03B0AF43"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38</w:t>
            </w:r>
          </w:p>
        </w:tc>
        <w:tc>
          <w:tcPr>
            <w:tcW w:w="615" w:type="dxa"/>
          </w:tcPr>
          <w:p w14:paraId="2C405025"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38,2</w:t>
            </w:r>
          </w:p>
        </w:tc>
        <w:tc>
          <w:tcPr>
            <w:tcW w:w="789" w:type="dxa"/>
          </w:tcPr>
          <w:p w14:paraId="3A4F54C3"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38,5</w:t>
            </w:r>
          </w:p>
        </w:tc>
        <w:tc>
          <w:tcPr>
            <w:tcW w:w="790" w:type="dxa"/>
          </w:tcPr>
          <w:p w14:paraId="107394F5"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38,7</w:t>
            </w:r>
          </w:p>
        </w:tc>
        <w:tc>
          <w:tcPr>
            <w:tcW w:w="789" w:type="dxa"/>
          </w:tcPr>
          <w:p w14:paraId="3D2645DC"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38,9</w:t>
            </w:r>
          </w:p>
        </w:tc>
        <w:tc>
          <w:tcPr>
            <w:tcW w:w="790" w:type="dxa"/>
          </w:tcPr>
          <w:p w14:paraId="0052CE03"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39,2</w:t>
            </w:r>
          </w:p>
        </w:tc>
        <w:tc>
          <w:tcPr>
            <w:tcW w:w="790" w:type="dxa"/>
          </w:tcPr>
          <w:p w14:paraId="03B5E857"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39,4</w:t>
            </w:r>
          </w:p>
        </w:tc>
        <w:tc>
          <w:tcPr>
            <w:tcW w:w="789" w:type="dxa"/>
          </w:tcPr>
          <w:p w14:paraId="749EFB44"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39,6</w:t>
            </w:r>
          </w:p>
        </w:tc>
        <w:tc>
          <w:tcPr>
            <w:tcW w:w="790" w:type="dxa"/>
          </w:tcPr>
          <w:p w14:paraId="121A479E"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39,9</w:t>
            </w:r>
          </w:p>
        </w:tc>
        <w:tc>
          <w:tcPr>
            <w:tcW w:w="789" w:type="dxa"/>
          </w:tcPr>
          <w:p w14:paraId="153A38EA"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40,1</w:t>
            </w:r>
          </w:p>
        </w:tc>
        <w:tc>
          <w:tcPr>
            <w:tcW w:w="790" w:type="dxa"/>
          </w:tcPr>
          <w:p w14:paraId="75A62B8B" w14:textId="77777777" w:rsidR="0093412E" w:rsidRDefault="0093412E">
            <w:pPr>
              <w:tabs>
                <w:tab w:val="clear" w:pos="284"/>
                <w:tab w:val="clear" w:pos="1985"/>
              </w:tabs>
              <w:autoSpaceDE w:val="0"/>
              <w:autoSpaceDN w:val="0"/>
              <w:adjustRightInd w:val="0"/>
              <w:spacing w:before="0" w:after="0" w:line="240" w:lineRule="auto"/>
              <w:jc w:val="right"/>
              <w:rPr>
                <w:rFonts w:ascii="Calibri" w:hAnsi="Calibri" w:cs="Calibri"/>
                <w:color w:val="000000"/>
                <w:sz w:val="16"/>
                <w:szCs w:val="16"/>
              </w:rPr>
            </w:pPr>
            <w:r>
              <w:rPr>
                <w:rFonts w:ascii="Calibri" w:hAnsi="Calibri" w:cs="Calibri"/>
                <w:color w:val="000000"/>
                <w:sz w:val="16"/>
                <w:szCs w:val="16"/>
              </w:rPr>
              <w:t>40,3</w:t>
            </w:r>
          </w:p>
        </w:tc>
      </w:tr>
      <w:tr w:rsidR="0093412E" w14:paraId="36FFD5CD" w14:textId="77777777" w:rsidTr="00E66635">
        <w:trPr>
          <w:trHeight w:val="422"/>
        </w:trPr>
        <w:tc>
          <w:tcPr>
            <w:tcW w:w="2093" w:type="dxa"/>
          </w:tcPr>
          <w:p w14:paraId="12770DFF" w14:textId="77777777" w:rsidR="0093412E" w:rsidRDefault="0093412E">
            <w:pPr>
              <w:tabs>
                <w:tab w:val="clear" w:pos="284"/>
                <w:tab w:val="clear" w:pos="1985"/>
              </w:tabs>
              <w:autoSpaceDE w:val="0"/>
              <w:autoSpaceDN w:val="0"/>
              <w:adjustRightInd w:val="0"/>
              <w:spacing w:before="0" w:after="0" w:line="240" w:lineRule="auto"/>
              <w:jc w:val="left"/>
              <w:rPr>
                <w:color w:val="333333"/>
                <w:sz w:val="16"/>
                <w:szCs w:val="16"/>
              </w:rPr>
            </w:pPr>
            <w:r>
              <w:rPr>
                <w:color w:val="333333"/>
                <w:sz w:val="16"/>
                <w:szCs w:val="16"/>
              </w:rPr>
              <w:t>відходи електричного та електронного обладнання</w:t>
            </w:r>
          </w:p>
        </w:tc>
        <w:tc>
          <w:tcPr>
            <w:tcW w:w="614" w:type="dxa"/>
          </w:tcPr>
          <w:p w14:paraId="7C60B47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w:t>
            </w:r>
          </w:p>
        </w:tc>
        <w:tc>
          <w:tcPr>
            <w:tcW w:w="615" w:type="dxa"/>
          </w:tcPr>
          <w:p w14:paraId="24F94335"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6,1</w:t>
            </w:r>
          </w:p>
        </w:tc>
        <w:tc>
          <w:tcPr>
            <w:tcW w:w="789" w:type="dxa"/>
          </w:tcPr>
          <w:p w14:paraId="0993FE6E"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6,1</w:t>
            </w:r>
          </w:p>
        </w:tc>
        <w:tc>
          <w:tcPr>
            <w:tcW w:w="790" w:type="dxa"/>
          </w:tcPr>
          <w:p w14:paraId="0D9481F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6,2</w:t>
            </w:r>
          </w:p>
        </w:tc>
        <w:tc>
          <w:tcPr>
            <w:tcW w:w="789" w:type="dxa"/>
          </w:tcPr>
          <w:p w14:paraId="154A25C4"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6,2</w:t>
            </w:r>
          </w:p>
        </w:tc>
        <w:tc>
          <w:tcPr>
            <w:tcW w:w="790" w:type="dxa"/>
          </w:tcPr>
          <w:p w14:paraId="5897858D"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6,3</w:t>
            </w:r>
          </w:p>
        </w:tc>
        <w:tc>
          <w:tcPr>
            <w:tcW w:w="790" w:type="dxa"/>
          </w:tcPr>
          <w:p w14:paraId="47EB58A6"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6,4</w:t>
            </w:r>
          </w:p>
        </w:tc>
        <w:tc>
          <w:tcPr>
            <w:tcW w:w="789" w:type="dxa"/>
          </w:tcPr>
          <w:p w14:paraId="2AB4BDC2"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6,4</w:t>
            </w:r>
          </w:p>
        </w:tc>
        <w:tc>
          <w:tcPr>
            <w:tcW w:w="790" w:type="dxa"/>
          </w:tcPr>
          <w:p w14:paraId="72E09311"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6,5</w:t>
            </w:r>
          </w:p>
        </w:tc>
        <w:tc>
          <w:tcPr>
            <w:tcW w:w="789" w:type="dxa"/>
          </w:tcPr>
          <w:p w14:paraId="2C76D9FB"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6,6</w:t>
            </w:r>
          </w:p>
        </w:tc>
        <w:tc>
          <w:tcPr>
            <w:tcW w:w="790" w:type="dxa"/>
          </w:tcPr>
          <w:p w14:paraId="66952DC0" w14:textId="77777777" w:rsidR="0093412E" w:rsidRDefault="0093412E">
            <w:pPr>
              <w:tabs>
                <w:tab w:val="clear" w:pos="284"/>
                <w:tab w:val="clear" w:pos="1985"/>
              </w:tabs>
              <w:autoSpaceDE w:val="0"/>
              <w:autoSpaceDN w:val="0"/>
              <w:adjustRightInd w:val="0"/>
              <w:spacing w:before="0" w:after="0" w:line="240" w:lineRule="auto"/>
              <w:jc w:val="right"/>
              <w:rPr>
                <w:color w:val="000000"/>
                <w:sz w:val="16"/>
                <w:szCs w:val="16"/>
              </w:rPr>
            </w:pPr>
            <w:r>
              <w:rPr>
                <w:color w:val="000000"/>
                <w:sz w:val="16"/>
                <w:szCs w:val="16"/>
              </w:rPr>
              <w:t>6,6</w:t>
            </w:r>
          </w:p>
        </w:tc>
      </w:tr>
    </w:tbl>
    <w:p w14:paraId="0896B9CB" w14:textId="3F2E2E10" w:rsidR="009E1FC8" w:rsidRPr="00C22C49" w:rsidRDefault="009E1FC8" w:rsidP="009E1FC8"/>
    <w:p w14:paraId="0896B9CD" w14:textId="77777777" w:rsidR="00AA70AF" w:rsidRPr="00C22C49" w:rsidRDefault="00AA70AF" w:rsidP="00AA70AF"/>
    <w:p w14:paraId="0896B9CE" w14:textId="77777777" w:rsidR="009E1FC8" w:rsidRPr="00C22C49" w:rsidRDefault="0058773D" w:rsidP="00C95E5C">
      <w:pPr>
        <w:pStyle w:val="Heading4boldRED"/>
        <w:rPr>
          <w:rStyle w:val="affe"/>
          <w:iCs w:val="0"/>
          <w:sz w:val="26"/>
          <w:lang w:val="uk-UA"/>
        </w:rPr>
      </w:pPr>
      <w:r w:rsidRPr="00C22C49">
        <w:rPr>
          <w:rStyle w:val="affe"/>
          <w:iCs w:val="0"/>
          <w:sz w:val="26"/>
          <w:lang w:val="uk-UA"/>
        </w:rPr>
        <w:t>Небезпечні відходи</w:t>
      </w:r>
    </w:p>
    <w:p w14:paraId="0896B9CF" w14:textId="77777777" w:rsidR="00694E59" w:rsidRPr="00C22C49" w:rsidRDefault="00694E59" w:rsidP="00694E59">
      <w:pPr>
        <w:rPr>
          <w:szCs w:val="24"/>
          <w:lang w:eastAsia="bg-BG"/>
        </w:rPr>
      </w:pPr>
      <w:r w:rsidRPr="00C22C49">
        <w:rPr>
          <w:szCs w:val="24"/>
          <w:lang w:eastAsia="bg-BG"/>
        </w:rPr>
        <w:t xml:space="preserve">Суттєвий вплив на обсяги утворення небезпечних відходів на прогнозований період до 2035 р. мають цілий ряд факторів, обумовлених війною, оскільки значна частина промислового виробництва на окупованих територіях практично зруйнована, а решта територій піддається інтенсивним ракетним обстрілам, особливо це стосується енергетичної сфери. Крім цього вимушена міграція в межах країни із окупованих територій в центральні та, західні регіони та релокація виробничого потенціалу в ці райони суттєво впливають на обсяги та географію утворення небезпечних відходів. </w:t>
      </w:r>
    </w:p>
    <w:p w14:paraId="0896B9D0" w14:textId="45335302" w:rsidR="008B2E27" w:rsidRPr="00C22C49" w:rsidRDefault="00E97CD0" w:rsidP="008B2E27">
      <w:pPr>
        <w:rPr>
          <w:szCs w:val="24"/>
        </w:rPr>
      </w:pPr>
      <w:r w:rsidRPr="00C22C49">
        <w:rPr>
          <w:b/>
          <w:bCs/>
          <w:szCs w:val="24"/>
        </w:rPr>
        <w:t xml:space="preserve">У </w:t>
      </w:r>
      <w:r w:rsidR="005A5613" w:rsidRPr="00C22C49">
        <w:rPr>
          <w:b/>
          <w:bCs/>
          <w:szCs w:val="24"/>
        </w:rPr>
        <w:t xml:space="preserve">2025р. </w:t>
      </w:r>
      <w:r w:rsidR="005A5613" w:rsidRPr="00C22C49">
        <w:rPr>
          <w:szCs w:val="24"/>
        </w:rPr>
        <w:t>за прогнозами утворюватиметься</w:t>
      </w:r>
      <w:r w:rsidR="005A5613" w:rsidRPr="00C22C49">
        <w:rPr>
          <w:b/>
          <w:bCs/>
          <w:szCs w:val="24"/>
        </w:rPr>
        <w:t xml:space="preserve"> </w:t>
      </w:r>
      <w:r w:rsidR="00BA26C7" w:rsidRPr="00C22C49">
        <w:rPr>
          <w:b/>
          <w:bCs/>
          <w:szCs w:val="24"/>
        </w:rPr>
        <w:t>636,0 тис. т небезпечних відходів</w:t>
      </w:r>
      <w:r w:rsidR="0021147C" w:rsidRPr="00C22C49">
        <w:rPr>
          <w:szCs w:val="24"/>
        </w:rPr>
        <w:t xml:space="preserve"> (</w:t>
      </w:r>
      <w:r w:rsidR="00F2235E" w:rsidRPr="00C22C49">
        <w:rPr>
          <w:szCs w:val="24"/>
        </w:rPr>
        <w:t>з ни</w:t>
      </w:r>
      <w:r w:rsidR="008B7EC5" w:rsidRPr="00C22C49">
        <w:rPr>
          <w:szCs w:val="24"/>
        </w:rPr>
        <w:t xml:space="preserve">х I класу небезпеки 2,2 тис.т, </w:t>
      </w:r>
      <w:r w:rsidR="00256859" w:rsidRPr="00C22C49">
        <w:rPr>
          <w:szCs w:val="24"/>
        </w:rPr>
        <w:t xml:space="preserve">II класу небезпеки – 36,8 тис.т, </w:t>
      </w:r>
      <w:r w:rsidR="007E0182" w:rsidRPr="00C22C49">
        <w:rPr>
          <w:szCs w:val="24"/>
        </w:rPr>
        <w:t>III класу небезпеки</w:t>
      </w:r>
      <w:r w:rsidR="009D14E7" w:rsidRPr="00C22C49">
        <w:rPr>
          <w:szCs w:val="24"/>
        </w:rPr>
        <w:t xml:space="preserve"> 597,0тис. т)</w:t>
      </w:r>
      <w:r w:rsidR="00BA26C7" w:rsidRPr="00C22C49">
        <w:rPr>
          <w:szCs w:val="24"/>
        </w:rPr>
        <w:t xml:space="preserve">, </w:t>
      </w:r>
      <w:r w:rsidR="000B4880" w:rsidRPr="00C22C49">
        <w:rPr>
          <w:szCs w:val="24"/>
        </w:rPr>
        <w:t>до</w:t>
      </w:r>
      <w:r w:rsidR="00BA26C7" w:rsidRPr="00C22C49">
        <w:rPr>
          <w:szCs w:val="24"/>
        </w:rPr>
        <w:t xml:space="preserve"> </w:t>
      </w:r>
      <w:r w:rsidRPr="00C22C49">
        <w:rPr>
          <w:b/>
          <w:bCs/>
          <w:szCs w:val="24"/>
        </w:rPr>
        <w:t>2030 р.</w:t>
      </w:r>
      <w:r w:rsidR="00BA26C7" w:rsidRPr="00C22C49">
        <w:rPr>
          <w:b/>
          <w:bCs/>
          <w:szCs w:val="24"/>
        </w:rPr>
        <w:t xml:space="preserve"> </w:t>
      </w:r>
      <w:r w:rsidR="000B4880" w:rsidRPr="00C22C49">
        <w:rPr>
          <w:szCs w:val="24"/>
        </w:rPr>
        <w:t>відбудеться зме</w:t>
      </w:r>
      <w:r w:rsidR="00A02D92" w:rsidRPr="00C22C49">
        <w:rPr>
          <w:szCs w:val="24"/>
        </w:rPr>
        <w:t>ншення утворення небезпечних відходів до</w:t>
      </w:r>
      <w:r w:rsidR="00A02D92" w:rsidRPr="00C22C49">
        <w:rPr>
          <w:b/>
          <w:bCs/>
          <w:szCs w:val="24"/>
        </w:rPr>
        <w:t xml:space="preserve"> </w:t>
      </w:r>
      <w:r w:rsidR="00C37591" w:rsidRPr="00C22C49">
        <w:rPr>
          <w:b/>
          <w:bCs/>
          <w:szCs w:val="24"/>
        </w:rPr>
        <w:t>520,2 тис.т</w:t>
      </w:r>
      <w:r w:rsidR="005A5613" w:rsidRPr="00C22C49">
        <w:rPr>
          <w:b/>
          <w:bCs/>
          <w:szCs w:val="24"/>
        </w:rPr>
        <w:t>,</w:t>
      </w:r>
      <w:r w:rsidR="00A02D92" w:rsidRPr="00C22C49">
        <w:rPr>
          <w:szCs w:val="24"/>
        </w:rPr>
        <w:t xml:space="preserve"> у </w:t>
      </w:r>
      <w:r w:rsidR="00262132" w:rsidRPr="00C22C49">
        <w:rPr>
          <w:b/>
          <w:bCs/>
          <w:szCs w:val="24"/>
        </w:rPr>
        <w:t>2034р</w:t>
      </w:r>
      <w:r w:rsidR="00262132" w:rsidRPr="00C22C49">
        <w:rPr>
          <w:szCs w:val="24"/>
        </w:rPr>
        <w:t>.</w:t>
      </w:r>
      <w:r w:rsidR="00A02D92" w:rsidRPr="00C22C49">
        <w:rPr>
          <w:szCs w:val="24"/>
        </w:rPr>
        <w:t xml:space="preserve"> прогнозується </w:t>
      </w:r>
      <w:r w:rsidR="00A97330" w:rsidRPr="00C22C49">
        <w:rPr>
          <w:szCs w:val="24"/>
        </w:rPr>
        <w:t>утворення на рівні 87,9% від 2022 року.</w:t>
      </w:r>
      <w:r w:rsidR="005A5613" w:rsidRPr="00C22C49">
        <w:rPr>
          <w:szCs w:val="24"/>
        </w:rPr>
        <w:t xml:space="preserve"> </w:t>
      </w:r>
      <w:r w:rsidR="008B2E27" w:rsidRPr="00C22C49">
        <w:rPr>
          <w:szCs w:val="24"/>
        </w:rPr>
        <w:t xml:space="preserve">В структурі утворюваних відходів за категоріями матеріалів і надалі прогнозується суттєве зростання обсягів хімічних відходів, відходів  кислот, лугів та солей, осадів промислових стоків, змішаних та недиференційованих матеріалів, інших мінеральних відходів, особливо будівництва та знесення, відходів металу та зношених транспортних засобів. Частка утворення небезпечних відходів в побутових відходах на основі припущень приймається в розмірі 1% від загального обсягу утворення </w:t>
      </w:r>
      <w:r w:rsidR="00D84FEA" w:rsidRPr="00D84FEA">
        <w:rPr>
          <w:szCs w:val="24"/>
        </w:rPr>
        <w:t>побутових відходів</w:t>
      </w:r>
      <w:r w:rsidR="008B2E27" w:rsidRPr="00C22C49">
        <w:rPr>
          <w:szCs w:val="24"/>
        </w:rPr>
        <w:t>.</w:t>
      </w:r>
    </w:p>
    <w:p w14:paraId="0896B9D1" w14:textId="77777777" w:rsidR="00754475" w:rsidRDefault="00754475" w:rsidP="00754475">
      <w:pPr>
        <w:rPr>
          <w:szCs w:val="24"/>
        </w:rPr>
      </w:pPr>
    </w:p>
    <w:p w14:paraId="359FC258" w14:textId="1CD88678" w:rsidR="009729D0" w:rsidRPr="00D936A9" w:rsidRDefault="00A63074" w:rsidP="004B4349">
      <w:pPr>
        <w:rPr>
          <w:b/>
          <w:bCs/>
          <w:szCs w:val="24"/>
        </w:rPr>
      </w:pPr>
      <w:r w:rsidRPr="00D936A9">
        <w:rPr>
          <w:b/>
          <w:bCs/>
          <w:szCs w:val="24"/>
        </w:rPr>
        <w:t xml:space="preserve">Таблиця. </w:t>
      </w:r>
      <w:r w:rsidR="004B4349" w:rsidRPr="00D936A9">
        <w:rPr>
          <w:b/>
          <w:bCs/>
          <w:szCs w:val="24"/>
        </w:rPr>
        <w:t>Прогноз утворення небезпечних відходів за категоріями небезпечності (2023-2035 рр., тис. т/рік)</w:t>
      </w:r>
    </w:p>
    <w:tbl>
      <w:tblPr>
        <w:tblStyle w:val="afa"/>
        <w:tblW w:w="0" w:type="auto"/>
        <w:jc w:val="center"/>
        <w:tblLayout w:type="fixed"/>
        <w:tblLook w:val="0000" w:firstRow="0" w:lastRow="0" w:firstColumn="0" w:lastColumn="0" w:noHBand="0" w:noVBand="0"/>
      </w:tblPr>
      <w:tblGrid>
        <w:gridCol w:w="1366"/>
        <w:gridCol w:w="2466"/>
        <w:gridCol w:w="2268"/>
        <w:gridCol w:w="2268"/>
      </w:tblGrid>
      <w:tr w:rsidR="00D30DBE" w:rsidRPr="00D936A9" w14:paraId="27CABE2D" w14:textId="77777777" w:rsidTr="00D936A9">
        <w:trPr>
          <w:trHeight w:val="256"/>
          <w:jc w:val="center"/>
        </w:trPr>
        <w:tc>
          <w:tcPr>
            <w:tcW w:w="1366" w:type="dxa"/>
          </w:tcPr>
          <w:p w14:paraId="3A957FDC" w14:textId="41CE6194" w:rsidR="00D30DBE" w:rsidRPr="00D936A9" w:rsidRDefault="00D936A9">
            <w:pPr>
              <w:tabs>
                <w:tab w:val="clear" w:pos="284"/>
                <w:tab w:val="clear" w:pos="1985"/>
              </w:tabs>
              <w:autoSpaceDE w:val="0"/>
              <w:autoSpaceDN w:val="0"/>
              <w:adjustRightInd w:val="0"/>
              <w:spacing w:before="0" w:after="0" w:line="240" w:lineRule="auto"/>
              <w:jc w:val="left"/>
              <w:rPr>
                <w:b/>
                <w:bCs/>
                <w:color w:val="000000"/>
                <w:sz w:val="24"/>
                <w:szCs w:val="24"/>
              </w:rPr>
            </w:pPr>
            <w:r w:rsidRPr="00D936A9">
              <w:rPr>
                <w:b/>
                <w:bCs/>
                <w:color w:val="000000"/>
                <w:sz w:val="24"/>
                <w:szCs w:val="24"/>
              </w:rPr>
              <w:t>Рік</w:t>
            </w:r>
          </w:p>
        </w:tc>
        <w:tc>
          <w:tcPr>
            <w:tcW w:w="2466" w:type="dxa"/>
          </w:tcPr>
          <w:p w14:paraId="1456DE23" w14:textId="77777777" w:rsidR="00D30DBE" w:rsidRPr="00D936A9" w:rsidRDefault="00D30DBE">
            <w:pPr>
              <w:tabs>
                <w:tab w:val="clear" w:pos="284"/>
                <w:tab w:val="clear" w:pos="1985"/>
              </w:tabs>
              <w:autoSpaceDE w:val="0"/>
              <w:autoSpaceDN w:val="0"/>
              <w:adjustRightInd w:val="0"/>
              <w:spacing w:before="0" w:after="0" w:line="240" w:lineRule="auto"/>
              <w:jc w:val="left"/>
              <w:rPr>
                <w:b/>
                <w:bCs/>
                <w:color w:val="000000"/>
                <w:sz w:val="24"/>
                <w:szCs w:val="24"/>
              </w:rPr>
            </w:pPr>
            <w:r w:rsidRPr="00D936A9">
              <w:rPr>
                <w:b/>
                <w:bCs/>
                <w:color w:val="000000"/>
                <w:sz w:val="24"/>
                <w:szCs w:val="24"/>
              </w:rPr>
              <w:t>III класу небезпеки</w:t>
            </w:r>
          </w:p>
        </w:tc>
        <w:tc>
          <w:tcPr>
            <w:tcW w:w="2268" w:type="dxa"/>
          </w:tcPr>
          <w:p w14:paraId="63949591" w14:textId="77777777" w:rsidR="00D30DBE" w:rsidRPr="00D936A9" w:rsidRDefault="00D30DBE">
            <w:pPr>
              <w:tabs>
                <w:tab w:val="clear" w:pos="284"/>
                <w:tab w:val="clear" w:pos="1985"/>
              </w:tabs>
              <w:autoSpaceDE w:val="0"/>
              <w:autoSpaceDN w:val="0"/>
              <w:adjustRightInd w:val="0"/>
              <w:spacing w:before="0" w:after="0" w:line="240" w:lineRule="auto"/>
              <w:jc w:val="left"/>
              <w:rPr>
                <w:b/>
                <w:bCs/>
                <w:color w:val="000000"/>
                <w:sz w:val="24"/>
                <w:szCs w:val="24"/>
              </w:rPr>
            </w:pPr>
            <w:r w:rsidRPr="00D936A9">
              <w:rPr>
                <w:b/>
                <w:bCs/>
                <w:color w:val="000000"/>
                <w:sz w:val="24"/>
                <w:szCs w:val="24"/>
              </w:rPr>
              <w:t>II класу небезпеки</w:t>
            </w:r>
          </w:p>
        </w:tc>
        <w:tc>
          <w:tcPr>
            <w:tcW w:w="2268" w:type="dxa"/>
          </w:tcPr>
          <w:p w14:paraId="563AC5FF" w14:textId="77777777" w:rsidR="00D30DBE" w:rsidRPr="00D936A9" w:rsidRDefault="00D30DBE">
            <w:pPr>
              <w:tabs>
                <w:tab w:val="clear" w:pos="284"/>
                <w:tab w:val="clear" w:pos="1985"/>
              </w:tabs>
              <w:autoSpaceDE w:val="0"/>
              <w:autoSpaceDN w:val="0"/>
              <w:adjustRightInd w:val="0"/>
              <w:spacing w:before="0" w:after="0" w:line="240" w:lineRule="auto"/>
              <w:jc w:val="left"/>
              <w:rPr>
                <w:b/>
                <w:bCs/>
                <w:color w:val="000000"/>
                <w:sz w:val="24"/>
                <w:szCs w:val="24"/>
              </w:rPr>
            </w:pPr>
            <w:r w:rsidRPr="00D936A9">
              <w:rPr>
                <w:b/>
                <w:bCs/>
                <w:color w:val="000000"/>
                <w:sz w:val="24"/>
                <w:szCs w:val="24"/>
              </w:rPr>
              <w:t>I класу небезпеки</w:t>
            </w:r>
          </w:p>
        </w:tc>
      </w:tr>
      <w:tr w:rsidR="00D30DBE" w:rsidRPr="00D936A9" w14:paraId="0E73241F" w14:textId="77777777" w:rsidTr="00D936A9">
        <w:trPr>
          <w:trHeight w:val="326"/>
          <w:jc w:val="center"/>
        </w:trPr>
        <w:tc>
          <w:tcPr>
            <w:tcW w:w="1366" w:type="dxa"/>
          </w:tcPr>
          <w:p w14:paraId="27EE8576"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2023</w:t>
            </w:r>
          </w:p>
        </w:tc>
        <w:tc>
          <w:tcPr>
            <w:tcW w:w="2466" w:type="dxa"/>
          </w:tcPr>
          <w:p w14:paraId="0482D3CA"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545,4</w:t>
            </w:r>
          </w:p>
        </w:tc>
        <w:tc>
          <w:tcPr>
            <w:tcW w:w="2268" w:type="dxa"/>
          </w:tcPr>
          <w:p w14:paraId="2A03B0A5"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33,6</w:t>
            </w:r>
          </w:p>
        </w:tc>
        <w:tc>
          <w:tcPr>
            <w:tcW w:w="2268" w:type="dxa"/>
          </w:tcPr>
          <w:p w14:paraId="6A9C6F9F"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w:t>
            </w:r>
          </w:p>
        </w:tc>
      </w:tr>
      <w:tr w:rsidR="00D30DBE" w:rsidRPr="00D936A9" w14:paraId="308EE71F" w14:textId="77777777" w:rsidTr="00D936A9">
        <w:trPr>
          <w:trHeight w:val="326"/>
          <w:jc w:val="center"/>
        </w:trPr>
        <w:tc>
          <w:tcPr>
            <w:tcW w:w="1366" w:type="dxa"/>
          </w:tcPr>
          <w:p w14:paraId="723D6850"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2024</w:t>
            </w:r>
          </w:p>
        </w:tc>
        <w:tc>
          <w:tcPr>
            <w:tcW w:w="2466" w:type="dxa"/>
          </w:tcPr>
          <w:p w14:paraId="38D7C7F7"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584,1</w:t>
            </w:r>
          </w:p>
        </w:tc>
        <w:tc>
          <w:tcPr>
            <w:tcW w:w="2268" w:type="dxa"/>
          </w:tcPr>
          <w:p w14:paraId="491F0ECB"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36</w:t>
            </w:r>
          </w:p>
        </w:tc>
        <w:tc>
          <w:tcPr>
            <w:tcW w:w="2268" w:type="dxa"/>
          </w:tcPr>
          <w:p w14:paraId="47876733"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2,2</w:t>
            </w:r>
          </w:p>
        </w:tc>
      </w:tr>
      <w:tr w:rsidR="00D30DBE" w:rsidRPr="00D936A9" w14:paraId="333C7B99" w14:textId="77777777" w:rsidTr="00D936A9">
        <w:trPr>
          <w:trHeight w:val="326"/>
          <w:jc w:val="center"/>
        </w:trPr>
        <w:tc>
          <w:tcPr>
            <w:tcW w:w="1366" w:type="dxa"/>
          </w:tcPr>
          <w:p w14:paraId="754550B2"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2025</w:t>
            </w:r>
          </w:p>
        </w:tc>
        <w:tc>
          <w:tcPr>
            <w:tcW w:w="2466" w:type="dxa"/>
          </w:tcPr>
          <w:p w14:paraId="7F35C4F5"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597</w:t>
            </w:r>
          </w:p>
        </w:tc>
        <w:tc>
          <w:tcPr>
            <w:tcW w:w="2268" w:type="dxa"/>
          </w:tcPr>
          <w:p w14:paraId="4CD1D46D"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36,8</w:t>
            </w:r>
          </w:p>
        </w:tc>
        <w:tc>
          <w:tcPr>
            <w:tcW w:w="2268" w:type="dxa"/>
          </w:tcPr>
          <w:p w14:paraId="28CF4951"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2,2</w:t>
            </w:r>
          </w:p>
        </w:tc>
      </w:tr>
      <w:tr w:rsidR="00D30DBE" w:rsidRPr="00D936A9" w14:paraId="5EB81B27" w14:textId="77777777" w:rsidTr="00D936A9">
        <w:trPr>
          <w:trHeight w:val="326"/>
          <w:jc w:val="center"/>
        </w:trPr>
        <w:tc>
          <w:tcPr>
            <w:tcW w:w="1366" w:type="dxa"/>
          </w:tcPr>
          <w:p w14:paraId="325E67E3"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2026</w:t>
            </w:r>
          </w:p>
        </w:tc>
        <w:tc>
          <w:tcPr>
            <w:tcW w:w="2466" w:type="dxa"/>
          </w:tcPr>
          <w:p w14:paraId="6AC437FE"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575,3</w:t>
            </w:r>
          </w:p>
        </w:tc>
        <w:tc>
          <w:tcPr>
            <w:tcW w:w="2268" w:type="dxa"/>
          </w:tcPr>
          <w:p w14:paraId="04A504E3"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35,4</w:t>
            </w:r>
          </w:p>
        </w:tc>
        <w:tc>
          <w:tcPr>
            <w:tcW w:w="2268" w:type="dxa"/>
          </w:tcPr>
          <w:p w14:paraId="49B92473"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2,1</w:t>
            </w:r>
          </w:p>
        </w:tc>
      </w:tr>
      <w:tr w:rsidR="00D30DBE" w:rsidRPr="00D936A9" w14:paraId="1EB61356" w14:textId="77777777" w:rsidTr="00D936A9">
        <w:trPr>
          <w:trHeight w:val="326"/>
          <w:jc w:val="center"/>
        </w:trPr>
        <w:tc>
          <w:tcPr>
            <w:tcW w:w="1366" w:type="dxa"/>
          </w:tcPr>
          <w:p w14:paraId="57F69D07"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2027</w:t>
            </w:r>
          </w:p>
        </w:tc>
        <w:tc>
          <w:tcPr>
            <w:tcW w:w="2466" w:type="dxa"/>
          </w:tcPr>
          <w:p w14:paraId="2AF30B08"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554,4</w:t>
            </w:r>
          </w:p>
        </w:tc>
        <w:tc>
          <w:tcPr>
            <w:tcW w:w="2268" w:type="dxa"/>
          </w:tcPr>
          <w:p w14:paraId="48FB048D"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34,2</w:t>
            </w:r>
          </w:p>
        </w:tc>
        <w:tc>
          <w:tcPr>
            <w:tcW w:w="2268" w:type="dxa"/>
          </w:tcPr>
          <w:p w14:paraId="60EA7C79"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w:t>
            </w:r>
          </w:p>
        </w:tc>
      </w:tr>
      <w:tr w:rsidR="00D30DBE" w:rsidRPr="00D936A9" w14:paraId="1FCCFC33" w14:textId="77777777" w:rsidTr="00D936A9">
        <w:trPr>
          <w:trHeight w:val="326"/>
          <w:jc w:val="center"/>
        </w:trPr>
        <w:tc>
          <w:tcPr>
            <w:tcW w:w="1366" w:type="dxa"/>
          </w:tcPr>
          <w:p w14:paraId="4A109ADD"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2028</w:t>
            </w:r>
          </w:p>
        </w:tc>
        <w:tc>
          <w:tcPr>
            <w:tcW w:w="2466" w:type="dxa"/>
          </w:tcPr>
          <w:p w14:paraId="7A11FB34"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528,7</w:t>
            </w:r>
          </w:p>
        </w:tc>
        <w:tc>
          <w:tcPr>
            <w:tcW w:w="2268" w:type="dxa"/>
          </w:tcPr>
          <w:p w14:paraId="1EDF01D0"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32,6</w:t>
            </w:r>
          </w:p>
        </w:tc>
        <w:tc>
          <w:tcPr>
            <w:tcW w:w="2268" w:type="dxa"/>
          </w:tcPr>
          <w:p w14:paraId="6C554F38"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1,9</w:t>
            </w:r>
          </w:p>
        </w:tc>
      </w:tr>
      <w:tr w:rsidR="00D30DBE" w:rsidRPr="00D936A9" w14:paraId="4C21DB80" w14:textId="77777777" w:rsidTr="00D936A9">
        <w:trPr>
          <w:trHeight w:val="326"/>
          <w:jc w:val="center"/>
        </w:trPr>
        <w:tc>
          <w:tcPr>
            <w:tcW w:w="1366" w:type="dxa"/>
          </w:tcPr>
          <w:p w14:paraId="15F3F6E3"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2029</w:t>
            </w:r>
          </w:p>
        </w:tc>
        <w:tc>
          <w:tcPr>
            <w:tcW w:w="2466" w:type="dxa"/>
          </w:tcPr>
          <w:p w14:paraId="4B532B72"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509,4</w:t>
            </w:r>
          </w:p>
        </w:tc>
        <w:tc>
          <w:tcPr>
            <w:tcW w:w="2268" w:type="dxa"/>
          </w:tcPr>
          <w:p w14:paraId="50B68B1B"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31,4</w:t>
            </w:r>
          </w:p>
        </w:tc>
        <w:tc>
          <w:tcPr>
            <w:tcW w:w="2268" w:type="dxa"/>
          </w:tcPr>
          <w:p w14:paraId="06036AB8"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1,9</w:t>
            </w:r>
          </w:p>
        </w:tc>
      </w:tr>
      <w:tr w:rsidR="00D30DBE" w:rsidRPr="00D936A9" w14:paraId="07BD890C" w14:textId="77777777" w:rsidTr="00D936A9">
        <w:trPr>
          <w:trHeight w:val="326"/>
          <w:jc w:val="center"/>
        </w:trPr>
        <w:tc>
          <w:tcPr>
            <w:tcW w:w="1366" w:type="dxa"/>
          </w:tcPr>
          <w:p w14:paraId="49EEA25A"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2030</w:t>
            </w:r>
          </w:p>
        </w:tc>
        <w:tc>
          <w:tcPr>
            <w:tcW w:w="2466" w:type="dxa"/>
          </w:tcPr>
          <w:p w14:paraId="62D74344"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488,3</w:t>
            </w:r>
          </w:p>
        </w:tc>
        <w:tc>
          <w:tcPr>
            <w:tcW w:w="2268" w:type="dxa"/>
          </w:tcPr>
          <w:p w14:paraId="773C691B"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30,1</w:t>
            </w:r>
          </w:p>
        </w:tc>
        <w:tc>
          <w:tcPr>
            <w:tcW w:w="2268" w:type="dxa"/>
          </w:tcPr>
          <w:p w14:paraId="6399361B"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1,8</w:t>
            </w:r>
          </w:p>
        </w:tc>
      </w:tr>
      <w:tr w:rsidR="00D30DBE" w:rsidRPr="00D936A9" w14:paraId="32138EF3" w14:textId="77777777" w:rsidTr="00D936A9">
        <w:trPr>
          <w:trHeight w:val="326"/>
          <w:jc w:val="center"/>
        </w:trPr>
        <w:tc>
          <w:tcPr>
            <w:tcW w:w="1366" w:type="dxa"/>
          </w:tcPr>
          <w:p w14:paraId="0D3F3FAB"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2031</w:t>
            </w:r>
          </w:p>
        </w:tc>
        <w:tc>
          <w:tcPr>
            <w:tcW w:w="2466" w:type="dxa"/>
          </w:tcPr>
          <w:p w14:paraId="4E7A4056"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469,3</w:t>
            </w:r>
          </w:p>
        </w:tc>
        <w:tc>
          <w:tcPr>
            <w:tcW w:w="2268" w:type="dxa"/>
          </w:tcPr>
          <w:p w14:paraId="43030C71"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28,9</w:t>
            </w:r>
          </w:p>
        </w:tc>
        <w:tc>
          <w:tcPr>
            <w:tcW w:w="2268" w:type="dxa"/>
          </w:tcPr>
          <w:p w14:paraId="670125C9"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1,7</w:t>
            </w:r>
          </w:p>
        </w:tc>
      </w:tr>
      <w:tr w:rsidR="00D30DBE" w:rsidRPr="00D936A9" w14:paraId="4858C44F" w14:textId="77777777" w:rsidTr="00D936A9">
        <w:trPr>
          <w:trHeight w:val="326"/>
          <w:jc w:val="center"/>
        </w:trPr>
        <w:tc>
          <w:tcPr>
            <w:tcW w:w="1366" w:type="dxa"/>
          </w:tcPr>
          <w:p w14:paraId="335FCE94"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2032</w:t>
            </w:r>
          </w:p>
        </w:tc>
        <w:tc>
          <w:tcPr>
            <w:tcW w:w="2466" w:type="dxa"/>
          </w:tcPr>
          <w:p w14:paraId="7D84D67C"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449,8</w:t>
            </w:r>
          </w:p>
        </w:tc>
        <w:tc>
          <w:tcPr>
            <w:tcW w:w="2268" w:type="dxa"/>
          </w:tcPr>
          <w:p w14:paraId="6C254144"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27,7</w:t>
            </w:r>
          </w:p>
        </w:tc>
        <w:tc>
          <w:tcPr>
            <w:tcW w:w="2268" w:type="dxa"/>
          </w:tcPr>
          <w:p w14:paraId="6C45AF08"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1,7</w:t>
            </w:r>
          </w:p>
        </w:tc>
      </w:tr>
      <w:tr w:rsidR="00D30DBE" w:rsidRPr="00D936A9" w14:paraId="091A7E8B" w14:textId="77777777" w:rsidTr="00D936A9">
        <w:trPr>
          <w:trHeight w:val="326"/>
          <w:jc w:val="center"/>
        </w:trPr>
        <w:tc>
          <w:tcPr>
            <w:tcW w:w="1366" w:type="dxa"/>
          </w:tcPr>
          <w:p w14:paraId="106FF507"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2033</w:t>
            </w:r>
          </w:p>
        </w:tc>
        <w:tc>
          <w:tcPr>
            <w:tcW w:w="2466" w:type="dxa"/>
          </w:tcPr>
          <w:p w14:paraId="3217B75B"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428,9</w:t>
            </w:r>
          </w:p>
        </w:tc>
        <w:tc>
          <w:tcPr>
            <w:tcW w:w="2268" w:type="dxa"/>
          </w:tcPr>
          <w:p w14:paraId="52E1DF2C"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26,4</w:t>
            </w:r>
          </w:p>
        </w:tc>
        <w:tc>
          <w:tcPr>
            <w:tcW w:w="2268" w:type="dxa"/>
          </w:tcPr>
          <w:p w14:paraId="3E3B6EE8" w14:textId="77777777" w:rsidR="00D30DBE" w:rsidRPr="00D936A9" w:rsidRDefault="00D30DBE">
            <w:pPr>
              <w:tabs>
                <w:tab w:val="clear" w:pos="284"/>
                <w:tab w:val="clear" w:pos="1985"/>
              </w:tabs>
              <w:autoSpaceDE w:val="0"/>
              <w:autoSpaceDN w:val="0"/>
              <w:adjustRightInd w:val="0"/>
              <w:spacing w:before="0" w:after="0" w:line="240" w:lineRule="auto"/>
              <w:jc w:val="left"/>
              <w:rPr>
                <w:color w:val="000000"/>
                <w:sz w:val="24"/>
                <w:szCs w:val="24"/>
              </w:rPr>
            </w:pPr>
            <w:r w:rsidRPr="00D936A9">
              <w:rPr>
                <w:color w:val="000000"/>
                <w:sz w:val="24"/>
                <w:szCs w:val="24"/>
              </w:rPr>
              <w:t>1,6</w:t>
            </w:r>
          </w:p>
        </w:tc>
      </w:tr>
    </w:tbl>
    <w:p w14:paraId="0896B9D2" w14:textId="08E21C8F" w:rsidR="009E1FC8" w:rsidRPr="00C22C49" w:rsidRDefault="009E1FC8" w:rsidP="009E1FC8"/>
    <w:p w14:paraId="0896B9D4" w14:textId="77777777" w:rsidR="00F53C5B" w:rsidRPr="00C22C49" w:rsidRDefault="00E41621" w:rsidP="00E41621">
      <w:r w:rsidRPr="00C22C49">
        <w:t>Зменшення загальних обсягів утворення небезпечних відходів в прогнозованому періоді відбудеться за рахунок впровадження новітніх технологій у всіх виробничих сферах, оскільки значна їх частина потребує повного та часткового оновлення в результаті руйнувань та зміни джерел постачання. В кінцевому підсумку обсяг утворюваних небезпечних відходів на одиницю продукції зменшиться, але в розрахунку на одну особу практично не зміниться, оскільки чисельність населення скорочуватиметься.</w:t>
      </w:r>
    </w:p>
    <w:p w14:paraId="0896B9D5" w14:textId="77777777" w:rsidR="009E1FC8" w:rsidRPr="00C22C49" w:rsidRDefault="0058773D" w:rsidP="00C95E5C">
      <w:pPr>
        <w:pStyle w:val="Heading4boldRED"/>
        <w:rPr>
          <w:rStyle w:val="affe"/>
          <w:iCs w:val="0"/>
          <w:sz w:val="26"/>
          <w:lang w:val="uk-UA"/>
        </w:rPr>
      </w:pPr>
      <w:r w:rsidRPr="00C22C49">
        <w:rPr>
          <w:rStyle w:val="affe"/>
          <w:iCs w:val="0"/>
          <w:sz w:val="26"/>
          <w:lang w:val="uk-UA"/>
        </w:rPr>
        <w:t>Промислові відходи</w:t>
      </w:r>
    </w:p>
    <w:p w14:paraId="0896B9D6" w14:textId="77777777" w:rsidR="000C7E7E" w:rsidRDefault="000C7E7E" w:rsidP="000C7E7E">
      <w:r w:rsidRPr="00C22C49">
        <w:t xml:space="preserve">Прогноз здійснено для відходів </w:t>
      </w:r>
      <w:r w:rsidR="00093E35" w:rsidRPr="00C22C49">
        <w:t>добувної промисловості</w:t>
      </w:r>
      <w:r w:rsidR="00831C2A" w:rsidRPr="00C22C49">
        <w:t xml:space="preserve"> і розроблення кар'єрів</w:t>
      </w:r>
      <w:r w:rsidR="00093E35" w:rsidRPr="00C22C49">
        <w:t xml:space="preserve"> та переробної промисловості</w:t>
      </w:r>
      <w:r w:rsidR="00831C2A" w:rsidRPr="00C22C49">
        <w:t xml:space="preserve"> із врахуванням </w:t>
      </w:r>
      <w:r w:rsidR="00A409B1" w:rsidRPr="00C22C49">
        <w:t xml:space="preserve">поступового росту та відновлення економіки. </w:t>
      </w:r>
    </w:p>
    <w:p w14:paraId="0CF91A3E" w14:textId="5ECA432F" w:rsidR="00A711C2" w:rsidRPr="00D936A9" w:rsidRDefault="00A711C2" w:rsidP="000C7E7E">
      <w:pPr>
        <w:rPr>
          <w:b/>
          <w:bCs/>
        </w:rPr>
      </w:pPr>
      <w:r w:rsidRPr="00D936A9">
        <w:rPr>
          <w:b/>
          <w:bCs/>
        </w:rPr>
        <w:t>Таблиця. Прогноз утворення відходів добувної промисловості (2023-2035 рр., млн. т/рік)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713"/>
        <w:gridCol w:w="2126"/>
        <w:gridCol w:w="3266"/>
      </w:tblGrid>
      <w:tr w:rsidR="008030A7" w:rsidRPr="00D936A9" w14:paraId="1E2B673A" w14:textId="77777777" w:rsidTr="00667634">
        <w:trPr>
          <w:trHeight w:val="326"/>
          <w:jc w:val="center"/>
        </w:trPr>
        <w:tc>
          <w:tcPr>
            <w:tcW w:w="1003" w:type="dxa"/>
            <w:vAlign w:val="center"/>
          </w:tcPr>
          <w:p w14:paraId="2DE2596A" w14:textId="7A40E906" w:rsidR="008030A7" w:rsidRPr="00D936A9" w:rsidRDefault="00A711C2"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Рік</w:t>
            </w:r>
          </w:p>
        </w:tc>
        <w:tc>
          <w:tcPr>
            <w:tcW w:w="2713" w:type="dxa"/>
            <w:vAlign w:val="center"/>
          </w:tcPr>
          <w:p w14:paraId="5F8CF88B"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добування кам'яного та бурого вугілля</w:t>
            </w:r>
          </w:p>
        </w:tc>
        <w:tc>
          <w:tcPr>
            <w:tcW w:w="2126" w:type="dxa"/>
            <w:vAlign w:val="center"/>
          </w:tcPr>
          <w:p w14:paraId="3E27DFD0"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добування металевих руд</w:t>
            </w:r>
          </w:p>
        </w:tc>
        <w:tc>
          <w:tcPr>
            <w:tcW w:w="3266" w:type="dxa"/>
            <w:vAlign w:val="center"/>
          </w:tcPr>
          <w:p w14:paraId="1AC1F6F2"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добування інших корисних копалин та розроблення кар'єрів</w:t>
            </w:r>
          </w:p>
        </w:tc>
      </w:tr>
      <w:tr w:rsidR="008030A7" w:rsidRPr="00D936A9" w14:paraId="5EAC1E9C" w14:textId="77777777" w:rsidTr="00667634">
        <w:trPr>
          <w:trHeight w:val="326"/>
          <w:jc w:val="center"/>
        </w:trPr>
        <w:tc>
          <w:tcPr>
            <w:tcW w:w="1003" w:type="dxa"/>
            <w:vAlign w:val="center"/>
          </w:tcPr>
          <w:p w14:paraId="0223D039"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2023</w:t>
            </w:r>
          </w:p>
        </w:tc>
        <w:tc>
          <w:tcPr>
            <w:tcW w:w="2713" w:type="dxa"/>
            <w:vAlign w:val="center"/>
          </w:tcPr>
          <w:p w14:paraId="32F7DE5E"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11,4</w:t>
            </w:r>
          </w:p>
        </w:tc>
        <w:tc>
          <w:tcPr>
            <w:tcW w:w="2126" w:type="dxa"/>
            <w:vAlign w:val="center"/>
          </w:tcPr>
          <w:p w14:paraId="6A1A96D0"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286,2</w:t>
            </w:r>
          </w:p>
        </w:tc>
        <w:tc>
          <w:tcPr>
            <w:tcW w:w="3266" w:type="dxa"/>
            <w:vAlign w:val="center"/>
          </w:tcPr>
          <w:p w14:paraId="1918922A"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7,3</w:t>
            </w:r>
          </w:p>
        </w:tc>
      </w:tr>
      <w:tr w:rsidR="008030A7" w:rsidRPr="00D936A9" w14:paraId="19766BBC" w14:textId="77777777" w:rsidTr="00667634">
        <w:trPr>
          <w:trHeight w:val="326"/>
          <w:jc w:val="center"/>
        </w:trPr>
        <w:tc>
          <w:tcPr>
            <w:tcW w:w="1003" w:type="dxa"/>
            <w:vAlign w:val="center"/>
          </w:tcPr>
          <w:p w14:paraId="0C1F4036"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2024</w:t>
            </w:r>
          </w:p>
        </w:tc>
        <w:tc>
          <w:tcPr>
            <w:tcW w:w="2713" w:type="dxa"/>
            <w:vAlign w:val="center"/>
          </w:tcPr>
          <w:p w14:paraId="25EEFC8F"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11,7</w:t>
            </w:r>
          </w:p>
        </w:tc>
        <w:tc>
          <w:tcPr>
            <w:tcW w:w="2126" w:type="dxa"/>
            <w:vAlign w:val="center"/>
          </w:tcPr>
          <w:p w14:paraId="5C5BC27A"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293,3</w:t>
            </w:r>
          </w:p>
        </w:tc>
        <w:tc>
          <w:tcPr>
            <w:tcW w:w="3266" w:type="dxa"/>
            <w:vAlign w:val="center"/>
          </w:tcPr>
          <w:p w14:paraId="4740BBEE"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7,4</w:t>
            </w:r>
          </w:p>
        </w:tc>
      </w:tr>
      <w:tr w:rsidR="008030A7" w:rsidRPr="00D936A9" w14:paraId="47AED9BD" w14:textId="77777777" w:rsidTr="00667634">
        <w:trPr>
          <w:trHeight w:val="326"/>
          <w:jc w:val="center"/>
        </w:trPr>
        <w:tc>
          <w:tcPr>
            <w:tcW w:w="1003" w:type="dxa"/>
            <w:vAlign w:val="center"/>
          </w:tcPr>
          <w:p w14:paraId="6F0FCFB4"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2025</w:t>
            </w:r>
          </w:p>
        </w:tc>
        <w:tc>
          <w:tcPr>
            <w:tcW w:w="2713" w:type="dxa"/>
            <w:vAlign w:val="center"/>
          </w:tcPr>
          <w:p w14:paraId="4CA02660"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11,9</w:t>
            </w:r>
          </w:p>
        </w:tc>
        <w:tc>
          <w:tcPr>
            <w:tcW w:w="2126" w:type="dxa"/>
            <w:vAlign w:val="center"/>
          </w:tcPr>
          <w:p w14:paraId="36ECFFA0"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300,7</w:t>
            </w:r>
          </w:p>
        </w:tc>
        <w:tc>
          <w:tcPr>
            <w:tcW w:w="3266" w:type="dxa"/>
            <w:vAlign w:val="center"/>
          </w:tcPr>
          <w:p w14:paraId="3D17734B"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7,6</w:t>
            </w:r>
          </w:p>
        </w:tc>
      </w:tr>
      <w:tr w:rsidR="008030A7" w:rsidRPr="00D936A9" w14:paraId="47208ECC" w14:textId="77777777" w:rsidTr="00667634">
        <w:trPr>
          <w:trHeight w:val="326"/>
          <w:jc w:val="center"/>
        </w:trPr>
        <w:tc>
          <w:tcPr>
            <w:tcW w:w="1003" w:type="dxa"/>
            <w:vAlign w:val="center"/>
          </w:tcPr>
          <w:p w14:paraId="19E40B2B"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2026</w:t>
            </w:r>
          </w:p>
        </w:tc>
        <w:tc>
          <w:tcPr>
            <w:tcW w:w="2713" w:type="dxa"/>
            <w:vAlign w:val="center"/>
          </w:tcPr>
          <w:p w14:paraId="5C8D2C7D"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12,2</w:t>
            </w:r>
          </w:p>
        </w:tc>
        <w:tc>
          <w:tcPr>
            <w:tcW w:w="2126" w:type="dxa"/>
            <w:vAlign w:val="center"/>
          </w:tcPr>
          <w:p w14:paraId="2EF09645"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308,2</w:t>
            </w:r>
          </w:p>
        </w:tc>
        <w:tc>
          <w:tcPr>
            <w:tcW w:w="3266" w:type="dxa"/>
            <w:vAlign w:val="center"/>
          </w:tcPr>
          <w:p w14:paraId="5EC1AD41"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7,8</w:t>
            </w:r>
          </w:p>
        </w:tc>
      </w:tr>
      <w:tr w:rsidR="008030A7" w:rsidRPr="00D936A9" w14:paraId="75991980" w14:textId="77777777" w:rsidTr="00667634">
        <w:trPr>
          <w:trHeight w:val="326"/>
          <w:jc w:val="center"/>
        </w:trPr>
        <w:tc>
          <w:tcPr>
            <w:tcW w:w="1003" w:type="dxa"/>
            <w:vAlign w:val="center"/>
          </w:tcPr>
          <w:p w14:paraId="47130F6F"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2027</w:t>
            </w:r>
          </w:p>
        </w:tc>
        <w:tc>
          <w:tcPr>
            <w:tcW w:w="2713" w:type="dxa"/>
            <w:vAlign w:val="center"/>
          </w:tcPr>
          <w:p w14:paraId="414401AC"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12,6</w:t>
            </w:r>
          </w:p>
        </w:tc>
        <w:tc>
          <w:tcPr>
            <w:tcW w:w="2126" w:type="dxa"/>
            <w:vAlign w:val="center"/>
          </w:tcPr>
          <w:p w14:paraId="6900EFFC"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315,9</w:t>
            </w:r>
          </w:p>
        </w:tc>
        <w:tc>
          <w:tcPr>
            <w:tcW w:w="3266" w:type="dxa"/>
            <w:vAlign w:val="center"/>
          </w:tcPr>
          <w:p w14:paraId="640381D8"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8</w:t>
            </w:r>
          </w:p>
        </w:tc>
      </w:tr>
      <w:tr w:rsidR="008030A7" w:rsidRPr="00D936A9" w14:paraId="0F63F650" w14:textId="77777777" w:rsidTr="00667634">
        <w:trPr>
          <w:trHeight w:val="326"/>
          <w:jc w:val="center"/>
        </w:trPr>
        <w:tc>
          <w:tcPr>
            <w:tcW w:w="1003" w:type="dxa"/>
            <w:vAlign w:val="center"/>
          </w:tcPr>
          <w:p w14:paraId="0D744222"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2028</w:t>
            </w:r>
          </w:p>
        </w:tc>
        <w:tc>
          <w:tcPr>
            <w:tcW w:w="2713" w:type="dxa"/>
            <w:vAlign w:val="center"/>
          </w:tcPr>
          <w:p w14:paraId="4019C4EE"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12,9</w:t>
            </w:r>
          </w:p>
        </w:tc>
        <w:tc>
          <w:tcPr>
            <w:tcW w:w="2126" w:type="dxa"/>
            <w:vAlign w:val="center"/>
          </w:tcPr>
          <w:p w14:paraId="37A4A93D"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323,8</w:t>
            </w:r>
          </w:p>
        </w:tc>
        <w:tc>
          <w:tcPr>
            <w:tcW w:w="3266" w:type="dxa"/>
            <w:vAlign w:val="center"/>
          </w:tcPr>
          <w:p w14:paraId="42FD6DA4"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8,2</w:t>
            </w:r>
          </w:p>
        </w:tc>
      </w:tr>
      <w:tr w:rsidR="008030A7" w:rsidRPr="00D936A9" w14:paraId="4B84492E" w14:textId="77777777" w:rsidTr="00667634">
        <w:trPr>
          <w:trHeight w:val="326"/>
          <w:jc w:val="center"/>
        </w:trPr>
        <w:tc>
          <w:tcPr>
            <w:tcW w:w="1003" w:type="dxa"/>
            <w:vAlign w:val="center"/>
          </w:tcPr>
          <w:p w14:paraId="08ED045A"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2029</w:t>
            </w:r>
          </w:p>
        </w:tc>
        <w:tc>
          <w:tcPr>
            <w:tcW w:w="2713" w:type="dxa"/>
            <w:vAlign w:val="center"/>
          </w:tcPr>
          <w:p w14:paraId="07CCA766"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13,2</w:t>
            </w:r>
          </w:p>
        </w:tc>
        <w:tc>
          <w:tcPr>
            <w:tcW w:w="2126" w:type="dxa"/>
            <w:vAlign w:val="center"/>
          </w:tcPr>
          <w:p w14:paraId="513E9818"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331,9</w:t>
            </w:r>
          </w:p>
        </w:tc>
        <w:tc>
          <w:tcPr>
            <w:tcW w:w="3266" w:type="dxa"/>
            <w:vAlign w:val="center"/>
          </w:tcPr>
          <w:p w14:paraId="695DB8B8"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8,4</w:t>
            </w:r>
          </w:p>
        </w:tc>
      </w:tr>
      <w:tr w:rsidR="008030A7" w:rsidRPr="00D936A9" w14:paraId="7F29BD66" w14:textId="77777777" w:rsidTr="00667634">
        <w:trPr>
          <w:trHeight w:val="326"/>
          <w:jc w:val="center"/>
        </w:trPr>
        <w:tc>
          <w:tcPr>
            <w:tcW w:w="1003" w:type="dxa"/>
            <w:vAlign w:val="center"/>
          </w:tcPr>
          <w:p w14:paraId="2CF8377D"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2030</w:t>
            </w:r>
          </w:p>
        </w:tc>
        <w:tc>
          <w:tcPr>
            <w:tcW w:w="2713" w:type="dxa"/>
            <w:vAlign w:val="center"/>
          </w:tcPr>
          <w:p w14:paraId="49757EB7"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13,5</w:t>
            </w:r>
          </w:p>
        </w:tc>
        <w:tc>
          <w:tcPr>
            <w:tcW w:w="2126" w:type="dxa"/>
            <w:vAlign w:val="center"/>
          </w:tcPr>
          <w:p w14:paraId="3B8B172F"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340,2</w:t>
            </w:r>
          </w:p>
        </w:tc>
        <w:tc>
          <w:tcPr>
            <w:tcW w:w="3266" w:type="dxa"/>
            <w:vAlign w:val="center"/>
          </w:tcPr>
          <w:p w14:paraId="620544B5"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8,6</w:t>
            </w:r>
          </w:p>
        </w:tc>
      </w:tr>
      <w:tr w:rsidR="008030A7" w:rsidRPr="00D936A9" w14:paraId="65992A13" w14:textId="77777777" w:rsidTr="00667634">
        <w:trPr>
          <w:trHeight w:val="326"/>
          <w:jc w:val="center"/>
        </w:trPr>
        <w:tc>
          <w:tcPr>
            <w:tcW w:w="1003" w:type="dxa"/>
            <w:vAlign w:val="center"/>
          </w:tcPr>
          <w:p w14:paraId="7F53F699"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2031</w:t>
            </w:r>
          </w:p>
        </w:tc>
        <w:tc>
          <w:tcPr>
            <w:tcW w:w="2713" w:type="dxa"/>
            <w:vAlign w:val="center"/>
          </w:tcPr>
          <w:p w14:paraId="53285839"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13,9</w:t>
            </w:r>
          </w:p>
        </w:tc>
        <w:tc>
          <w:tcPr>
            <w:tcW w:w="2126" w:type="dxa"/>
            <w:vAlign w:val="center"/>
          </w:tcPr>
          <w:p w14:paraId="4DCD5A4C"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348,7</w:t>
            </w:r>
          </w:p>
        </w:tc>
        <w:tc>
          <w:tcPr>
            <w:tcW w:w="3266" w:type="dxa"/>
            <w:vAlign w:val="center"/>
          </w:tcPr>
          <w:p w14:paraId="5A0DFC69"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8,8</w:t>
            </w:r>
          </w:p>
        </w:tc>
      </w:tr>
      <w:tr w:rsidR="008030A7" w:rsidRPr="00D936A9" w14:paraId="0181B534" w14:textId="77777777" w:rsidTr="00667634">
        <w:trPr>
          <w:trHeight w:val="326"/>
          <w:jc w:val="center"/>
        </w:trPr>
        <w:tc>
          <w:tcPr>
            <w:tcW w:w="1003" w:type="dxa"/>
            <w:vAlign w:val="center"/>
          </w:tcPr>
          <w:p w14:paraId="3FF00440"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2032</w:t>
            </w:r>
          </w:p>
        </w:tc>
        <w:tc>
          <w:tcPr>
            <w:tcW w:w="2713" w:type="dxa"/>
            <w:vAlign w:val="center"/>
          </w:tcPr>
          <w:p w14:paraId="75DFF3EC"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14,2</w:t>
            </w:r>
          </w:p>
        </w:tc>
        <w:tc>
          <w:tcPr>
            <w:tcW w:w="2126" w:type="dxa"/>
            <w:vAlign w:val="center"/>
          </w:tcPr>
          <w:p w14:paraId="2B9D9B6C"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357,4</w:t>
            </w:r>
          </w:p>
        </w:tc>
        <w:tc>
          <w:tcPr>
            <w:tcW w:w="3266" w:type="dxa"/>
            <w:vAlign w:val="center"/>
          </w:tcPr>
          <w:p w14:paraId="58604D48"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9,1</w:t>
            </w:r>
          </w:p>
        </w:tc>
      </w:tr>
      <w:tr w:rsidR="008030A7" w:rsidRPr="00D936A9" w14:paraId="27134522" w14:textId="77777777" w:rsidTr="00667634">
        <w:trPr>
          <w:trHeight w:val="290"/>
          <w:jc w:val="center"/>
        </w:trPr>
        <w:tc>
          <w:tcPr>
            <w:tcW w:w="1003" w:type="dxa"/>
            <w:vAlign w:val="center"/>
          </w:tcPr>
          <w:p w14:paraId="68112A89"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2033</w:t>
            </w:r>
          </w:p>
        </w:tc>
        <w:tc>
          <w:tcPr>
            <w:tcW w:w="2713" w:type="dxa"/>
            <w:vAlign w:val="center"/>
          </w:tcPr>
          <w:p w14:paraId="7599AEC5"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14,6</w:t>
            </w:r>
          </w:p>
        </w:tc>
        <w:tc>
          <w:tcPr>
            <w:tcW w:w="2126" w:type="dxa"/>
            <w:vAlign w:val="center"/>
          </w:tcPr>
          <w:p w14:paraId="23D2C18A"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366,3</w:t>
            </w:r>
          </w:p>
        </w:tc>
        <w:tc>
          <w:tcPr>
            <w:tcW w:w="3266" w:type="dxa"/>
            <w:vAlign w:val="center"/>
          </w:tcPr>
          <w:p w14:paraId="67579C47" w14:textId="77777777" w:rsidR="008030A7" w:rsidRPr="00D936A9" w:rsidRDefault="008030A7"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9,3</w:t>
            </w:r>
          </w:p>
        </w:tc>
      </w:tr>
    </w:tbl>
    <w:p w14:paraId="1A6F8F6A" w14:textId="77777777" w:rsidR="002C4BA9" w:rsidRDefault="002C4BA9" w:rsidP="00EC2246">
      <w:pPr>
        <w:jc w:val="center"/>
      </w:pPr>
    </w:p>
    <w:p w14:paraId="2B39F18B" w14:textId="2DD7D15A" w:rsidR="002C4BA9" w:rsidRPr="00D936A9" w:rsidRDefault="002C4BA9" w:rsidP="00EC2246">
      <w:pPr>
        <w:jc w:val="center"/>
        <w:rPr>
          <w:b/>
          <w:bCs/>
        </w:rPr>
      </w:pPr>
      <w:r w:rsidRPr="00D936A9">
        <w:rPr>
          <w:b/>
          <w:bCs/>
        </w:rPr>
        <w:t>Таблиця. Прогноз утворення відходів переробної промисловості (2023-2035 рр., млн. т/рік)</w:t>
      </w:r>
    </w:p>
    <w:tbl>
      <w:tblPr>
        <w:tblStyle w:val="TableGrid"/>
        <w:tblW w:w="0" w:type="auto"/>
        <w:tblInd w:w="0" w:type="dxa"/>
        <w:tblLayout w:type="fixed"/>
        <w:tblCellMar>
          <w:left w:w="57" w:type="dxa"/>
          <w:right w:w="57" w:type="dxa"/>
        </w:tblCellMar>
        <w:tblLook w:val="0000" w:firstRow="0" w:lastRow="0" w:firstColumn="0" w:lastColumn="0" w:noHBand="0" w:noVBand="0"/>
      </w:tblPr>
      <w:tblGrid>
        <w:gridCol w:w="1366"/>
        <w:gridCol w:w="1350"/>
        <w:gridCol w:w="1275"/>
        <w:gridCol w:w="1710"/>
        <w:gridCol w:w="2147"/>
        <w:gridCol w:w="1448"/>
      </w:tblGrid>
      <w:tr w:rsidR="00233F78" w:rsidRPr="00D936A9" w14:paraId="48D0F016" w14:textId="77777777" w:rsidTr="004B743F">
        <w:trPr>
          <w:trHeight w:val="830"/>
        </w:trPr>
        <w:tc>
          <w:tcPr>
            <w:tcW w:w="1366" w:type="dxa"/>
            <w:vAlign w:val="center"/>
          </w:tcPr>
          <w:p w14:paraId="4E469F26" w14:textId="4F45DC41" w:rsidR="00233F78" w:rsidRPr="00D936A9" w:rsidRDefault="00D936A9" w:rsidP="00D936A9">
            <w:pPr>
              <w:tabs>
                <w:tab w:val="clear" w:pos="284"/>
                <w:tab w:val="clear" w:pos="1985"/>
              </w:tabs>
              <w:autoSpaceDE w:val="0"/>
              <w:autoSpaceDN w:val="0"/>
              <w:adjustRightInd w:val="0"/>
              <w:spacing w:before="0" w:after="0" w:line="240" w:lineRule="auto"/>
              <w:jc w:val="center"/>
              <w:rPr>
                <w:rFonts w:cs="Times New Roman"/>
                <w:b/>
                <w:bCs/>
                <w:color w:val="000000"/>
                <w:szCs w:val="22"/>
              </w:rPr>
            </w:pPr>
            <w:r w:rsidRPr="00D936A9">
              <w:rPr>
                <w:rFonts w:cs="Times New Roman"/>
                <w:b/>
                <w:bCs/>
                <w:color w:val="000000"/>
                <w:szCs w:val="22"/>
              </w:rPr>
              <w:t>Рік</w:t>
            </w:r>
          </w:p>
        </w:tc>
        <w:tc>
          <w:tcPr>
            <w:tcW w:w="1350" w:type="dxa"/>
            <w:vAlign w:val="center"/>
          </w:tcPr>
          <w:p w14:paraId="06546653"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виробництво харчових продуктів</w:t>
            </w:r>
          </w:p>
        </w:tc>
        <w:tc>
          <w:tcPr>
            <w:tcW w:w="1275" w:type="dxa"/>
            <w:vAlign w:val="center"/>
          </w:tcPr>
          <w:p w14:paraId="6EE638BE"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виробництво напоїв</w:t>
            </w:r>
          </w:p>
        </w:tc>
        <w:tc>
          <w:tcPr>
            <w:tcW w:w="1710" w:type="dxa"/>
            <w:vAlign w:val="center"/>
          </w:tcPr>
          <w:p w14:paraId="111BD2E1"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виробництво хімічних речовин і хімічної продукції</w:t>
            </w:r>
          </w:p>
        </w:tc>
        <w:tc>
          <w:tcPr>
            <w:tcW w:w="2147" w:type="dxa"/>
            <w:vAlign w:val="center"/>
          </w:tcPr>
          <w:p w14:paraId="7375ACF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виробництво  фармацевтичних продуктів і  препаратів</w:t>
            </w:r>
          </w:p>
        </w:tc>
        <w:tc>
          <w:tcPr>
            <w:tcW w:w="1448" w:type="dxa"/>
            <w:vAlign w:val="center"/>
          </w:tcPr>
          <w:p w14:paraId="04799EE2"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b/>
                <w:bCs/>
                <w:color w:val="000000"/>
                <w:sz w:val="20"/>
              </w:rPr>
            </w:pPr>
            <w:r w:rsidRPr="00D936A9">
              <w:rPr>
                <w:rFonts w:cs="Times New Roman"/>
                <w:b/>
                <w:bCs/>
                <w:color w:val="000000"/>
                <w:sz w:val="20"/>
              </w:rPr>
              <w:t>металургійне виробництво</w:t>
            </w:r>
          </w:p>
        </w:tc>
      </w:tr>
      <w:tr w:rsidR="00233F78" w:rsidRPr="00D936A9" w14:paraId="7B5B9C3C" w14:textId="77777777" w:rsidTr="004B743F">
        <w:trPr>
          <w:trHeight w:val="326"/>
        </w:trPr>
        <w:tc>
          <w:tcPr>
            <w:tcW w:w="1366" w:type="dxa"/>
            <w:vAlign w:val="center"/>
          </w:tcPr>
          <w:p w14:paraId="12974760"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2023</w:t>
            </w:r>
          </w:p>
        </w:tc>
        <w:tc>
          <w:tcPr>
            <w:tcW w:w="1350" w:type="dxa"/>
            <w:vAlign w:val="center"/>
          </w:tcPr>
          <w:p w14:paraId="5099D703"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4,4</w:t>
            </w:r>
          </w:p>
        </w:tc>
        <w:tc>
          <w:tcPr>
            <w:tcW w:w="1275" w:type="dxa"/>
            <w:vAlign w:val="center"/>
          </w:tcPr>
          <w:p w14:paraId="38DA5D37"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0,3</w:t>
            </w:r>
          </w:p>
        </w:tc>
        <w:tc>
          <w:tcPr>
            <w:tcW w:w="1710" w:type="dxa"/>
            <w:vAlign w:val="center"/>
          </w:tcPr>
          <w:p w14:paraId="2C36D9A1"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1,6</w:t>
            </w:r>
          </w:p>
        </w:tc>
        <w:tc>
          <w:tcPr>
            <w:tcW w:w="2147" w:type="dxa"/>
            <w:vAlign w:val="center"/>
          </w:tcPr>
          <w:p w14:paraId="4F47B660"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w:t>
            </w:r>
          </w:p>
        </w:tc>
        <w:tc>
          <w:tcPr>
            <w:tcW w:w="1448" w:type="dxa"/>
            <w:vAlign w:val="center"/>
          </w:tcPr>
          <w:p w14:paraId="0D2C6642"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34</w:t>
            </w:r>
          </w:p>
        </w:tc>
      </w:tr>
      <w:tr w:rsidR="00233F78" w:rsidRPr="00D936A9" w14:paraId="4661B94A" w14:textId="77777777" w:rsidTr="004B743F">
        <w:trPr>
          <w:trHeight w:val="326"/>
        </w:trPr>
        <w:tc>
          <w:tcPr>
            <w:tcW w:w="1366" w:type="dxa"/>
            <w:vAlign w:val="center"/>
          </w:tcPr>
          <w:p w14:paraId="048594B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2024</w:t>
            </w:r>
          </w:p>
        </w:tc>
        <w:tc>
          <w:tcPr>
            <w:tcW w:w="1350" w:type="dxa"/>
            <w:vAlign w:val="center"/>
          </w:tcPr>
          <w:p w14:paraId="13A7387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4,5</w:t>
            </w:r>
          </w:p>
        </w:tc>
        <w:tc>
          <w:tcPr>
            <w:tcW w:w="1275" w:type="dxa"/>
            <w:vAlign w:val="center"/>
          </w:tcPr>
          <w:p w14:paraId="112E6DCD"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3D36FDE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1,6</w:t>
            </w:r>
          </w:p>
        </w:tc>
        <w:tc>
          <w:tcPr>
            <w:tcW w:w="2147" w:type="dxa"/>
            <w:vAlign w:val="center"/>
          </w:tcPr>
          <w:p w14:paraId="01B77C1C"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7720F4F1"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34,9</w:t>
            </w:r>
          </w:p>
        </w:tc>
      </w:tr>
      <w:tr w:rsidR="00233F78" w:rsidRPr="00D936A9" w14:paraId="0A97CCB5" w14:textId="77777777" w:rsidTr="004B743F">
        <w:trPr>
          <w:trHeight w:val="326"/>
        </w:trPr>
        <w:tc>
          <w:tcPr>
            <w:tcW w:w="1366" w:type="dxa"/>
            <w:vAlign w:val="center"/>
          </w:tcPr>
          <w:p w14:paraId="2E0E207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2025</w:t>
            </w:r>
          </w:p>
        </w:tc>
        <w:tc>
          <w:tcPr>
            <w:tcW w:w="1350" w:type="dxa"/>
            <w:vAlign w:val="center"/>
          </w:tcPr>
          <w:p w14:paraId="6F00C4EE"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4,7</w:t>
            </w:r>
          </w:p>
        </w:tc>
        <w:tc>
          <w:tcPr>
            <w:tcW w:w="1275" w:type="dxa"/>
            <w:vAlign w:val="center"/>
          </w:tcPr>
          <w:p w14:paraId="0B8FCBC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2689921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1,7</w:t>
            </w:r>
          </w:p>
        </w:tc>
        <w:tc>
          <w:tcPr>
            <w:tcW w:w="2147" w:type="dxa"/>
            <w:vAlign w:val="center"/>
          </w:tcPr>
          <w:p w14:paraId="06B685C7"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2336DBB7"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35,8</w:t>
            </w:r>
          </w:p>
        </w:tc>
      </w:tr>
      <w:tr w:rsidR="00233F78" w:rsidRPr="00D936A9" w14:paraId="36BC4BEB" w14:textId="77777777" w:rsidTr="004B743F">
        <w:trPr>
          <w:trHeight w:val="326"/>
        </w:trPr>
        <w:tc>
          <w:tcPr>
            <w:tcW w:w="1366" w:type="dxa"/>
            <w:vAlign w:val="center"/>
          </w:tcPr>
          <w:p w14:paraId="7C94EB5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2026</w:t>
            </w:r>
          </w:p>
        </w:tc>
        <w:tc>
          <w:tcPr>
            <w:tcW w:w="1350" w:type="dxa"/>
            <w:vAlign w:val="center"/>
          </w:tcPr>
          <w:p w14:paraId="781502D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4,8</w:t>
            </w:r>
          </w:p>
        </w:tc>
        <w:tc>
          <w:tcPr>
            <w:tcW w:w="1275" w:type="dxa"/>
            <w:vAlign w:val="center"/>
          </w:tcPr>
          <w:p w14:paraId="591A6F0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66227506"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1,7</w:t>
            </w:r>
          </w:p>
        </w:tc>
        <w:tc>
          <w:tcPr>
            <w:tcW w:w="2147" w:type="dxa"/>
            <w:vAlign w:val="center"/>
          </w:tcPr>
          <w:p w14:paraId="52F04F5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682035C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36,7</w:t>
            </w:r>
          </w:p>
        </w:tc>
      </w:tr>
      <w:tr w:rsidR="00233F78" w:rsidRPr="00D936A9" w14:paraId="4E3F49A8" w14:textId="77777777" w:rsidTr="004B743F">
        <w:trPr>
          <w:trHeight w:val="326"/>
        </w:trPr>
        <w:tc>
          <w:tcPr>
            <w:tcW w:w="1366" w:type="dxa"/>
            <w:vAlign w:val="center"/>
          </w:tcPr>
          <w:p w14:paraId="70B93F6C"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2027</w:t>
            </w:r>
          </w:p>
        </w:tc>
        <w:tc>
          <w:tcPr>
            <w:tcW w:w="1350" w:type="dxa"/>
            <w:vAlign w:val="center"/>
          </w:tcPr>
          <w:p w14:paraId="0DC31643"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4,9</w:t>
            </w:r>
          </w:p>
        </w:tc>
        <w:tc>
          <w:tcPr>
            <w:tcW w:w="1275" w:type="dxa"/>
            <w:vAlign w:val="center"/>
          </w:tcPr>
          <w:p w14:paraId="1039BDE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12378EF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1,7</w:t>
            </w:r>
          </w:p>
        </w:tc>
        <w:tc>
          <w:tcPr>
            <w:tcW w:w="2147" w:type="dxa"/>
            <w:vAlign w:val="center"/>
          </w:tcPr>
          <w:p w14:paraId="7874E5E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37A4F45C"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37,6</w:t>
            </w:r>
          </w:p>
        </w:tc>
      </w:tr>
      <w:tr w:rsidR="00233F78" w:rsidRPr="00D936A9" w14:paraId="113527D0" w14:textId="77777777" w:rsidTr="004B743F">
        <w:trPr>
          <w:trHeight w:val="326"/>
        </w:trPr>
        <w:tc>
          <w:tcPr>
            <w:tcW w:w="1366" w:type="dxa"/>
            <w:vAlign w:val="center"/>
          </w:tcPr>
          <w:p w14:paraId="6CF9A2DF"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2028</w:t>
            </w:r>
          </w:p>
        </w:tc>
        <w:tc>
          <w:tcPr>
            <w:tcW w:w="1350" w:type="dxa"/>
            <w:vAlign w:val="center"/>
          </w:tcPr>
          <w:p w14:paraId="3FEA33F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w:t>
            </w:r>
          </w:p>
        </w:tc>
        <w:tc>
          <w:tcPr>
            <w:tcW w:w="1275" w:type="dxa"/>
            <w:vAlign w:val="center"/>
          </w:tcPr>
          <w:p w14:paraId="16D8FE7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1DA73D1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1,8</w:t>
            </w:r>
          </w:p>
        </w:tc>
        <w:tc>
          <w:tcPr>
            <w:tcW w:w="2147" w:type="dxa"/>
            <w:vAlign w:val="center"/>
          </w:tcPr>
          <w:p w14:paraId="33DEE8EE"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099AC2F0"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38,5</w:t>
            </w:r>
          </w:p>
        </w:tc>
      </w:tr>
      <w:tr w:rsidR="00233F78" w:rsidRPr="00D936A9" w14:paraId="77784DE1" w14:textId="77777777" w:rsidTr="004B743F">
        <w:trPr>
          <w:trHeight w:val="326"/>
        </w:trPr>
        <w:tc>
          <w:tcPr>
            <w:tcW w:w="1366" w:type="dxa"/>
            <w:vAlign w:val="center"/>
          </w:tcPr>
          <w:p w14:paraId="3F451A00"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2029</w:t>
            </w:r>
          </w:p>
        </w:tc>
        <w:tc>
          <w:tcPr>
            <w:tcW w:w="1350" w:type="dxa"/>
            <w:vAlign w:val="center"/>
          </w:tcPr>
          <w:p w14:paraId="590337C2"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5,1</w:t>
            </w:r>
          </w:p>
        </w:tc>
        <w:tc>
          <w:tcPr>
            <w:tcW w:w="1275" w:type="dxa"/>
            <w:vAlign w:val="center"/>
          </w:tcPr>
          <w:p w14:paraId="6B7EEB6F"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7F1AF8F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1,8</w:t>
            </w:r>
          </w:p>
        </w:tc>
        <w:tc>
          <w:tcPr>
            <w:tcW w:w="2147" w:type="dxa"/>
            <w:vAlign w:val="center"/>
          </w:tcPr>
          <w:p w14:paraId="48CEB88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3D8A234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39,5</w:t>
            </w:r>
          </w:p>
        </w:tc>
      </w:tr>
      <w:tr w:rsidR="00233F78" w:rsidRPr="00D936A9" w14:paraId="20AC032B" w14:textId="77777777" w:rsidTr="004B743F">
        <w:trPr>
          <w:trHeight w:val="326"/>
        </w:trPr>
        <w:tc>
          <w:tcPr>
            <w:tcW w:w="1366" w:type="dxa"/>
            <w:vAlign w:val="center"/>
          </w:tcPr>
          <w:p w14:paraId="5D50B0F0"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2030</w:t>
            </w:r>
          </w:p>
        </w:tc>
        <w:tc>
          <w:tcPr>
            <w:tcW w:w="1350" w:type="dxa"/>
            <w:vAlign w:val="center"/>
          </w:tcPr>
          <w:p w14:paraId="7BA0DF4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5,3</w:t>
            </w:r>
          </w:p>
        </w:tc>
        <w:tc>
          <w:tcPr>
            <w:tcW w:w="1275" w:type="dxa"/>
            <w:vAlign w:val="center"/>
          </w:tcPr>
          <w:p w14:paraId="65A346F7"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43E6625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1,9</w:t>
            </w:r>
          </w:p>
        </w:tc>
        <w:tc>
          <w:tcPr>
            <w:tcW w:w="2147" w:type="dxa"/>
            <w:vAlign w:val="center"/>
          </w:tcPr>
          <w:p w14:paraId="7857CA65"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5AFC6B4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40,5</w:t>
            </w:r>
          </w:p>
        </w:tc>
      </w:tr>
      <w:tr w:rsidR="00233F78" w:rsidRPr="00D936A9" w14:paraId="59116CC2" w14:textId="77777777" w:rsidTr="004B743F">
        <w:trPr>
          <w:trHeight w:val="326"/>
        </w:trPr>
        <w:tc>
          <w:tcPr>
            <w:tcW w:w="1366" w:type="dxa"/>
            <w:vAlign w:val="center"/>
          </w:tcPr>
          <w:p w14:paraId="02025EF1"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2031</w:t>
            </w:r>
          </w:p>
        </w:tc>
        <w:tc>
          <w:tcPr>
            <w:tcW w:w="1350" w:type="dxa"/>
            <w:vAlign w:val="center"/>
          </w:tcPr>
          <w:p w14:paraId="3001009E"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5,4</w:t>
            </w:r>
          </w:p>
        </w:tc>
        <w:tc>
          <w:tcPr>
            <w:tcW w:w="1275" w:type="dxa"/>
            <w:vAlign w:val="center"/>
          </w:tcPr>
          <w:p w14:paraId="318188A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5164B561"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1,9</w:t>
            </w:r>
          </w:p>
        </w:tc>
        <w:tc>
          <w:tcPr>
            <w:tcW w:w="2147" w:type="dxa"/>
            <w:vAlign w:val="center"/>
          </w:tcPr>
          <w:p w14:paraId="1F8F18FD"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4FBE781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41,5</w:t>
            </w:r>
          </w:p>
        </w:tc>
      </w:tr>
      <w:tr w:rsidR="00233F78" w:rsidRPr="00D936A9" w14:paraId="577F05F8" w14:textId="77777777" w:rsidTr="004B743F">
        <w:trPr>
          <w:trHeight w:val="326"/>
        </w:trPr>
        <w:tc>
          <w:tcPr>
            <w:tcW w:w="1366" w:type="dxa"/>
            <w:vAlign w:val="center"/>
          </w:tcPr>
          <w:p w14:paraId="0C8631FC"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2032</w:t>
            </w:r>
          </w:p>
        </w:tc>
        <w:tc>
          <w:tcPr>
            <w:tcW w:w="1350" w:type="dxa"/>
            <w:vAlign w:val="center"/>
          </w:tcPr>
          <w:p w14:paraId="13384C6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5,5</w:t>
            </w:r>
          </w:p>
        </w:tc>
        <w:tc>
          <w:tcPr>
            <w:tcW w:w="1275" w:type="dxa"/>
            <w:vAlign w:val="center"/>
          </w:tcPr>
          <w:p w14:paraId="71D85D5D"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1482B758"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w:t>
            </w:r>
          </w:p>
        </w:tc>
        <w:tc>
          <w:tcPr>
            <w:tcW w:w="2147" w:type="dxa"/>
            <w:vAlign w:val="center"/>
          </w:tcPr>
          <w:p w14:paraId="75C05680"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6EC35AC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42,5</w:t>
            </w:r>
          </w:p>
        </w:tc>
      </w:tr>
      <w:tr w:rsidR="00233F78" w:rsidRPr="00D936A9" w14:paraId="4D9B17F9" w14:textId="77777777" w:rsidTr="004B743F">
        <w:trPr>
          <w:trHeight w:val="326"/>
        </w:trPr>
        <w:tc>
          <w:tcPr>
            <w:tcW w:w="1366" w:type="dxa"/>
            <w:vAlign w:val="center"/>
          </w:tcPr>
          <w:p w14:paraId="3F14EE6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2033</w:t>
            </w:r>
          </w:p>
        </w:tc>
        <w:tc>
          <w:tcPr>
            <w:tcW w:w="1350" w:type="dxa"/>
            <w:vAlign w:val="center"/>
          </w:tcPr>
          <w:p w14:paraId="210AFA87"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5,7</w:t>
            </w:r>
          </w:p>
        </w:tc>
        <w:tc>
          <w:tcPr>
            <w:tcW w:w="1275" w:type="dxa"/>
            <w:vAlign w:val="center"/>
          </w:tcPr>
          <w:p w14:paraId="3D39D25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0,4</w:t>
            </w:r>
          </w:p>
        </w:tc>
        <w:tc>
          <w:tcPr>
            <w:tcW w:w="1710" w:type="dxa"/>
            <w:vAlign w:val="center"/>
          </w:tcPr>
          <w:p w14:paraId="6E47A135"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w:t>
            </w:r>
          </w:p>
        </w:tc>
        <w:tc>
          <w:tcPr>
            <w:tcW w:w="2147" w:type="dxa"/>
            <w:vAlign w:val="center"/>
          </w:tcPr>
          <w:p w14:paraId="4D005847"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21477689"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43,6</w:t>
            </w:r>
          </w:p>
        </w:tc>
      </w:tr>
      <w:tr w:rsidR="00233F78" w:rsidRPr="00D936A9" w14:paraId="4EE934E1" w14:textId="77777777" w:rsidTr="004B743F">
        <w:trPr>
          <w:trHeight w:val="326"/>
        </w:trPr>
        <w:tc>
          <w:tcPr>
            <w:tcW w:w="1366" w:type="dxa"/>
            <w:vAlign w:val="center"/>
          </w:tcPr>
          <w:p w14:paraId="51F379C2"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2034</w:t>
            </w:r>
          </w:p>
        </w:tc>
        <w:tc>
          <w:tcPr>
            <w:tcW w:w="1350" w:type="dxa"/>
            <w:vAlign w:val="center"/>
          </w:tcPr>
          <w:p w14:paraId="0492DA34"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5,8</w:t>
            </w:r>
          </w:p>
        </w:tc>
        <w:tc>
          <w:tcPr>
            <w:tcW w:w="1275" w:type="dxa"/>
            <w:vAlign w:val="center"/>
          </w:tcPr>
          <w:p w14:paraId="10C99E63"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0,5</w:t>
            </w:r>
          </w:p>
        </w:tc>
        <w:tc>
          <w:tcPr>
            <w:tcW w:w="1710" w:type="dxa"/>
            <w:vAlign w:val="center"/>
          </w:tcPr>
          <w:p w14:paraId="21CDF6DC"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2,1</w:t>
            </w:r>
          </w:p>
        </w:tc>
        <w:tc>
          <w:tcPr>
            <w:tcW w:w="2147" w:type="dxa"/>
            <w:vAlign w:val="center"/>
          </w:tcPr>
          <w:p w14:paraId="758426E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69D5ECC5"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44,7</w:t>
            </w:r>
          </w:p>
        </w:tc>
      </w:tr>
      <w:tr w:rsidR="00233F78" w:rsidRPr="00D936A9" w14:paraId="4F562ECB" w14:textId="77777777" w:rsidTr="004B743F">
        <w:trPr>
          <w:trHeight w:val="326"/>
        </w:trPr>
        <w:tc>
          <w:tcPr>
            <w:tcW w:w="1366" w:type="dxa"/>
            <w:vAlign w:val="center"/>
          </w:tcPr>
          <w:p w14:paraId="639E8A7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Cs w:val="24"/>
              </w:rPr>
            </w:pPr>
            <w:r w:rsidRPr="00D936A9">
              <w:rPr>
                <w:rFonts w:cs="Times New Roman"/>
                <w:color w:val="000000"/>
                <w:szCs w:val="24"/>
              </w:rPr>
              <w:t>2035</w:t>
            </w:r>
          </w:p>
        </w:tc>
        <w:tc>
          <w:tcPr>
            <w:tcW w:w="1350" w:type="dxa"/>
            <w:vAlign w:val="center"/>
          </w:tcPr>
          <w:p w14:paraId="54337C5B"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6</w:t>
            </w:r>
          </w:p>
        </w:tc>
        <w:tc>
          <w:tcPr>
            <w:tcW w:w="1275" w:type="dxa"/>
            <w:vAlign w:val="center"/>
          </w:tcPr>
          <w:p w14:paraId="56368992"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0,5</w:t>
            </w:r>
          </w:p>
        </w:tc>
        <w:tc>
          <w:tcPr>
            <w:tcW w:w="1710" w:type="dxa"/>
            <w:vAlign w:val="center"/>
          </w:tcPr>
          <w:p w14:paraId="05489011"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2,1</w:t>
            </w:r>
          </w:p>
        </w:tc>
        <w:tc>
          <w:tcPr>
            <w:tcW w:w="2147" w:type="dxa"/>
            <w:vAlign w:val="center"/>
          </w:tcPr>
          <w:p w14:paraId="4BCB907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0,02</w:t>
            </w:r>
          </w:p>
        </w:tc>
        <w:tc>
          <w:tcPr>
            <w:tcW w:w="1448" w:type="dxa"/>
            <w:vAlign w:val="center"/>
          </w:tcPr>
          <w:p w14:paraId="5B7269EA" w14:textId="77777777" w:rsidR="00233F78" w:rsidRPr="00D936A9" w:rsidRDefault="00233F78" w:rsidP="00D936A9">
            <w:pPr>
              <w:tabs>
                <w:tab w:val="clear" w:pos="284"/>
                <w:tab w:val="clear" w:pos="1985"/>
              </w:tabs>
              <w:autoSpaceDE w:val="0"/>
              <w:autoSpaceDN w:val="0"/>
              <w:adjustRightInd w:val="0"/>
              <w:spacing w:before="0" w:after="0" w:line="240" w:lineRule="auto"/>
              <w:jc w:val="center"/>
              <w:rPr>
                <w:rFonts w:cs="Times New Roman"/>
                <w:color w:val="000000"/>
                <w:sz w:val="20"/>
              </w:rPr>
            </w:pPr>
            <w:r w:rsidRPr="00D936A9">
              <w:rPr>
                <w:rFonts w:cs="Times New Roman"/>
                <w:color w:val="000000"/>
                <w:sz w:val="20"/>
              </w:rPr>
              <w:t>45,8</w:t>
            </w:r>
          </w:p>
        </w:tc>
      </w:tr>
    </w:tbl>
    <w:p w14:paraId="0896B9DC" w14:textId="77777777" w:rsidR="00A409B1" w:rsidRPr="00C22C49" w:rsidRDefault="00A409B1" w:rsidP="009E1FC8"/>
    <w:p w14:paraId="0896B9DF" w14:textId="77777777" w:rsidR="009E1FC8" w:rsidRPr="00C22C49" w:rsidRDefault="0058773D" w:rsidP="00AE7082">
      <w:pPr>
        <w:pStyle w:val="Heading4boldRED"/>
        <w:rPr>
          <w:rStyle w:val="affe"/>
          <w:iCs w:val="0"/>
          <w:sz w:val="26"/>
          <w:lang w:val="uk-UA"/>
        </w:rPr>
      </w:pPr>
      <w:r w:rsidRPr="00C22C49">
        <w:rPr>
          <w:rStyle w:val="affe"/>
          <w:iCs w:val="0"/>
          <w:sz w:val="26"/>
          <w:lang w:val="uk-UA"/>
        </w:rPr>
        <w:t>Відходи будівництва та знесення</w:t>
      </w:r>
    </w:p>
    <w:p w14:paraId="0896B9E0" w14:textId="161E11A3" w:rsidR="00A409B1" w:rsidRPr="00C22C49" w:rsidRDefault="00A409B1" w:rsidP="00A409B1">
      <w:pPr>
        <w:pStyle w:val="ad"/>
        <w:rPr>
          <w:sz w:val="32"/>
          <w:szCs w:val="24"/>
          <w:lang w:val="uk-UA"/>
        </w:rPr>
      </w:pPr>
      <w:bookmarkStart w:id="24" w:name="_Toc142262256"/>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9</w:t>
      </w:r>
      <w:r w:rsidR="005E0A06" w:rsidRPr="00C22C49">
        <w:rPr>
          <w:lang w:val="uk-UA"/>
        </w:rPr>
        <w:fldChar w:fldCharType="end"/>
      </w:r>
      <w:r w:rsidRPr="00C22C49">
        <w:rPr>
          <w:lang w:val="uk-UA"/>
        </w:rPr>
        <w:t xml:space="preserve">. </w:t>
      </w:r>
      <w:r w:rsidRPr="00C22C49">
        <w:rPr>
          <w:sz w:val="22"/>
          <w:szCs w:val="24"/>
          <w:lang w:val="uk-UA" w:eastAsia="bg-BG"/>
        </w:rPr>
        <w:t>Прогноз утворення відходів будівництва та знесення (млн. т/рік)</w:t>
      </w:r>
      <w:bookmarkEnd w:id="24"/>
    </w:p>
    <w:tbl>
      <w:tblPr>
        <w:tblW w:w="8891" w:type="dxa"/>
        <w:jc w:val="center"/>
        <w:tblLook w:val="04A0" w:firstRow="1" w:lastRow="0" w:firstColumn="1" w:lastColumn="0" w:noHBand="0" w:noVBand="1"/>
      </w:tblPr>
      <w:tblGrid>
        <w:gridCol w:w="1520"/>
        <w:gridCol w:w="621"/>
        <w:gridCol w:w="621"/>
        <w:gridCol w:w="621"/>
        <w:gridCol w:w="621"/>
        <w:gridCol w:w="621"/>
        <w:gridCol w:w="621"/>
        <w:gridCol w:w="621"/>
        <w:gridCol w:w="621"/>
        <w:gridCol w:w="621"/>
        <w:gridCol w:w="621"/>
        <w:gridCol w:w="621"/>
        <w:gridCol w:w="621"/>
        <w:gridCol w:w="621"/>
      </w:tblGrid>
      <w:tr w:rsidR="00D43342" w:rsidRPr="00C22C49" w14:paraId="0896B9EF" w14:textId="77777777" w:rsidTr="00A409B1">
        <w:trPr>
          <w:trHeight w:val="288"/>
          <w:jc w:val="center"/>
        </w:trPr>
        <w:tc>
          <w:tcPr>
            <w:tcW w:w="1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6B9E1"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2"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3"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4"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5"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6"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7"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8"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2029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9"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A"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2031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B"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C"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2033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D"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2034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96B9EE" w14:textId="77777777" w:rsidR="00B62890" w:rsidRPr="00D936A9" w:rsidRDefault="00B62890" w:rsidP="00E95276">
            <w:pPr>
              <w:pStyle w:val="Table"/>
              <w:rPr>
                <w:rFonts w:eastAsia="Calibri"/>
                <w:b/>
                <w:bCs/>
                <w:sz w:val="18"/>
                <w:szCs w:val="20"/>
                <w:lang w:val="uk-UA" w:eastAsia="bg-BG"/>
              </w:rPr>
            </w:pPr>
            <w:r w:rsidRPr="00D936A9">
              <w:rPr>
                <w:rFonts w:eastAsia="Calibri"/>
                <w:b/>
                <w:bCs/>
                <w:sz w:val="18"/>
                <w:szCs w:val="20"/>
                <w:lang w:val="uk-UA" w:eastAsia="bg-BG"/>
              </w:rPr>
              <w:t>2035</w:t>
            </w:r>
          </w:p>
        </w:tc>
      </w:tr>
      <w:tr w:rsidR="00D43342" w:rsidRPr="00C22C49" w14:paraId="0896B9FE" w14:textId="77777777" w:rsidTr="00A409B1">
        <w:trPr>
          <w:trHeight w:val="288"/>
          <w:jc w:val="center"/>
        </w:trPr>
        <w:tc>
          <w:tcPr>
            <w:tcW w:w="1520" w:type="dxa"/>
            <w:tcBorders>
              <w:top w:val="nil"/>
              <w:left w:val="single" w:sz="4" w:space="0" w:color="000000"/>
              <w:bottom w:val="single" w:sz="4" w:space="0" w:color="000000"/>
              <w:right w:val="single" w:sz="4" w:space="0" w:color="000000"/>
            </w:tcBorders>
            <w:shd w:val="clear" w:color="000000" w:fill="FFFFFF"/>
            <w:vAlign w:val="center"/>
            <w:hideMark/>
          </w:tcPr>
          <w:p w14:paraId="0896B9F0"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Утворено, млн.т</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896B9F1"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1,19</w:t>
            </w:r>
          </w:p>
        </w:tc>
        <w:tc>
          <w:tcPr>
            <w:tcW w:w="567" w:type="dxa"/>
            <w:tcBorders>
              <w:top w:val="nil"/>
              <w:left w:val="nil"/>
              <w:bottom w:val="single" w:sz="4" w:space="0" w:color="auto"/>
              <w:right w:val="single" w:sz="4" w:space="0" w:color="auto"/>
            </w:tcBorders>
            <w:shd w:val="clear" w:color="000000" w:fill="FFFFFF"/>
            <w:noWrap/>
            <w:vAlign w:val="bottom"/>
            <w:hideMark/>
          </w:tcPr>
          <w:p w14:paraId="0896B9F2"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1,49</w:t>
            </w:r>
          </w:p>
        </w:tc>
        <w:tc>
          <w:tcPr>
            <w:tcW w:w="567" w:type="dxa"/>
            <w:tcBorders>
              <w:top w:val="nil"/>
              <w:left w:val="nil"/>
              <w:bottom w:val="single" w:sz="4" w:space="0" w:color="auto"/>
              <w:right w:val="single" w:sz="4" w:space="0" w:color="auto"/>
            </w:tcBorders>
            <w:shd w:val="clear" w:color="000000" w:fill="FFFFFF"/>
            <w:noWrap/>
            <w:vAlign w:val="bottom"/>
            <w:hideMark/>
          </w:tcPr>
          <w:p w14:paraId="0896B9F3"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1,71</w:t>
            </w:r>
          </w:p>
        </w:tc>
        <w:tc>
          <w:tcPr>
            <w:tcW w:w="567" w:type="dxa"/>
            <w:tcBorders>
              <w:top w:val="nil"/>
              <w:left w:val="nil"/>
              <w:bottom w:val="single" w:sz="4" w:space="0" w:color="auto"/>
              <w:right w:val="single" w:sz="4" w:space="0" w:color="auto"/>
            </w:tcBorders>
            <w:shd w:val="clear" w:color="000000" w:fill="FFFFFF"/>
            <w:noWrap/>
            <w:vAlign w:val="bottom"/>
            <w:hideMark/>
          </w:tcPr>
          <w:p w14:paraId="0896B9F4"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1,74</w:t>
            </w:r>
          </w:p>
        </w:tc>
        <w:tc>
          <w:tcPr>
            <w:tcW w:w="567" w:type="dxa"/>
            <w:tcBorders>
              <w:top w:val="nil"/>
              <w:left w:val="nil"/>
              <w:bottom w:val="single" w:sz="4" w:space="0" w:color="auto"/>
              <w:right w:val="single" w:sz="4" w:space="0" w:color="auto"/>
            </w:tcBorders>
            <w:shd w:val="clear" w:color="000000" w:fill="FFFFFF"/>
            <w:noWrap/>
            <w:vAlign w:val="bottom"/>
            <w:hideMark/>
          </w:tcPr>
          <w:p w14:paraId="0896B9F5"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1,73</w:t>
            </w:r>
          </w:p>
        </w:tc>
        <w:tc>
          <w:tcPr>
            <w:tcW w:w="567" w:type="dxa"/>
            <w:tcBorders>
              <w:top w:val="nil"/>
              <w:left w:val="nil"/>
              <w:bottom w:val="single" w:sz="4" w:space="0" w:color="auto"/>
              <w:right w:val="single" w:sz="4" w:space="0" w:color="auto"/>
            </w:tcBorders>
            <w:shd w:val="clear" w:color="000000" w:fill="FFFFFF"/>
            <w:noWrap/>
            <w:vAlign w:val="bottom"/>
            <w:hideMark/>
          </w:tcPr>
          <w:p w14:paraId="0896B9F6"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1,69</w:t>
            </w:r>
          </w:p>
        </w:tc>
        <w:tc>
          <w:tcPr>
            <w:tcW w:w="567" w:type="dxa"/>
            <w:tcBorders>
              <w:top w:val="nil"/>
              <w:left w:val="nil"/>
              <w:bottom w:val="single" w:sz="4" w:space="0" w:color="auto"/>
              <w:right w:val="single" w:sz="4" w:space="0" w:color="auto"/>
            </w:tcBorders>
            <w:shd w:val="clear" w:color="000000" w:fill="FFFFFF"/>
            <w:noWrap/>
            <w:vAlign w:val="bottom"/>
            <w:hideMark/>
          </w:tcPr>
          <w:p w14:paraId="0896B9F7"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1,64</w:t>
            </w:r>
          </w:p>
        </w:tc>
        <w:tc>
          <w:tcPr>
            <w:tcW w:w="567" w:type="dxa"/>
            <w:tcBorders>
              <w:top w:val="nil"/>
              <w:left w:val="nil"/>
              <w:bottom w:val="single" w:sz="4" w:space="0" w:color="auto"/>
              <w:right w:val="single" w:sz="4" w:space="0" w:color="auto"/>
            </w:tcBorders>
            <w:shd w:val="clear" w:color="000000" w:fill="FFFFFF"/>
            <w:noWrap/>
            <w:vAlign w:val="bottom"/>
            <w:hideMark/>
          </w:tcPr>
          <w:p w14:paraId="0896B9F8"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1,60</w:t>
            </w:r>
          </w:p>
        </w:tc>
        <w:tc>
          <w:tcPr>
            <w:tcW w:w="567" w:type="dxa"/>
            <w:tcBorders>
              <w:top w:val="nil"/>
              <w:left w:val="nil"/>
              <w:bottom w:val="single" w:sz="4" w:space="0" w:color="auto"/>
              <w:right w:val="single" w:sz="4" w:space="0" w:color="auto"/>
            </w:tcBorders>
            <w:shd w:val="clear" w:color="000000" w:fill="FFFFFF"/>
            <w:noWrap/>
            <w:vAlign w:val="bottom"/>
            <w:hideMark/>
          </w:tcPr>
          <w:p w14:paraId="0896B9F9"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1,52</w:t>
            </w:r>
          </w:p>
        </w:tc>
        <w:tc>
          <w:tcPr>
            <w:tcW w:w="567" w:type="dxa"/>
            <w:tcBorders>
              <w:top w:val="nil"/>
              <w:left w:val="nil"/>
              <w:bottom w:val="single" w:sz="4" w:space="0" w:color="auto"/>
              <w:right w:val="single" w:sz="4" w:space="0" w:color="auto"/>
            </w:tcBorders>
            <w:shd w:val="clear" w:color="000000" w:fill="FFFFFF"/>
            <w:noWrap/>
            <w:vAlign w:val="bottom"/>
            <w:hideMark/>
          </w:tcPr>
          <w:p w14:paraId="0896B9FA"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1,44</w:t>
            </w:r>
          </w:p>
        </w:tc>
        <w:tc>
          <w:tcPr>
            <w:tcW w:w="567" w:type="dxa"/>
            <w:tcBorders>
              <w:top w:val="nil"/>
              <w:left w:val="nil"/>
              <w:bottom w:val="single" w:sz="4" w:space="0" w:color="auto"/>
              <w:right w:val="single" w:sz="4" w:space="0" w:color="auto"/>
            </w:tcBorders>
            <w:shd w:val="clear" w:color="000000" w:fill="FFFFFF"/>
            <w:noWrap/>
            <w:vAlign w:val="bottom"/>
            <w:hideMark/>
          </w:tcPr>
          <w:p w14:paraId="0896B9FB"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1,39</w:t>
            </w:r>
          </w:p>
        </w:tc>
        <w:tc>
          <w:tcPr>
            <w:tcW w:w="567" w:type="dxa"/>
            <w:tcBorders>
              <w:top w:val="nil"/>
              <w:left w:val="nil"/>
              <w:bottom w:val="single" w:sz="4" w:space="0" w:color="auto"/>
              <w:right w:val="single" w:sz="4" w:space="0" w:color="auto"/>
            </w:tcBorders>
            <w:shd w:val="clear" w:color="000000" w:fill="FFFFFF"/>
            <w:noWrap/>
            <w:vAlign w:val="bottom"/>
            <w:hideMark/>
          </w:tcPr>
          <w:p w14:paraId="0896B9FC"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1,36</w:t>
            </w:r>
          </w:p>
        </w:tc>
        <w:tc>
          <w:tcPr>
            <w:tcW w:w="567" w:type="dxa"/>
            <w:tcBorders>
              <w:top w:val="nil"/>
              <w:left w:val="nil"/>
              <w:bottom w:val="single" w:sz="4" w:space="0" w:color="auto"/>
              <w:right w:val="single" w:sz="4" w:space="0" w:color="auto"/>
            </w:tcBorders>
            <w:shd w:val="clear" w:color="000000" w:fill="FFFFFF"/>
            <w:noWrap/>
            <w:vAlign w:val="bottom"/>
            <w:hideMark/>
          </w:tcPr>
          <w:p w14:paraId="0896B9FD"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1,33</w:t>
            </w:r>
          </w:p>
        </w:tc>
      </w:tr>
      <w:tr w:rsidR="00D43342" w:rsidRPr="00C22C49" w14:paraId="0896BA0D" w14:textId="77777777" w:rsidTr="00A409B1">
        <w:trPr>
          <w:trHeight w:val="528"/>
          <w:jc w:val="center"/>
        </w:trPr>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9FF"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Динаміка, в % до 2022 р.</w:t>
            </w:r>
          </w:p>
        </w:tc>
        <w:tc>
          <w:tcPr>
            <w:tcW w:w="567" w:type="dxa"/>
            <w:tcBorders>
              <w:top w:val="nil"/>
              <w:left w:val="nil"/>
              <w:bottom w:val="single" w:sz="4" w:space="0" w:color="auto"/>
              <w:right w:val="single" w:sz="4" w:space="0" w:color="auto"/>
            </w:tcBorders>
            <w:shd w:val="clear" w:color="000000" w:fill="FFFFFF"/>
            <w:noWrap/>
            <w:vAlign w:val="bottom"/>
            <w:hideMark/>
          </w:tcPr>
          <w:p w14:paraId="0896BA00"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135,0</w:t>
            </w:r>
          </w:p>
        </w:tc>
        <w:tc>
          <w:tcPr>
            <w:tcW w:w="567" w:type="dxa"/>
            <w:tcBorders>
              <w:top w:val="nil"/>
              <w:left w:val="nil"/>
              <w:bottom w:val="single" w:sz="4" w:space="0" w:color="auto"/>
              <w:right w:val="single" w:sz="4" w:space="0" w:color="auto"/>
            </w:tcBorders>
            <w:shd w:val="clear" w:color="000000" w:fill="FFFFFF"/>
            <w:noWrap/>
            <w:vAlign w:val="bottom"/>
            <w:hideMark/>
          </w:tcPr>
          <w:p w14:paraId="0896BA01"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168,8</w:t>
            </w:r>
          </w:p>
        </w:tc>
        <w:tc>
          <w:tcPr>
            <w:tcW w:w="567" w:type="dxa"/>
            <w:tcBorders>
              <w:top w:val="nil"/>
              <w:left w:val="nil"/>
              <w:bottom w:val="single" w:sz="4" w:space="0" w:color="auto"/>
              <w:right w:val="single" w:sz="4" w:space="0" w:color="auto"/>
            </w:tcBorders>
            <w:shd w:val="clear" w:color="000000" w:fill="FFFFFF"/>
            <w:noWrap/>
            <w:vAlign w:val="bottom"/>
            <w:hideMark/>
          </w:tcPr>
          <w:p w14:paraId="0896BA02"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194,1</w:t>
            </w:r>
          </w:p>
        </w:tc>
        <w:tc>
          <w:tcPr>
            <w:tcW w:w="567" w:type="dxa"/>
            <w:tcBorders>
              <w:top w:val="nil"/>
              <w:left w:val="nil"/>
              <w:bottom w:val="single" w:sz="4" w:space="0" w:color="auto"/>
              <w:right w:val="single" w:sz="4" w:space="0" w:color="auto"/>
            </w:tcBorders>
            <w:shd w:val="clear" w:color="000000" w:fill="FFFFFF"/>
            <w:noWrap/>
            <w:vAlign w:val="bottom"/>
            <w:hideMark/>
          </w:tcPr>
          <w:p w14:paraId="0896BA03"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197,9</w:t>
            </w:r>
          </w:p>
        </w:tc>
        <w:tc>
          <w:tcPr>
            <w:tcW w:w="567" w:type="dxa"/>
            <w:tcBorders>
              <w:top w:val="nil"/>
              <w:left w:val="nil"/>
              <w:bottom w:val="single" w:sz="4" w:space="0" w:color="auto"/>
              <w:right w:val="single" w:sz="4" w:space="0" w:color="auto"/>
            </w:tcBorders>
            <w:shd w:val="clear" w:color="000000" w:fill="FFFFFF"/>
            <w:noWrap/>
            <w:vAlign w:val="bottom"/>
            <w:hideMark/>
          </w:tcPr>
          <w:p w14:paraId="0896BA04"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196,0</w:t>
            </w:r>
          </w:p>
        </w:tc>
        <w:tc>
          <w:tcPr>
            <w:tcW w:w="567" w:type="dxa"/>
            <w:tcBorders>
              <w:top w:val="nil"/>
              <w:left w:val="nil"/>
              <w:bottom w:val="single" w:sz="4" w:space="0" w:color="auto"/>
              <w:right w:val="single" w:sz="4" w:space="0" w:color="auto"/>
            </w:tcBorders>
            <w:shd w:val="clear" w:color="000000" w:fill="FFFFFF"/>
            <w:noWrap/>
            <w:vAlign w:val="bottom"/>
            <w:hideMark/>
          </w:tcPr>
          <w:p w14:paraId="0896BA05"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192,0</w:t>
            </w:r>
          </w:p>
        </w:tc>
        <w:tc>
          <w:tcPr>
            <w:tcW w:w="567" w:type="dxa"/>
            <w:tcBorders>
              <w:top w:val="nil"/>
              <w:left w:val="nil"/>
              <w:bottom w:val="single" w:sz="4" w:space="0" w:color="auto"/>
              <w:right w:val="single" w:sz="4" w:space="0" w:color="auto"/>
            </w:tcBorders>
            <w:shd w:val="clear" w:color="000000" w:fill="FFFFFF"/>
            <w:noWrap/>
            <w:vAlign w:val="bottom"/>
            <w:hideMark/>
          </w:tcPr>
          <w:p w14:paraId="0896BA06"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186,3</w:t>
            </w:r>
          </w:p>
        </w:tc>
        <w:tc>
          <w:tcPr>
            <w:tcW w:w="567" w:type="dxa"/>
            <w:tcBorders>
              <w:top w:val="nil"/>
              <w:left w:val="nil"/>
              <w:bottom w:val="single" w:sz="4" w:space="0" w:color="auto"/>
              <w:right w:val="single" w:sz="4" w:space="0" w:color="auto"/>
            </w:tcBorders>
            <w:shd w:val="clear" w:color="000000" w:fill="FFFFFF"/>
            <w:noWrap/>
            <w:vAlign w:val="bottom"/>
            <w:hideMark/>
          </w:tcPr>
          <w:p w14:paraId="0896BA07"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181,6</w:t>
            </w:r>
          </w:p>
        </w:tc>
        <w:tc>
          <w:tcPr>
            <w:tcW w:w="567" w:type="dxa"/>
            <w:tcBorders>
              <w:top w:val="nil"/>
              <w:left w:val="nil"/>
              <w:bottom w:val="single" w:sz="4" w:space="0" w:color="auto"/>
              <w:right w:val="single" w:sz="4" w:space="0" w:color="auto"/>
            </w:tcBorders>
            <w:shd w:val="clear" w:color="000000" w:fill="FFFFFF"/>
            <w:noWrap/>
            <w:vAlign w:val="bottom"/>
            <w:hideMark/>
          </w:tcPr>
          <w:p w14:paraId="0896BA08"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172,5</w:t>
            </w:r>
          </w:p>
        </w:tc>
        <w:tc>
          <w:tcPr>
            <w:tcW w:w="567" w:type="dxa"/>
            <w:tcBorders>
              <w:top w:val="nil"/>
              <w:left w:val="nil"/>
              <w:bottom w:val="single" w:sz="4" w:space="0" w:color="auto"/>
              <w:right w:val="single" w:sz="4" w:space="0" w:color="auto"/>
            </w:tcBorders>
            <w:shd w:val="clear" w:color="000000" w:fill="FFFFFF"/>
            <w:noWrap/>
            <w:vAlign w:val="bottom"/>
            <w:hideMark/>
          </w:tcPr>
          <w:p w14:paraId="0896BA09"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163,9</w:t>
            </w:r>
          </w:p>
        </w:tc>
        <w:tc>
          <w:tcPr>
            <w:tcW w:w="567" w:type="dxa"/>
            <w:tcBorders>
              <w:top w:val="nil"/>
              <w:left w:val="nil"/>
              <w:bottom w:val="single" w:sz="4" w:space="0" w:color="auto"/>
              <w:right w:val="single" w:sz="4" w:space="0" w:color="auto"/>
            </w:tcBorders>
            <w:shd w:val="clear" w:color="000000" w:fill="FFFFFF"/>
            <w:noWrap/>
            <w:vAlign w:val="bottom"/>
            <w:hideMark/>
          </w:tcPr>
          <w:p w14:paraId="0896BA0A"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157,4</w:t>
            </w:r>
          </w:p>
        </w:tc>
        <w:tc>
          <w:tcPr>
            <w:tcW w:w="567" w:type="dxa"/>
            <w:tcBorders>
              <w:top w:val="nil"/>
              <w:left w:val="nil"/>
              <w:bottom w:val="single" w:sz="4" w:space="0" w:color="auto"/>
              <w:right w:val="single" w:sz="4" w:space="0" w:color="auto"/>
            </w:tcBorders>
            <w:shd w:val="clear" w:color="000000" w:fill="FFFFFF"/>
            <w:noWrap/>
            <w:vAlign w:val="bottom"/>
            <w:hideMark/>
          </w:tcPr>
          <w:p w14:paraId="0896BA0B"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154,2</w:t>
            </w:r>
          </w:p>
        </w:tc>
        <w:tc>
          <w:tcPr>
            <w:tcW w:w="567" w:type="dxa"/>
            <w:tcBorders>
              <w:top w:val="nil"/>
              <w:left w:val="nil"/>
              <w:bottom w:val="single" w:sz="4" w:space="0" w:color="auto"/>
              <w:right w:val="single" w:sz="4" w:space="0" w:color="auto"/>
            </w:tcBorders>
            <w:shd w:val="clear" w:color="000000" w:fill="FFFFFF"/>
            <w:noWrap/>
            <w:vAlign w:val="bottom"/>
            <w:hideMark/>
          </w:tcPr>
          <w:p w14:paraId="0896BA0C"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151,1</w:t>
            </w:r>
          </w:p>
        </w:tc>
      </w:tr>
      <w:tr w:rsidR="00D43342" w:rsidRPr="00C22C49" w14:paraId="0896BA1C" w14:textId="77777777" w:rsidTr="00A409B1">
        <w:trPr>
          <w:trHeight w:val="552"/>
          <w:jc w:val="center"/>
        </w:trPr>
        <w:tc>
          <w:tcPr>
            <w:tcW w:w="1520" w:type="dxa"/>
            <w:tcBorders>
              <w:top w:val="single" w:sz="4" w:space="0" w:color="000000"/>
              <w:left w:val="single" w:sz="4" w:space="0" w:color="000000"/>
              <w:bottom w:val="single" w:sz="4" w:space="0" w:color="000000"/>
              <w:right w:val="nil"/>
            </w:tcBorders>
            <w:shd w:val="clear" w:color="000000" w:fill="FFFFFF"/>
            <w:vAlign w:val="center"/>
            <w:hideMark/>
          </w:tcPr>
          <w:p w14:paraId="0896BA0E"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у розрахунку на одну особу</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896BA0F"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0"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1"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2"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3"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4"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5"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6"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7"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8"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9"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A"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896BA1B"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 </w:t>
            </w:r>
          </w:p>
        </w:tc>
      </w:tr>
      <w:tr w:rsidR="00D43342" w:rsidRPr="00C22C49" w14:paraId="0896BA2B" w14:textId="77777777" w:rsidTr="00A409B1">
        <w:trPr>
          <w:trHeight w:val="288"/>
          <w:jc w:val="center"/>
        </w:trPr>
        <w:tc>
          <w:tcPr>
            <w:tcW w:w="1520" w:type="dxa"/>
            <w:tcBorders>
              <w:top w:val="nil"/>
              <w:left w:val="single" w:sz="4" w:space="0" w:color="000000"/>
              <w:bottom w:val="single" w:sz="4" w:space="0" w:color="000000"/>
              <w:right w:val="single" w:sz="4" w:space="0" w:color="000000"/>
            </w:tcBorders>
            <w:shd w:val="clear" w:color="000000" w:fill="FFFFFF"/>
            <w:vAlign w:val="center"/>
            <w:hideMark/>
          </w:tcPr>
          <w:p w14:paraId="0896BA1D"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Утворено, кг</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896BA1E"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33,6</w:t>
            </w:r>
          </w:p>
        </w:tc>
        <w:tc>
          <w:tcPr>
            <w:tcW w:w="567" w:type="dxa"/>
            <w:tcBorders>
              <w:top w:val="nil"/>
              <w:left w:val="nil"/>
              <w:bottom w:val="single" w:sz="4" w:space="0" w:color="auto"/>
              <w:right w:val="single" w:sz="4" w:space="0" w:color="auto"/>
            </w:tcBorders>
            <w:shd w:val="clear" w:color="000000" w:fill="FFFFFF"/>
            <w:vAlign w:val="center"/>
            <w:hideMark/>
          </w:tcPr>
          <w:p w14:paraId="0896BA1F"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43,1</w:t>
            </w:r>
          </w:p>
        </w:tc>
        <w:tc>
          <w:tcPr>
            <w:tcW w:w="567" w:type="dxa"/>
            <w:tcBorders>
              <w:top w:val="nil"/>
              <w:left w:val="nil"/>
              <w:bottom w:val="single" w:sz="4" w:space="0" w:color="auto"/>
              <w:right w:val="single" w:sz="4" w:space="0" w:color="auto"/>
            </w:tcBorders>
            <w:shd w:val="clear" w:color="000000" w:fill="FFFFFF"/>
            <w:vAlign w:val="center"/>
            <w:hideMark/>
          </w:tcPr>
          <w:p w14:paraId="0896BA20"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50,9</w:t>
            </w:r>
          </w:p>
        </w:tc>
        <w:tc>
          <w:tcPr>
            <w:tcW w:w="567" w:type="dxa"/>
            <w:tcBorders>
              <w:top w:val="nil"/>
              <w:left w:val="nil"/>
              <w:bottom w:val="single" w:sz="4" w:space="0" w:color="auto"/>
              <w:right w:val="single" w:sz="4" w:space="0" w:color="auto"/>
            </w:tcBorders>
            <w:shd w:val="clear" w:color="000000" w:fill="FFFFFF"/>
            <w:vAlign w:val="center"/>
            <w:hideMark/>
          </w:tcPr>
          <w:p w14:paraId="0896BA21"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53,4</w:t>
            </w:r>
          </w:p>
        </w:tc>
        <w:tc>
          <w:tcPr>
            <w:tcW w:w="567" w:type="dxa"/>
            <w:tcBorders>
              <w:top w:val="nil"/>
              <w:left w:val="nil"/>
              <w:bottom w:val="single" w:sz="4" w:space="0" w:color="auto"/>
              <w:right w:val="single" w:sz="4" w:space="0" w:color="auto"/>
            </w:tcBorders>
            <w:shd w:val="clear" w:color="000000" w:fill="FFFFFF"/>
            <w:vAlign w:val="center"/>
            <w:hideMark/>
          </w:tcPr>
          <w:p w14:paraId="0896BA22"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54,3</w:t>
            </w:r>
          </w:p>
        </w:tc>
        <w:tc>
          <w:tcPr>
            <w:tcW w:w="567" w:type="dxa"/>
            <w:tcBorders>
              <w:top w:val="nil"/>
              <w:left w:val="nil"/>
              <w:bottom w:val="single" w:sz="4" w:space="0" w:color="auto"/>
              <w:right w:val="single" w:sz="4" w:space="0" w:color="auto"/>
            </w:tcBorders>
            <w:shd w:val="clear" w:color="000000" w:fill="FFFFFF"/>
            <w:vAlign w:val="center"/>
            <w:hideMark/>
          </w:tcPr>
          <w:p w14:paraId="0896BA23"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54,7</w:t>
            </w:r>
          </w:p>
        </w:tc>
        <w:tc>
          <w:tcPr>
            <w:tcW w:w="567" w:type="dxa"/>
            <w:tcBorders>
              <w:top w:val="nil"/>
              <w:left w:val="nil"/>
              <w:bottom w:val="single" w:sz="4" w:space="0" w:color="auto"/>
              <w:right w:val="single" w:sz="4" w:space="0" w:color="auto"/>
            </w:tcBorders>
            <w:shd w:val="clear" w:color="000000" w:fill="FFFFFF"/>
            <w:vAlign w:val="center"/>
            <w:hideMark/>
          </w:tcPr>
          <w:p w14:paraId="0896BA24"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54,5</w:t>
            </w:r>
          </w:p>
        </w:tc>
        <w:tc>
          <w:tcPr>
            <w:tcW w:w="567" w:type="dxa"/>
            <w:tcBorders>
              <w:top w:val="nil"/>
              <w:left w:val="nil"/>
              <w:bottom w:val="single" w:sz="4" w:space="0" w:color="auto"/>
              <w:right w:val="single" w:sz="4" w:space="0" w:color="auto"/>
            </w:tcBorders>
            <w:shd w:val="clear" w:color="000000" w:fill="FFFFFF"/>
            <w:vAlign w:val="center"/>
            <w:hideMark/>
          </w:tcPr>
          <w:p w14:paraId="0896BA25"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54,6</w:t>
            </w:r>
          </w:p>
        </w:tc>
        <w:tc>
          <w:tcPr>
            <w:tcW w:w="567" w:type="dxa"/>
            <w:tcBorders>
              <w:top w:val="nil"/>
              <w:left w:val="nil"/>
              <w:bottom w:val="single" w:sz="4" w:space="0" w:color="auto"/>
              <w:right w:val="single" w:sz="4" w:space="0" w:color="auto"/>
            </w:tcBorders>
            <w:shd w:val="clear" w:color="000000" w:fill="FFFFFF"/>
            <w:vAlign w:val="center"/>
            <w:hideMark/>
          </w:tcPr>
          <w:p w14:paraId="0896BA26"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53,3</w:t>
            </w:r>
          </w:p>
        </w:tc>
        <w:tc>
          <w:tcPr>
            <w:tcW w:w="567" w:type="dxa"/>
            <w:tcBorders>
              <w:top w:val="nil"/>
              <w:left w:val="nil"/>
              <w:bottom w:val="single" w:sz="4" w:space="0" w:color="auto"/>
              <w:right w:val="single" w:sz="4" w:space="0" w:color="auto"/>
            </w:tcBorders>
            <w:shd w:val="clear" w:color="000000" w:fill="FFFFFF"/>
            <w:vAlign w:val="center"/>
            <w:hideMark/>
          </w:tcPr>
          <w:p w14:paraId="0896BA27"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52,0</w:t>
            </w:r>
          </w:p>
        </w:tc>
        <w:tc>
          <w:tcPr>
            <w:tcW w:w="567" w:type="dxa"/>
            <w:tcBorders>
              <w:top w:val="nil"/>
              <w:left w:val="nil"/>
              <w:bottom w:val="single" w:sz="4" w:space="0" w:color="auto"/>
              <w:right w:val="single" w:sz="4" w:space="0" w:color="auto"/>
            </w:tcBorders>
            <w:shd w:val="clear" w:color="000000" w:fill="FFFFFF"/>
            <w:vAlign w:val="center"/>
            <w:hideMark/>
          </w:tcPr>
          <w:p w14:paraId="0896BA28"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51,3</w:t>
            </w:r>
          </w:p>
        </w:tc>
        <w:tc>
          <w:tcPr>
            <w:tcW w:w="567" w:type="dxa"/>
            <w:tcBorders>
              <w:top w:val="nil"/>
              <w:left w:val="nil"/>
              <w:bottom w:val="single" w:sz="4" w:space="0" w:color="auto"/>
              <w:right w:val="single" w:sz="4" w:space="0" w:color="auto"/>
            </w:tcBorders>
            <w:shd w:val="clear" w:color="000000" w:fill="FFFFFF"/>
            <w:vAlign w:val="center"/>
            <w:hideMark/>
          </w:tcPr>
          <w:p w14:paraId="0896BA29"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51,7</w:t>
            </w:r>
          </w:p>
        </w:tc>
        <w:tc>
          <w:tcPr>
            <w:tcW w:w="567" w:type="dxa"/>
            <w:tcBorders>
              <w:top w:val="nil"/>
              <w:left w:val="nil"/>
              <w:bottom w:val="single" w:sz="4" w:space="0" w:color="auto"/>
              <w:right w:val="single" w:sz="4" w:space="0" w:color="auto"/>
            </w:tcBorders>
            <w:shd w:val="clear" w:color="000000" w:fill="FFFFFF"/>
            <w:vAlign w:val="center"/>
            <w:hideMark/>
          </w:tcPr>
          <w:p w14:paraId="0896BA2A"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52,1</w:t>
            </w:r>
          </w:p>
        </w:tc>
      </w:tr>
      <w:tr w:rsidR="00D43342" w:rsidRPr="00C22C49" w14:paraId="0896BA3A" w14:textId="77777777" w:rsidTr="00A409B1">
        <w:trPr>
          <w:trHeight w:val="528"/>
          <w:jc w:val="center"/>
        </w:trPr>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2C"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Динаміка, в % до 2022 р.</w:t>
            </w:r>
          </w:p>
        </w:tc>
        <w:tc>
          <w:tcPr>
            <w:tcW w:w="567" w:type="dxa"/>
            <w:tcBorders>
              <w:top w:val="nil"/>
              <w:left w:val="nil"/>
              <w:bottom w:val="single" w:sz="4" w:space="0" w:color="auto"/>
              <w:right w:val="single" w:sz="4" w:space="0" w:color="auto"/>
            </w:tcBorders>
            <w:shd w:val="clear" w:color="000000" w:fill="FFFFFF"/>
            <w:noWrap/>
            <w:vAlign w:val="bottom"/>
            <w:hideMark/>
          </w:tcPr>
          <w:p w14:paraId="0896BA2D"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156,9</w:t>
            </w:r>
          </w:p>
        </w:tc>
        <w:tc>
          <w:tcPr>
            <w:tcW w:w="567" w:type="dxa"/>
            <w:tcBorders>
              <w:top w:val="nil"/>
              <w:left w:val="nil"/>
              <w:bottom w:val="single" w:sz="4" w:space="0" w:color="auto"/>
              <w:right w:val="single" w:sz="4" w:space="0" w:color="auto"/>
            </w:tcBorders>
            <w:shd w:val="clear" w:color="000000" w:fill="FFFFFF"/>
            <w:noWrap/>
            <w:vAlign w:val="bottom"/>
            <w:hideMark/>
          </w:tcPr>
          <w:p w14:paraId="0896BA2E"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201,4</w:t>
            </w:r>
          </w:p>
        </w:tc>
        <w:tc>
          <w:tcPr>
            <w:tcW w:w="567" w:type="dxa"/>
            <w:tcBorders>
              <w:top w:val="nil"/>
              <w:left w:val="nil"/>
              <w:bottom w:val="single" w:sz="4" w:space="0" w:color="auto"/>
              <w:right w:val="single" w:sz="4" w:space="0" w:color="auto"/>
            </w:tcBorders>
            <w:shd w:val="clear" w:color="000000" w:fill="FFFFFF"/>
            <w:noWrap/>
            <w:vAlign w:val="bottom"/>
            <w:hideMark/>
          </w:tcPr>
          <w:p w14:paraId="0896BA2F"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237,9</w:t>
            </w:r>
          </w:p>
        </w:tc>
        <w:tc>
          <w:tcPr>
            <w:tcW w:w="567" w:type="dxa"/>
            <w:tcBorders>
              <w:top w:val="nil"/>
              <w:left w:val="nil"/>
              <w:bottom w:val="single" w:sz="4" w:space="0" w:color="auto"/>
              <w:right w:val="single" w:sz="4" w:space="0" w:color="auto"/>
            </w:tcBorders>
            <w:shd w:val="clear" w:color="000000" w:fill="FFFFFF"/>
            <w:noWrap/>
            <w:vAlign w:val="bottom"/>
            <w:hideMark/>
          </w:tcPr>
          <w:p w14:paraId="0896BA30"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249,3</w:t>
            </w:r>
          </w:p>
        </w:tc>
        <w:tc>
          <w:tcPr>
            <w:tcW w:w="567" w:type="dxa"/>
            <w:tcBorders>
              <w:top w:val="nil"/>
              <w:left w:val="nil"/>
              <w:bottom w:val="single" w:sz="4" w:space="0" w:color="auto"/>
              <w:right w:val="single" w:sz="4" w:space="0" w:color="auto"/>
            </w:tcBorders>
            <w:shd w:val="clear" w:color="000000" w:fill="FFFFFF"/>
            <w:noWrap/>
            <w:vAlign w:val="bottom"/>
            <w:hideMark/>
          </w:tcPr>
          <w:p w14:paraId="0896BA31"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253,6</w:t>
            </w:r>
          </w:p>
        </w:tc>
        <w:tc>
          <w:tcPr>
            <w:tcW w:w="567" w:type="dxa"/>
            <w:tcBorders>
              <w:top w:val="nil"/>
              <w:left w:val="nil"/>
              <w:bottom w:val="single" w:sz="4" w:space="0" w:color="auto"/>
              <w:right w:val="single" w:sz="4" w:space="0" w:color="auto"/>
            </w:tcBorders>
            <w:shd w:val="clear" w:color="000000" w:fill="FFFFFF"/>
            <w:noWrap/>
            <w:vAlign w:val="bottom"/>
            <w:hideMark/>
          </w:tcPr>
          <w:p w14:paraId="0896BA32"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255,4</w:t>
            </w:r>
          </w:p>
        </w:tc>
        <w:tc>
          <w:tcPr>
            <w:tcW w:w="567" w:type="dxa"/>
            <w:tcBorders>
              <w:top w:val="nil"/>
              <w:left w:val="nil"/>
              <w:bottom w:val="single" w:sz="4" w:space="0" w:color="auto"/>
              <w:right w:val="single" w:sz="4" w:space="0" w:color="auto"/>
            </w:tcBorders>
            <w:shd w:val="clear" w:color="000000" w:fill="FFFFFF"/>
            <w:noWrap/>
            <w:vAlign w:val="bottom"/>
            <w:hideMark/>
          </w:tcPr>
          <w:p w14:paraId="0896BA33"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254,5</w:t>
            </w:r>
          </w:p>
        </w:tc>
        <w:tc>
          <w:tcPr>
            <w:tcW w:w="567" w:type="dxa"/>
            <w:tcBorders>
              <w:top w:val="nil"/>
              <w:left w:val="nil"/>
              <w:bottom w:val="single" w:sz="4" w:space="0" w:color="auto"/>
              <w:right w:val="single" w:sz="4" w:space="0" w:color="auto"/>
            </w:tcBorders>
            <w:shd w:val="clear" w:color="000000" w:fill="FFFFFF"/>
            <w:noWrap/>
            <w:vAlign w:val="bottom"/>
            <w:hideMark/>
          </w:tcPr>
          <w:p w14:paraId="0896BA34"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255,0</w:t>
            </w:r>
          </w:p>
        </w:tc>
        <w:tc>
          <w:tcPr>
            <w:tcW w:w="567" w:type="dxa"/>
            <w:tcBorders>
              <w:top w:val="nil"/>
              <w:left w:val="nil"/>
              <w:bottom w:val="single" w:sz="4" w:space="0" w:color="auto"/>
              <w:right w:val="single" w:sz="4" w:space="0" w:color="auto"/>
            </w:tcBorders>
            <w:shd w:val="clear" w:color="000000" w:fill="FFFFFF"/>
            <w:noWrap/>
            <w:vAlign w:val="bottom"/>
            <w:hideMark/>
          </w:tcPr>
          <w:p w14:paraId="0896BA35"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248,9</w:t>
            </w:r>
          </w:p>
        </w:tc>
        <w:tc>
          <w:tcPr>
            <w:tcW w:w="567" w:type="dxa"/>
            <w:tcBorders>
              <w:top w:val="nil"/>
              <w:left w:val="nil"/>
              <w:bottom w:val="single" w:sz="4" w:space="0" w:color="auto"/>
              <w:right w:val="single" w:sz="4" w:space="0" w:color="auto"/>
            </w:tcBorders>
            <w:shd w:val="clear" w:color="000000" w:fill="FFFFFF"/>
            <w:noWrap/>
            <w:vAlign w:val="bottom"/>
            <w:hideMark/>
          </w:tcPr>
          <w:p w14:paraId="0896BA36"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243,0</w:t>
            </w:r>
          </w:p>
        </w:tc>
        <w:tc>
          <w:tcPr>
            <w:tcW w:w="567" w:type="dxa"/>
            <w:tcBorders>
              <w:top w:val="nil"/>
              <w:left w:val="nil"/>
              <w:bottom w:val="single" w:sz="4" w:space="0" w:color="auto"/>
              <w:right w:val="single" w:sz="4" w:space="0" w:color="auto"/>
            </w:tcBorders>
            <w:shd w:val="clear" w:color="000000" w:fill="FFFFFF"/>
            <w:noWrap/>
            <w:vAlign w:val="bottom"/>
            <w:hideMark/>
          </w:tcPr>
          <w:p w14:paraId="0896BA37"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239,8</w:t>
            </w:r>
          </w:p>
        </w:tc>
        <w:tc>
          <w:tcPr>
            <w:tcW w:w="567" w:type="dxa"/>
            <w:tcBorders>
              <w:top w:val="nil"/>
              <w:left w:val="nil"/>
              <w:bottom w:val="single" w:sz="4" w:space="0" w:color="auto"/>
              <w:right w:val="single" w:sz="4" w:space="0" w:color="auto"/>
            </w:tcBorders>
            <w:shd w:val="clear" w:color="000000" w:fill="FFFFFF"/>
            <w:noWrap/>
            <w:vAlign w:val="bottom"/>
            <w:hideMark/>
          </w:tcPr>
          <w:p w14:paraId="0896BA38"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241,5</w:t>
            </w:r>
          </w:p>
        </w:tc>
        <w:tc>
          <w:tcPr>
            <w:tcW w:w="567" w:type="dxa"/>
            <w:tcBorders>
              <w:top w:val="nil"/>
              <w:left w:val="nil"/>
              <w:bottom w:val="single" w:sz="4" w:space="0" w:color="auto"/>
              <w:right w:val="single" w:sz="4" w:space="0" w:color="auto"/>
            </w:tcBorders>
            <w:shd w:val="clear" w:color="000000" w:fill="FFFFFF"/>
            <w:noWrap/>
            <w:vAlign w:val="bottom"/>
            <w:hideMark/>
          </w:tcPr>
          <w:p w14:paraId="0896BA39" w14:textId="77777777" w:rsidR="00B62890" w:rsidRPr="00C22C49" w:rsidRDefault="00B62890" w:rsidP="00E95276">
            <w:pPr>
              <w:pStyle w:val="Table"/>
              <w:rPr>
                <w:rFonts w:eastAsia="Calibri"/>
                <w:sz w:val="18"/>
                <w:szCs w:val="20"/>
                <w:lang w:val="uk-UA" w:eastAsia="bg-BG"/>
              </w:rPr>
            </w:pPr>
            <w:r w:rsidRPr="00C22C49">
              <w:rPr>
                <w:rFonts w:eastAsia="Calibri"/>
                <w:sz w:val="18"/>
                <w:szCs w:val="20"/>
                <w:lang w:val="uk-UA" w:eastAsia="bg-BG"/>
              </w:rPr>
              <w:t>243,2</w:t>
            </w:r>
          </w:p>
        </w:tc>
      </w:tr>
    </w:tbl>
    <w:p w14:paraId="0896BA3D" w14:textId="77777777" w:rsidR="00E5687A" w:rsidRPr="00C22C49" w:rsidRDefault="00E5687A" w:rsidP="00E5687A"/>
    <w:p w14:paraId="0896BA3E" w14:textId="77777777" w:rsidR="009E1FC8" w:rsidRPr="00C22C49" w:rsidRDefault="0058773D" w:rsidP="008B1F12">
      <w:pPr>
        <w:pStyle w:val="Heading4boldRED"/>
        <w:rPr>
          <w:rStyle w:val="affe"/>
          <w:iCs w:val="0"/>
          <w:sz w:val="26"/>
          <w:lang w:val="uk-UA"/>
        </w:rPr>
      </w:pPr>
      <w:r w:rsidRPr="00C22C49">
        <w:rPr>
          <w:rStyle w:val="affe"/>
          <w:iCs w:val="0"/>
          <w:sz w:val="26"/>
          <w:lang w:val="uk-UA"/>
        </w:rPr>
        <w:t>Відходи сільського господарства</w:t>
      </w:r>
    </w:p>
    <w:p w14:paraId="41B124FD" w14:textId="77777777" w:rsidR="004B743F" w:rsidRDefault="004B743F" w:rsidP="007513A3"/>
    <w:p w14:paraId="0896BA3F" w14:textId="5B8613C4" w:rsidR="007513A3" w:rsidRPr="00C22C49" w:rsidRDefault="007513A3" w:rsidP="007513A3">
      <w:r w:rsidRPr="00C22C49">
        <w:t>Прогнозування обсягів  утворення відходів сільського господарства передбачає розрахунок їх кількості по таких групах:</w:t>
      </w:r>
    </w:p>
    <w:p w14:paraId="0896BA40" w14:textId="7FE422D0" w:rsidR="007513A3" w:rsidRPr="00014615" w:rsidRDefault="007513A3" w:rsidP="00113264">
      <w:pPr>
        <w:pStyle w:val="BulletRED"/>
      </w:pPr>
      <w:r w:rsidRPr="00C22C49">
        <w:t xml:space="preserve">відходи тваринництва - </w:t>
      </w:r>
      <w:r w:rsidRPr="00014615">
        <w:t>тверді відходи (екскременти, гній, послід, кістки, відходи тканин тваринного походження, відходи кормів)</w:t>
      </w:r>
      <w:r w:rsidR="00E66244" w:rsidRPr="00014615">
        <w:t>;</w:t>
      </w:r>
      <w:r w:rsidRPr="00014615">
        <w:t xml:space="preserve"> </w:t>
      </w:r>
    </w:p>
    <w:p w14:paraId="0896BA41" w14:textId="77777777" w:rsidR="007513A3" w:rsidRPr="00014615" w:rsidRDefault="007513A3" w:rsidP="00113264">
      <w:pPr>
        <w:pStyle w:val="BulletRED"/>
      </w:pPr>
      <w:r w:rsidRPr="00014615">
        <w:t>відходи рослинництва - первинні (солома, стебла, листя) та вторинні (лушпиння, лушпайка, жом)</w:t>
      </w:r>
      <w:r w:rsidR="00E66244" w:rsidRPr="00014615">
        <w:t>;</w:t>
      </w:r>
    </w:p>
    <w:p w14:paraId="0896BA42" w14:textId="77777777" w:rsidR="007513A3" w:rsidRPr="00C22C49" w:rsidRDefault="007513A3" w:rsidP="007513A3">
      <w:r w:rsidRPr="00C22C49">
        <w:t>При цьому передбачається, що основна частка відходів сільського виробництва може бути перероблена безпосередньо  в місцях їх утворення, що дає  економічний ефект та суттєво знижує економічне  та екологічне навантаження в секторах сільського господарства та первинної переробки, оскільки  лише відходи тваринництва  утворюють 18 % від усіх викидів парникових газів, що є більшим, ніж викиди від транспорту.</w:t>
      </w:r>
    </w:p>
    <w:p w14:paraId="0896BA43" w14:textId="77777777" w:rsidR="007513A3" w:rsidRPr="00C22C49" w:rsidRDefault="007513A3" w:rsidP="007513A3">
      <w:r w:rsidRPr="00C22C49">
        <w:t>Для повноти даних про обсяги утворених відходів сільського господарства при прогнозуванні використовувались розрахункові дані</w:t>
      </w:r>
      <w:r w:rsidR="00272030" w:rsidRPr="00C22C49">
        <w:t xml:space="preserve"> </w:t>
      </w:r>
      <w:r w:rsidRPr="00C22C49">
        <w:t xml:space="preserve">та рекомендовані дані Української академії аграрних наук, матеріалів наукових публікацій. Так при складанні прогнозів утворення відходів сільськогосподарського виробництва використані наступні значення коефіцієнта відходів – відношення сухої маси наземних залишків до маси зібраного з польовою вологістю врожаю: пшениця – 1,0; ячмінь та інші зернові – 0,8; ріпак – 2,0; кукурудза на зерно – 1,5; соняшник – 2,0. Крім цього враховувалось,  що 1 голова великої рогатої худоби в середньому за добу дає 45 кг посліду, з якого можна виробити 2,5 м³ біогазу, вихід посліду і газу від 1 голови свиней - відповідно 6,5 кг та 0,3 м³, птиці - 0,137 кг і 0,02 м³. </w:t>
      </w:r>
    </w:p>
    <w:p w14:paraId="0896BA44" w14:textId="77777777" w:rsidR="007513A3" w:rsidRDefault="007513A3" w:rsidP="007513A3">
      <w:r w:rsidRPr="00C22C49">
        <w:t xml:space="preserve">За базовий показник взято загальний розрахунковий обсяг відходів рослинництва в Україні (крім Автономної Республіки Крим та тимчасово окупованих територій Донецької та Луганської областей) у 2022 р. -  127,849 млн т. проти 8,848 млн т за даними Держстату. </w:t>
      </w:r>
    </w:p>
    <w:p w14:paraId="24FEBC2F" w14:textId="77777777" w:rsidR="004B743F" w:rsidRDefault="004B743F" w:rsidP="007513A3"/>
    <w:p w14:paraId="3BEB214B" w14:textId="77777777" w:rsidR="004B743F" w:rsidRDefault="004B743F" w:rsidP="007513A3"/>
    <w:p w14:paraId="29A8AAE7" w14:textId="4FE63293" w:rsidR="00233F78" w:rsidRPr="00D936A9" w:rsidRDefault="00914BC8" w:rsidP="00D936A9">
      <w:pPr>
        <w:jc w:val="center"/>
        <w:rPr>
          <w:b/>
          <w:bCs/>
        </w:rPr>
      </w:pPr>
      <w:r w:rsidRPr="00D936A9">
        <w:rPr>
          <w:b/>
          <w:bCs/>
        </w:rPr>
        <w:t>Таблиця. Прогноз утворення відходів сільськогосподарського виробництва (2023-2035 рр., тис. т/рік)</w:t>
      </w:r>
    </w:p>
    <w:tbl>
      <w:tblPr>
        <w:tblW w:w="9848" w:type="dxa"/>
        <w:tblInd w:w="108" w:type="dxa"/>
        <w:tblCellMar>
          <w:left w:w="57" w:type="dxa"/>
          <w:right w:w="57" w:type="dxa"/>
        </w:tblCellMar>
        <w:tblLook w:val="04A0" w:firstRow="1" w:lastRow="0" w:firstColumn="1" w:lastColumn="0" w:noHBand="0" w:noVBand="1"/>
      </w:tblPr>
      <w:tblGrid>
        <w:gridCol w:w="1368"/>
        <w:gridCol w:w="657"/>
        <w:gridCol w:w="656"/>
        <w:gridCol w:w="656"/>
        <w:gridCol w:w="656"/>
        <w:gridCol w:w="656"/>
        <w:gridCol w:w="656"/>
        <w:gridCol w:w="656"/>
        <w:gridCol w:w="656"/>
        <w:gridCol w:w="656"/>
        <w:gridCol w:w="607"/>
        <w:gridCol w:w="656"/>
        <w:gridCol w:w="656"/>
        <w:gridCol w:w="656"/>
      </w:tblGrid>
      <w:tr w:rsidR="00914BC8" w:rsidRPr="00EC2246" w14:paraId="21608E6D" w14:textId="77777777" w:rsidTr="00667634">
        <w:trPr>
          <w:trHeight w:val="324"/>
        </w:trPr>
        <w:tc>
          <w:tcPr>
            <w:tcW w:w="1368" w:type="dxa"/>
            <w:tcBorders>
              <w:top w:val="nil"/>
              <w:left w:val="nil"/>
              <w:bottom w:val="nil"/>
              <w:right w:val="nil"/>
            </w:tcBorders>
            <w:shd w:val="clear" w:color="auto" w:fill="auto"/>
            <w:noWrap/>
            <w:vAlign w:val="center"/>
            <w:hideMark/>
          </w:tcPr>
          <w:p w14:paraId="71CA485C"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p>
        </w:tc>
        <w:tc>
          <w:tcPr>
            <w:tcW w:w="657" w:type="dxa"/>
            <w:tcBorders>
              <w:top w:val="nil"/>
              <w:left w:val="nil"/>
              <w:bottom w:val="nil"/>
              <w:right w:val="nil"/>
            </w:tcBorders>
            <w:shd w:val="clear" w:color="auto" w:fill="auto"/>
            <w:noWrap/>
            <w:vAlign w:val="center"/>
            <w:hideMark/>
          </w:tcPr>
          <w:p w14:paraId="7846E69B"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2023</w:t>
            </w:r>
          </w:p>
        </w:tc>
        <w:tc>
          <w:tcPr>
            <w:tcW w:w="656" w:type="dxa"/>
            <w:tcBorders>
              <w:top w:val="nil"/>
              <w:left w:val="nil"/>
              <w:bottom w:val="nil"/>
              <w:right w:val="nil"/>
            </w:tcBorders>
            <w:shd w:val="clear" w:color="auto" w:fill="auto"/>
            <w:noWrap/>
            <w:vAlign w:val="center"/>
            <w:hideMark/>
          </w:tcPr>
          <w:p w14:paraId="5309CBCF"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2024</w:t>
            </w:r>
          </w:p>
        </w:tc>
        <w:tc>
          <w:tcPr>
            <w:tcW w:w="656" w:type="dxa"/>
            <w:tcBorders>
              <w:top w:val="nil"/>
              <w:left w:val="nil"/>
              <w:bottom w:val="nil"/>
              <w:right w:val="nil"/>
            </w:tcBorders>
            <w:shd w:val="clear" w:color="auto" w:fill="auto"/>
            <w:noWrap/>
            <w:vAlign w:val="center"/>
            <w:hideMark/>
          </w:tcPr>
          <w:p w14:paraId="39DC95A6"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2025</w:t>
            </w:r>
          </w:p>
        </w:tc>
        <w:tc>
          <w:tcPr>
            <w:tcW w:w="656" w:type="dxa"/>
            <w:tcBorders>
              <w:top w:val="nil"/>
              <w:left w:val="nil"/>
              <w:bottom w:val="nil"/>
              <w:right w:val="nil"/>
            </w:tcBorders>
            <w:shd w:val="clear" w:color="auto" w:fill="auto"/>
            <w:noWrap/>
            <w:vAlign w:val="center"/>
            <w:hideMark/>
          </w:tcPr>
          <w:p w14:paraId="5E65C5CA"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2026</w:t>
            </w:r>
          </w:p>
        </w:tc>
        <w:tc>
          <w:tcPr>
            <w:tcW w:w="656" w:type="dxa"/>
            <w:tcBorders>
              <w:top w:val="nil"/>
              <w:left w:val="nil"/>
              <w:bottom w:val="nil"/>
              <w:right w:val="nil"/>
            </w:tcBorders>
            <w:shd w:val="clear" w:color="auto" w:fill="auto"/>
            <w:noWrap/>
            <w:vAlign w:val="center"/>
            <w:hideMark/>
          </w:tcPr>
          <w:p w14:paraId="0161B0FA"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2027</w:t>
            </w:r>
          </w:p>
        </w:tc>
        <w:tc>
          <w:tcPr>
            <w:tcW w:w="656" w:type="dxa"/>
            <w:tcBorders>
              <w:top w:val="nil"/>
              <w:left w:val="nil"/>
              <w:bottom w:val="nil"/>
              <w:right w:val="nil"/>
            </w:tcBorders>
            <w:shd w:val="clear" w:color="auto" w:fill="auto"/>
            <w:noWrap/>
            <w:vAlign w:val="center"/>
            <w:hideMark/>
          </w:tcPr>
          <w:p w14:paraId="1BCF0B17"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2028</w:t>
            </w:r>
          </w:p>
        </w:tc>
        <w:tc>
          <w:tcPr>
            <w:tcW w:w="656" w:type="dxa"/>
            <w:tcBorders>
              <w:top w:val="nil"/>
              <w:left w:val="nil"/>
              <w:bottom w:val="nil"/>
              <w:right w:val="nil"/>
            </w:tcBorders>
            <w:shd w:val="clear" w:color="auto" w:fill="auto"/>
            <w:noWrap/>
            <w:vAlign w:val="center"/>
            <w:hideMark/>
          </w:tcPr>
          <w:p w14:paraId="70E92188"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2029</w:t>
            </w:r>
          </w:p>
        </w:tc>
        <w:tc>
          <w:tcPr>
            <w:tcW w:w="656" w:type="dxa"/>
            <w:tcBorders>
              <w:top w:val="nil"/>
              <w:left w:val="nil"/>
              <w:bottom w:val="nil"/>
              <w:right w:val="nil"/>
            </w:tcBorders>
            <w:shd w:val="clear" w:color="auto" w:fill="auto"/>
            <w:noWrap/>
            <w:vAlign w:val="center"/>
            <w:hideMark/>
          </w:tcPr>
          <w:p w14:paraId="3AB8623E"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2030</w:t>
            </w:r>
          </w:p>
        </w:tc>
        <w:tc>
          <w:tcPr>
            <w:tcW w:w="656" w:type="dxa"/>
            <w:tcBorders>
              <w:top w:val="nil"/>
              <w:left w:val="nil"/>
              <w:bottom w:val="nil"/>
              <w:right w:val="nil"/>
            </w:tcBorders>
            <w:shd w:val="clear" w:color="auto" w:fill="auto"/>
            <w:noWrap/>
            <w:vAlign w:val="center"/>
            <w:hideMark/>
          </w:tcPr>
          <w:p w14:paraId="4E9DC21C"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2031</w:t>
            </w:r>
          </w:p>
        </w:tc>
        <w:tc>
          <w:tcPr>
            <w:tcW w:w="607" w:type="dxa"/>
            <w:tcBorders>
              <w:top w:val="nil"/>
              <w:left w:val="nil"/>
              <w:bottom w:val="nil"/>
              <w:right w:val="nil"/>
            </w:tcBorders>
            <w:shd w:val="clear" w:color="auto" w:fill="auto"/>
            <w:noWrap/>
            <w:vAlign w:val="center"/>
            <w:hideMark/>
          </w:tcPr>
          <w:p w14:paraId="152C80FE"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2032</w:t>
            </w:r>
          </w:p>
        </w:tc>
        <w:tc>
          <w:tcPr>
            <w:tcW w:w="656" w:type="dxa"/>
            <w:tcBorders>
              <w:top w:val="nil"/>
              <w:left w:val="nil"/>
              <w:bottom w:val="nil"/>
              <w:right w:val="nil"/>
            </w:tcBorders>
            <w:shd w:val="clear" w:color="auto" w:fill="auto"/>
            <w:noWrap/>
            <w:vAlign w:val="center"/>
            <w:hideMark/>
          </w:tcPr>
          <w:p w14:paraId="675D5B6D"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2033</w:t>
            </w:r>
          </w:p>
        </w:tc>
        <w:tc>
          <w:tcPr>
            <w:tcW w:w="656" w:type="dxa"/>
            <w:tcBorders>
              <w:top w:val="nil"/>
              <w:left w:val="nil"/>
              <w:bottom w:val="nil"/>
              <w:right w:val="nil"/>
            </w:tcBorders>
            <w:shd w:val="clear" w:color="auto" w:fill="auto"/>
            <w:noWrap/>
            <w:vAlign w:val="center"/>
            <w:hideMark/>
          </w:tcPr>
          <w:p w14:paraId="0389458F"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2034</w:t>
            </w:r>
          </w:p>
        </w:tc>
        <w:tc>
          <w:tcPr>
            <w:tcW w:w="656" w:type="dxa"/>
            <w:tcBorders>
              <w:top w:val="nil"/>
              <w:left w:val="nil"/>
              <w:bottom w:val="nil"/>
              <w:right w:val="nil"/>
            </w:tcBorders>
            <w:shd w:val="clear" w:color="auto" w:fill="auto"/>
            <w:noWrap/>
            <w:vAlign w:val="center"/>
            <w:hideMark/>
          </w:tcPr>
          <w:p w14:paraId="443E3413" w14:textId="77777777" w:rsidR="00914BC8" w:rsidRPr="00EC2246" w:rsidRDefault="00914BC8" w:rsidP="00EC2246">
            <w:pPr>
              <w:tabs>
                <w:tab w:val="clear" w:pos="284"/>
                <w:tab w:val="clear" w:pos="1985"/>
              </w:tabs>
              <w:spacing w:before="0" w:after="0" w:line="240" w:lineRule="auto"/>
              <w:jc w:val="center"/>
              <w:rPr>
                <w:rFonts w:eastAsia="Times New Roman" w:cs="Times New Roman"/>
                <w:b/>
                <w:bCs/>
                <w:color w:val="000000"/>
                <w:sz w:val="20"/>
                <w:lang w:eastAsia="uk-UA"/>
              </w:rPr>
            </w:pPr>
            <w:r w:rsidRPr="00EC2246">
              <w:rPr>
                <w:rFonts w:eastAsia="Times New Roman" w:cs="Times New Roman"/>
                <w:b/>
                <w:bCs/>
                <w:color w:val="000000"/>
                <w:sz w:val="20"/>
                <w:lang w:eastAsia="uk-UA"/>
              </w:rPr>
              <w:t>2035</w:t>
            </w:r>
          </w:p>
        </w:tc>
      </w:tr>
      <w:tr w:rsidR="00914BC8" w:rsidRPr="00EC2246" w14:paraId="49A65320" w14:textId="77777777" w:rsidTr="00667634">
        <w:trPr>
          <w:trHeight w:val="324"/>
        </w:trPr>
        <w:tc>
          <w:tcPr>
            <w:tcW w:w="1368" w:type="dxa"/>
            <w:tcBorders>
              <w:top w:val="nil"/>
              <w:left w:val="nil"/>
              <w:bottom w:val="nil"/>
              <w:right w:val="nil"/>
            </w:tcBorders>
            <w:shd w:val="clear" w:color="auto" w:fill="auto"/>
            <w:noWrap/>
            <w:vAlign w:val="center"/>
            <w:hideMark/>
          </w:tcPr>
          <w:p w14:paraId="1044B70E"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відходи рослиннцтва</w:t>
            </w:r>
          </w:p>
        </w:tc>
        <w:tc>
          <w:tcPr>
            <w:tcW w:w="657" w:type="dxa"/>
            <w:tcBorders>
              <w:top w:val="nil"/>
              <w:left w:val="nil"/>
              <w:bottom w:val="nil"/>
              <w:right w:val="nil"/>
            </w:tcBorders>
            <w:shd w:val="clear" w:color="auto" w:fill="auto"/>
            <w:noWrap/>
            <w:vAlign w:val="center"/>
            <w:hideMark/>
          </w:tcPr>
          <w:p w14:paraId="372F4431"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106,1</w:t>
            </w:r>
          </w:p>
        </w:tc>
        <w:tc>
          <w:tcPr>
            <w:tcW w:w="656" w:type="dxa"/>
            <w:tcBorders>
              <w:top w:val="nil"/>
              <w:left w:val="nil"/>
              <w:bottom w:val="nil"/>
              <w:right w:val="nil"/>
            </w:tcBorders>
            <w:shd w:val="clear" w:color="auto" w:fill="auto"/>
            <w:noWrap/>
            <w:vAlign w:val="center"/>
            <w:hideMark/>
          </w:tcPr>
          <w:p w14:paraId="2B57D6CE"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100,8</w:t>
            </w:r>
          </w:p>
        </w:tc>
        <w:tc>
          <w:tcPr>
            <w:tcW w:w="656" w:type="dxa"/>
            <w:tcBorders>
              <w:top w:val="nil"/>
              <w:left w:val="nil"/>
              <w:bottom w:val="nil"/>
              <w:right w:val="nil"/>
            </w:tcBorders>
            <w:shd w:val="clear" w:color="auto" w:fill="auto"/>
            <w:noWrap/>
            <w:vAlign w:val="center"/>
            <w:hideMark/>
          </w:tcPr>
          <w:p w14:paraId="63D86FDB"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103,5</w:t>
            </w:r>
          </w:p>
        </w:tc>
        <w:tc>
          <w:tcPr>
            <w:tcW w:w="656" w:type="dxa"/>
            <w:tcBorders>
              <w:top w:val="nil"/>
              <w:left w:val="nil"/>
              <w:bottom w:val="nil"/>
              <w:right w:val="nil"/>
            </w:tcBorders>
            <w:shd w:val="clear" w:color="auto" w:fill="auto"/>
            <w:noWrap/>
            <w:vAlign w:val="center"/>
            <w:hideMark/>
          </w:tcPr>
          <w:p w14:paraId="0148084B"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104,5</w:t>
            </w:r>
          </w:p>
        </w:tc>
        <w:tc>
          <w:tcPr>
            <w:tcW w:w="656" w:type="dxa"/>
            <w:tcBorders>
              <w:top w:val="nil"/>
              <w:left w:val="nil"/>
              <w:bottom w:val="nil"/>
              <w:right w:val="nil"/>
            </w:tcBorders>
            <w:shd w:val="clear" w:color="auto" w:fill="auto"/>
            <w:noWrap/>
            <w:vAlign w:val="center"/>
            <w:hideMark/>
          </w:tcPr>
          <w:p w14:paraId="4372CFA8"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107,7</w:t>
            </w:r>
          </w:p>
        </w:tc>
        <w:tc>
          <w:tcPr>
            <w:tcW w:w="656" w:type="dxa"/>
            <w:tcBorders>
              <w:top w:val="nil"/>
              <w:left w:val="nil"/>
              <w:bottom w:val="nil"/>
              <w:right w:val="nil"/>
            </w:tcBorders>
            <w:shd w:val="clear" w:color="auto" w:fill="auto"/>
            <w:noWrap/>
            <w:vAlign w:val="center"/>
            <w:hideMark/>
          </w:tcPr>
          <w:p w14:paraId="26953288"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110,4</w:t>
            </w:r>
          </w:p>
        </w:tc>
        <w:tc>
          <w:tcPr>
            <w:tcW w:w="656" w:type="dxa"/>
            <w:tcBorders>
              <w:top w:val="nil"/>
              <w:left w:val="nil"/>
              <w:bottom w:val="nil"/>
              <w:right w:val="nil"/>
            </w:tcBorders>
            <w:shd w:val="clear" w:color="auto" w:fill="auto"/>
            <w:noWrap/>
            <w:vAlign w:val="center"/>
            <w:hideMark/>
          </w:tcPr>
          <w:p w14:paraId="44C049D2"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109,3</w:t>
            </w:r>
          </w:p>
        </w:tc>
        <w:tc>
          <w:tcPr>
            <w:tcW w:w="656" w:type="dxa"/>
            <w:tcBorders>
              <w:top w:val="nil"/>
              <w:left w:val="nil"/>
              <w:bottom w:val="nil"/>
              <w:right w:val="nil"/>
            </w:tcBorders>
            <w:shd w:val="clear" w:color="auto" w:fill="auto"/>
            <w:noWrap/>
            <w:vAlign w:val="center"/>
            <w:hideMark/>
          </w:tcPr>
          <w:p w14:paraId="1FDCE2E5"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113,1</w:t>
            </w:r>
          </w:p>
        </w:tc>
        <w:tc>
          <w:tcPr>
            <w:tcW w:w="656" w:type="dxa"/>
            <w:tcBorders>
              <w:top w:val="nil"/>
              <w:left w:val="nil"/>
              <w:bottom w:val="nil"/>
              <w:right w:val="nil"/>
            </w:tcBorders>
            <w:shd w:val="clear" w:color="auto" w:fill="auto"/>
            <w:noWrap/>
            <w:vAlign w:val="center"/>
            <w:hideMark/>
          </w:tcPr>
          <w:p w14:paraId="77F92A5A"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115,1</w:t>
            </w:r>
          </w:p>
        </w:tc>
        <w:tc>
          <w:tcPr>
            <w:tcW w:w="607" w:type="dxa"/>
            <w:tcBorders>
              <w:top w:val="nil"/>
              <w:left w:val="nil"/>
              <w:bottom w:val="nil"/>
              <w:right w:val="nil"/>
            </w:tcBorders>
            <w:shd w:val="clear" w:color="auto" w:fill="auto"/>
            <w:noWrap/>
            <w:vAlign w:val="center"/>
            <w:hideMark/>
          </w:tcPr>
          <w:p w14:paraId="2CDAC39F"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118</w:t>
            </w:r>
          </w:p>
        </w:tc>
        <w:tc>
          <w:tcPr>
            <w:tcW w:w="656" w:type="dxa"/>
            <w:tcBorders>
              <w:top w:val="nil"/>
              <w:left w:val="nil"/>
              <w:bottom w:val="nil"/>
              <w:right w:val="nil"/>
            </w:tcBorders>
            <w:shd w:val="clear" w:color="auto" w:fill="auto"/>
            <w:noWrap/>
            <w:vAlign w:val="center"/>
            <w:hideMark/>
          </w:tcPr>
          <w:p w14:paraId="5F8F673A"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120,9</w:t>
            </w:r>
          </w:p>
        </w:tc>
        <w:tc>
          <w:tcPr>
            <w:tcW w:w="656" w:type="dxa"/>
            <w:tcBorders>
              <w:top w:val="nil"/>
              <w:left w:val="nil"/>
              <w:bottom w:val="nil"/>
              <w:right w:val="nil"/>
            </w:tcBorders>
            <w:shd w:val="clear" w:color="auto" w:fill="auto"/>
            <w:noWrap/>
            <w:vAlign w:val="center"/>
            <w:hideMark/>
          </w:tcPr>
          <w:p w14:paraId="1B780C51"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124,6</w:t>
            </w:r>
          </w:p>
        </w:tc>
        <w:tc>
          <w:tcPr>
            <w:tcW w:w="656" w:type="dxa"/>
            <w:tcBorders>
              <w:top w:val="nil"/>
              <w:left w:val="nil"/>
              <w:bottom w:val="nil"/>
              <w:right w:val="nil"/>
            </w:tcBorders>
            <w:shd w:val="clear" w:color="auto" w:fill="auto"/>
            <w:noWrap/>
            <w:vAlign w:val="center"/>
            <w:hideMark/>
          </w:tcPr>
          <w:p w14:paraId="677D36A5"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128,3</w:t>
            </w:r>
          </w:p>
        </w:tc>
      </w:tr>
      <w:tr w:rsidR="00914BC8" w:rsidRPr="00EC2246" w14:paraId="7705A90D" w14:textId="77777777" w:rsidTr="00667634">
        <w:trPr>
          <w:trHeight w:val="324"/>
        </w:trPr>
        <w:tc>
          <w:tcPr>
            <w:tcW w:w="1368" w:type="dxa"/>
            <w:tcBorders>
              <w:top w:val="nil"/>
              <w:left w:val="nil"/>
              <w:bottom w:val="nil"/>
              <w:right w:val="nil"/>
            </w:tcBorders>
            <w:shd w:val="clear" w:color="auto" w:fill="auto"/>
            <w:noWrap/>
            <w:vAlign w:val="center"/>
            <w:hideMark/>
          </w:tcPr>
          <w:p w14:paraId="0CCFBDC8"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відходи тваринництва</w:t>
            </w:r>
          </w:p>
        </w:tc>
        <w:tc>
          <w:tcPr>
            <w:tcW w:w="657" w:type="dxa"/>
            <w:tcBorders>
              <w:top w:val="nil"/>
              <w:left w:val="nil"/>
              <w:bottom w:val="nil"/>
              <w:right w:val="nil"/>
            </w:tcBorders>
            <w:shd w:val="clear" w:color="auto" w:fill="auto"/>
            <w:noWrap/>
            <w:vAlign w:val="center"/>
            <w:hideMark/>
          </w:tcPr>
          <w:p w14:paraId="18B05C41"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42,2</w:t>
            </w:r>
          </w:p>
        </w:tc>
        <w:tc>
          <w:tcPr>
            <w:tcW w:w="656" w:type="dxa"/>
            <w:tcBorders>
              <w:top w:val="nil"/>
              <w:left w:val="nil"/>
              <w:bottom w:val="nil"/>
              <w:right w:val="nil"/>
            </w:tcBorders>
            <w:shd w:val="clear" w:color="auto" w:fill="auto"/>
            <w:noWrap/>
            <w:vAlign w:val="center"/>
            <w:hideMark/>
          </w:tcPr>
          <w:p w14:paraId="40CFDEBD"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40,1</w:t>
            </w:r>
          </w:p>
        </w:tc>
        <w:tc>
          <w:tcPr>
            <w:tcW w:w="656" w:type="dxa"/>
            <w:tcBorders>
              <w:top w:val="nil"/>
              <w:left w:val="nil"/>
              <w:bottom w:val="nil"/>
              <w:right w:val="nil"/>
            </w:tcBorders>
            <w:shd w:val="clear" w:color="auto" w:fill="auto"/>
            <w:noWrap/>
            <w:vAlign w:val="center"/>
            <w:hideMark/>
          </w:tcPr>
          <w:p w14:paraId="01A0CA30"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41,1</w:t>
            </w:r>
          </w:p>
        </w:tc>
        <w:tc>
          <w:tcPr>
            <w:tcW w:w="656" w:type="dxa"/>
            <w:tcBorders>
              <w:top w:val="nil"/>
              <w:left w:val="nil"/>
              <w:bottom w:val="nil"/>
              <w:right w:val="nil"/>
            </w:tcBorders>
            <w:shd w:val="clear" w:color="auto" w:fill="auto"/>
            <w:noWrap/>
            <w:vAlign w:val="center"/>
            <w:hideMark/>
          </w:tcPr>
          <w:p w14:paraId="10793888"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41,6</w:t>
            </w:r>
          </w:p>
        </w:tc>
        <w:tc>
          <w:tcPr>
            <w:tcW w:w="656" w:type="dxa"/>
            <w:tcBorders>
              <w:top w:val="nil"/>
              <w:left w:val="nil"/>
              <w:bottom w:val="nil"/>
              <w:right w:val="nil"/>
            </w:tcBorders>
            <w:shd w:val="clear" w:color="auto" w:fill="auto"/>
            <w:noWrap/>
            <w:vAlign w:val="center"/>
            <w:hideMark/>
          </w:tcPr>
          <w:p w14:paraId="157A6984"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42,8</w:t>
            </w:r>
          </w:p>
        </w:tc>
        <w:tc>
          <w:tcPr>
            <w:tcW w:w="656" w:type="dxa"/>
            <w:tcBorders>
              <w:top w:val="nil"/>
              <w:left w:val="nil"/>
              <w:bottom w:val="nil"/>
              <w:right w:val="nil"/>
            </w:tcBorders>
            <w:shd w:val="clear" w:color="auto" w:fill="auto"/>
            <w:noWrap/>
            <w:vAlign w:val="center"/>
            <w:hideMark/>
          </w:tcPr>
          <w:p w14:paraId="142E9D19"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43,9</w:t>
            </w:r>
          </w:p>
        </w:tc>
        <w:tc>
          <w:tcPr>
            <w:tcW w:w="656" w:type="dxa"/>
            <w:tcBorders>
              <w:top w:val="nil"/>
              <w:left w:val="nil"/>
              <w:bottom w:val="nil"/>
              <w:right w:val="nil"/>
            </w:tcBorders>
            <w:shd w:val="clear" w:color="auto" w:fill="auto"/>
            <w:noWrap/>
            <w:vAlign w:val="center"/>
            <w:hideMark/>
          </w:tcPr>
          <w:p w14:paraId="5B4D8363"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43,5</w:t>
            </w:r>
          </w:p>
        </w:tc>
        <w:tc>
          <w:tcPr>
            <w:tcW w:w="656" w:type="dxa"/>
            <w:tcBorders>
              <w:top w:val="nil"/>
              <w:left w:val="nil"/>
              <w:bottom w:val="nil"/>
              <w:right w:val="nil"/>
            </w:tcBorders>
            <w:shd w:val="clear" w:color="auto" w:fill="auto"/>
            <w:noWrap/>
            <w:vAlign w:val="center"/>
            <w:hideMark/>
          </w:tcPr>
          <w:p w14:paraId="47B6511B"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45</w:t>
            </w:r>
          </w:p>
        </w:tc>
        <w:tc>
          <w:tcPr>
            <w:tcW w:w="656" w:type="dxa"/>
            <w:tcBorders>
              <w:top w:val="nil"/>
              <w:left w:val="nil"/>
              <w:bottom w:val="nil"/>
              <w:right w:val="nil"/>
            </w:tcBorders>
            <w:shd w:val="clear" w:color="auto" w:fill="auto"/>
            <w:noWrap/>
            <w:vAlign w:val="center"/>
            <w:hideMark/>
          </w:tcPr>
          <w:p w14:paraId="38525CC4"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45,8</w:t>
            </w:r>
          </w:p>
        </w:tc>
        <w:tc>
          <w:tcPr>
            <w:tcW w:w="607" w:type="dxa"/>
            <w:tcBorders>
              <w:top w:val="nil"/>
              <w:left w:val="nil"/>
              <w:bottom w:val="nil"/>
              <w:right w:val="nil"/>
            </w:tcBorders>
            <w:shd w:val="clear" w:color="auto" w:fill="auto"/>
            <w:noWrap/>
            <w:vAlign w:val="center"/>
            <w:hideMark/>
          </w:tcPr>
          <w:p w14:paraId="4ABD8A84"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46,9</w:t>
            </w:r>
          </w:p>
        </w:tc>
        <w:tc>
          <w:tcPr>
            <w:tcW w:w="656" w:type="dxa"/>
            <w:tcBorders>
              <w:top w:val="nil"/>
              <w:left w:val="nil"/>
              <w:bottom w:val="nil"/>
              <w:right w:val="nil"/>
            </w:tcBorders>
            <w:shd w:val="clear" w:color="auto" w:fill="auto"/>
            <w:noWrap/>
            <w:vAlign w:val="center"/>
            <w:hideMark/>
          </w:tcPr>
          <w:p w14:paraId="6477D673"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48,1</w:t>
            </w:r>
          </w:p>
        </w:tc>
        <w:tc>
          <w:tcPr>
            <w:tcW w:w="656" w:type="dxa"/>
            <w:tcBorders>
              <w:top w:val="nil"/>
              <w:left w:val="nil"/>
              <w:bottom w:val="nil"/>
              <w:right w:val="nil"/>
            </w:tcBorders>
            <w:shd w:val="clear" w:color="auto" w:fill="auto"/>
            <w:noWrap/>
            <w:vAlign w:val="center"/>
            <w:hideMark/>
          </w:tcPr>
          <w:p w14:paraId="646AD437"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49,5</w:t>
            </w:r>
          </w:p>
        </w:tc>
        <w:tc>
          <w:tcPr>
            <w:tcW w:w="656" w:type="dxa"/>
            <w:tcBorders>
              <w:top w:val="nil"/>
              <w:left w:val="nil"/>
              <w:bottom w:val="nil"/>
              <w:right w:val="nil"/>
            </w:tcBorders>
            <w:shd w:val="clear" w:color="auto" w:fill="auto"/>
            <w:noWrap/>
            <w:vAlign w:val="center"/>
            <w:hideMark/>
          </w:tcPr>
          <w:p w14:paraId="715C2508" w14:textId="77777777" w:rsidR="00914BC8" w:rsidRPr="00EC2246" w:rsidRDefault="00914BC8" w:rsidP="00EC2246">
            <w:pPr>
              <w:tabs>
                <w:tab w:val="clear" w:pos="284"/>
                <w:tab w:val="clear" w:pos="1985"/>
              </w:tabs>
              <w:spacing w:before="0" w:after="0" w:line="240" w:lineRule="auto"/>
              <w:jc w:val="center"/>
              <w:rPr>
                <w:rFonts w:eastAsia="Times New Roman" w:cs="Times New Roman"/>
                <w:color w:val="000000"/>
                <w:sz w:val="20"/>
                <w:lang w:eastAsia="uk-UA"/>
              </w:rPr>
            </w:pPr>
            <w:r w:rsidRPr="00EC2246">
              <w:rPr>
                <w:rFonts w:eastAsia="Times New Roman" w:cs="Times New Roman"/>
                <w:color w:val="000000"/>
                <w:sz w:val="20"/>
                <w:lang w:eastAsia="uk-UA"/>
              </w:rPr>
              <w:t>51</w:t>
            </w:r>
          </w:p>
        </w:tc>
      </w:tr>
    </w:tbl>
    <w:p w14:paraId="0896BA45" w14:textId="45B6867D" w:rsidR="00626C9E" w:rsidRPr="00C22C49" w:rsidRDefault="00626C9E" w:rsidP="007513A3"/>
    <w:p w14:paraId="0896BA47" w14:textId="77777777" w:rsidR="007513A3" w:rsidRPr="00C22C49" w:rsidRDefault="007513A3" w:rsidP="007513A3">
      <w:r w:rsidRPr="00C22C49">
        <w:t>Структура відходів рослинництва має в основному експортний напрям, що дає змогу говорити про її збереження в  перспективі з домінуванням відходів  кукурудзи - 42,1%, соняшнику – 23,9%,  пшениці – 22,2%, ячменю – 5,6%, ріпаку – 5,1%, інших зернових – 1,3%, а також збереженням потенціалу областей степової та лісостепової зон України (Полтавська – 10,273 млн т, Вінницька – 9,796 млн т, Кіровоградська – 8,839 млн т).</w:t>
      </w:r>
    </w:p>
    <w:p w14:paraId="0896BA48" w14:textId="77777777" w:rsidR="007513A3" w:rsidRPr="00C22C49" w:rsidRDefault="007513A3" w:rsidP="007513A3">
      <w:r w:rsidRPr="00C22C49">
        <w:t xml:space="preserve">Відходи тваринництва в планованому періоді надалі за обсягом поступатимуться рослинним, їх розрахунковий обсяг становив в 2022 р.  49,646 млн. т,  з яких відходи ВРХ - 62,3%, свинарства – 34,6%, птахівництва – 3,1%. Дана група відходів і в перспективі не буде мати такої великої розбіжності за обсягами між областями, як це має місце щодо відходів рослинництва, однак кількість ВРХ, свиней та птиці за 2022 р. суттєво зменшилась та продовжує падіння в 2023 р.  </w:t>
      </w:r>
    </w:p>
    <w:p w14:paraId="0896BA49" w14:textId="77777777" w:rsidR="00626C9E" w:rsidRPr="00C22C49" w:rsidRDefault="007513A3" w:rsidP="00626C9E">
      <w:r w:rsidRPr="00C22C49">
        <w:t xml:space="preserve">Таким чином сумарний розрахунковий обсяг відходів сільського господарства (без агрохімічних відходів і відходів з тканин тварин) </w:t>
      </w:r>
      <w:r w:rsidR="006E15BD" w:rsidRPr="00C22C49">
        <w:t>у 2035</w:t>
      </w:r>
      <w:r w:rsidR="0005559A" w:rsidRPr="00C22C49">
        <w:t xml:space="preserve"> </w:t>
      </w:r>
      <w:r w:rsidR="006E15BD" w:rsidRPr="00C22C49">
        <w:t xml:space="preserve">році </w:t>
      </w:r>
      <w:r w:rsidRPr="00C22C49">
        <w:t>оцінено 17</w:t>
      </w:r>
      <w:r w:rsidR="0005559A" w:rsidRPr="00C22C49">
        <w:t>9</w:t>
      </w:r>
      <w:r w:rsidRPr="00C22C49">
        <w:t>,</w:t>
      </w:r>
      <w:r w:rsidR="0005559A" w:rsidRPr="00C22C49">
        <w:t>3</w:t>
      </w:r>
      <w:r w:rsidRPr="00C22C49">
        <w:t xml:space="preserve"> млн. т на рік.</w:t>
      </w:r>
      <w:r w:rsidR="00626C9E" w:rsidRPr="00C22C49">
        <w:t xml:space="preserve"> Без відповідної обробки 70% цих відходів можуть використовуватися як малоцінне органічне добриво, а інша частина переходячи в поверхневі і підземні води, забруднює їх, роблячи не придатними для питного водопостачання. Оптимальним варіантом є використання відходів сільського господарства для заміщення викопного палива та виробництва альтернативної «зеленої» енергії.</w:t>
      </w:r>
    </w:p>
    <w:p w14:paraId="0896BA4A" w14:textId="77777777" w:rsidR="009E1FC8" w:rsidRPr="00C22C49" w:rsidRDefault="00626C9E" w:rsidP="00626C9E">
      <w:r w:rsidRPr="00C22C49">
        <w:t>За оцінками фахівців, відходів органічної сировини, які утворюються в українському агросекторі, достатньо для роботи 1,5 тис біогазових електроустановок загальною потужністю понад 100 МВт, а біогазовий резерв складає 15 млрд м3 /рік (20 % річного споживання природного газу).</w:t>
      </w:r>
    </w:p>
    <w:p w14:paraId="0896BA4B" w14:textId="77777777" w:rsidR="009E1FC8" w:rsidRPr="00C22C49" w:rsidRDefault="0058773D" w:rsidP="0000138B">
      <w:pPr>
        <w:pStyle w:val="Heading4boldRED"/>
        <w:rPr>
          <w:rStyle w:val="affe"/>
          <w:iCs w:val="0"/>
          <w:sz w:val="26"/>
          <w:lang w:val="uk-UA"/>
        </w:rPr>
      </w:pPr>
      <w:r w:rsidRPr="00C22C49">
        <w:rPr>
          <w:rStyle w:val="affe"/>
          <w:iCs w:val="0"/>
          <w:sz w:val="26"/>
          <w:lang w:val="uk-UA"/>
        </w:rPr>
        <w:t>Медичні відходи</w:t>
      </w:r>
    </w:p>
    <w:p w14:paraId="0896BA4C" w14:textId="77777777" w:rsidR="009E1FC8" w:rsidRPr="00C22C49" w:rsidRDefault="00461F3B" w:rsidP="009E1FC8">
      <w:r w:rsidRPr="00C22C49">
        <w:t xml:space="preserve">У випадку з медичними відходами важко достеменно спрогнозувати утворення відходів цієї групи. У цьому випадку, незалежно від прогнозів щодо темпів природного приросту, слід припустити утворення </w:t>
      </w:r>
      <w:r w:rsidR="00444D56" w:rsidRPr="00C22C49">
        <w:t>поступовий ріст</w:t>
      </w:r>
      <w:r w:rsidRPr="00C22C49">
        <w:t xml:space="preserve"> маси відходів у наступні роки, </w:t>
      </w:r>
      <w:r w:rsidR="00B04790" w:rsidRPr="00C22C49">
        <w:t xml:space="preserve">до </w:t>
      </w:r>
      <w:r w:rsidRPr="00C22C49">
        <w:t>140 тис. тонн</w:t>
      </w:r>
      <w:r w:rsidR="00B04790" w:rsidRPr="00C22C49">
        <w:t xml:space="preserve"> у 2035році</w:t>
      </w:r>
      <w:r w:rsidRPr="00C22C49">
        <w:t xml:space="preserve">, з них інфекційних відходів </w:t>
      </w:r>
      <w:r w:rsidR="00170025" w:rsidRPr="00C22C49">
        <w:t xml:space="preserve">до </w:t>
      </w:r>
      <w:r w:rsidRPr="00C22C49">
        <w:t xml:space="preserve">35 тис.тон. </w:t>
      </w:r>
    </w:p>
    <w:p w14:paraId="0896BA4D" w14:textId="4EACA465" w:rsidR="00F35751" w:rsidRPr="00C22C49" w:rsidRDefault="00C60854" w:rsidP="00C60854">
      <w:pPr>
        <w:pStyle w:val="ad"/>
        <w:rPr>
          <w:lang w:val="uk-UA"/>
        </w:rPr>
      </w:pPr>
      <w:bookmarkStart w:id="25" w:name="_Toc142262257"/>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10</w:t>
      </w:r>
      <w:r w:rsidR="005E0A06" w:rsidRPr="00C22C49">
        <w:rPr>
          <w:lang w:val="uk-UA"/>
        </w:rPr>
        <w:fldChar w:fldCharType="end"/>
      </w:r>
      <w:r w:rsidRPr="00C22C49">
        <w:rPr>
          <w:lang w:val="uk-UA"/>
        </w:rPr>
        <w:t xml:space="preserve">. </w:t>
      </w:r>
      <w:r w:rsidR="00F35751" w:rsidRPr="00C22C49">
        <w:rPr>
          <w:szCs w:val="28"/>
          <w:lang w:val="uk-UA"/>
        </w:rPr>
        <w:t>Прогноз утворення відходів  від медичної допомоги та біологічних (тис. т/рік)</w:t>
      </w:r>
      <w:bookmarkEnd w:id="25"/>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1"/>
        <w:gridCol w:w="621"/>
        <w:gridCol w:w="621"/>
        <w:gridCol w:w="621"/>
        <w:gridCol w:w="621"/>
        <w:gridCol w:w="621"/>
        <w:gridCol w:w="621"/>
        <w:gridCol w:w="621"/>
        <w:gridCol w:w="621"/>
        <w:gridCol w:w="621"/>
        <w:gridCol w:w="621"/>
        <w:gridCol w:w="621"/>
        <w:gridCol w:w="622"/>
      </w:tblGrid>
      <w:tr w:rsidR="00F35751" w:rsidRPr="00C22C49" w14:paraId="0896BA5C" w14:textId="77777777" w:rsidTr="00602211">
        <w:trPr>
          <w:trHeight w:val="288"/>
          <w:jc w:val="center"/>
        </w:trPr>
        <w:tc>
          <w:tcPr>
            <w:tcW w:w="1526" w:type="dxa"/>
            <w:shd w:val="clear" w:color="000000" w:fill="FFFFFF"/>
            <w:noWrap/>
            <w:vAlign w:val="center"/>
            <w:hideMark/>
          </w:tcPr>
          <w:p w14:paraId="0896BA4E" w14:textId="77777777" w:rsidR="00F35751" w:rsidRPr="00C22C49" w:rsidRDefault="00F35751" w:rsidP="00F35751">
            <w:pPr>
              <w:pStyle w:val="Table"/>
              <w:rPr>
                <w:sz w:val="18"/>
                <w:szCs w:val="18"/>
                <w:lang w:val="uk-UA"/>
              </w:rPr>
            </w:pPr>
            <w:r w:rsidRPr="00C22C49">
              <w:rPr>
                <w:sz w:val="18"/>
                <w:szCs w:val="18"/>
                <w:lang w:val="uk-UA"/>
              </w:rPr>
              <w:t> </w:t>
            </w:r>
          </w:p>
        </w:tc>
        <w:tc>
          <w:tcPr>
            <w:tcW w:w="621" w:type="dxa"/>
            <w:shd w:val="clear" w:color="000000" w:fill="FFFFFF"/>
            <w:vAlign w:val="center"/>
            <w:hideMark/>
          </w:tcPr>
          <w:p w14:paraId="0896BA4F" w14:textId="77777777" w:rsidR="00F35751" w:rsidRPr="00C22C49" w:rsidRDefault="00F35751" w:rsidP="00F35751">
            <w:pPr>
              <w:pStyle w:val="Table"/>
              <w:rPr>
                <w:b/>
                <w:bCs/>
                <w:sz w:val="18"/>
                <w:szCs w:val="18"/>
                <w:lang w:val="uk-UA"/>
              </w:rPr>
            </w:pPr>
            <w:r w:rsidRPr="00C22C49">
              <w:rPr>
                <w:b/>
                <w:bCs/>
                <w:sz w:val="18"/>
                <w:szCs w:val="18"/>
                <w:lang w:val="uk-UA"/>
              </w:rPr>
              <w:t>2023</w:t>
            </w:r>
          </w:p>
        </w:tc>
        <w:tc>
          <w:tcPr>
            <w:tcW w:w="621" w:type="dxa"/>
            <w:shd w:val="clear" w:color="000000" w:fill="FFFFFF"/>
            <w:vAlign w:val="center"/>
            <w:hideMark/>
          </w:tcPr>
          <w:p w14:paraId="0896BA50" w14:textId="77777777" w:rsidR="00F35751" w:rsidRPr="00C22C49" w:rsidRDefault="00F35751" w:rsidP="00F35751">
            <w:pPr>
              <w:pStyle w:val="Table"/>
              <w:rPr>
                <w:b/>
                <w:bCs/>
                <w:sz w:val="18"/>
                <w:szCs w:val="18"/>
                <w:lang w:val="uk-UA"/>
              </w:rPr>
            </w:pPr>
            <w:r w:rsidRPr="00C22C49">
              <w:rPr>
                <w:b/>
                <w:bCs/>
                <w:sz w:val="18"/>
                <w:szCs w:val="18"/>
                <w:lang w:val="uk-UA"/>
              </w:rPr>
              <w:t>2024</w:t>
            </w:r>
          </w:p>
        </w:tc>
        <w:tc>
          <w:tcPr>
            <w:tcW w:w="621" w:type="dxa"/>
            <w:shd w:val="clear" w:color="000000" w:fill="FFFFFF"/>
            <w:vAlign w:val="center"/>
            <w:hideMark/>
          </w:tcPr>
          <w:p w14:paraId="0896BA51" w14:textId="77777777" w:rsidR="00F35751" w:rsidRPr="00C22C49" w:rsidRDefault="00F35751" w:rsidP="00F35751">
            <w:pPr>
              <w:pStyle w:val="Table"/>
              <w:rPr>
                <w:b/>
                <w:bCs/>
                <w:sz w:val="18"/>
                <w:szCs w:val="18"/>
                <w:lang w:val="uk-UA"/>
              </w:rPr>
            </w:pPr>
            <w:r w:rsidRPr="00C22C49">
              <w:rPr>
                <w:b/>
                <w:bCs/>
                <w:sz w:val="18"/>
                <w:szCs w:val="18"/>
                <w:lang w:val="uk-UA"/>
              </w:rPr>
              <w:t>2025</w:t>
            </w:r>
          </w:p>
        </w:tc>
        <w:tc>
          <w:tcPr>
            <w:tcW w:w="621" w:type="dxa"/>
            <w:shd w:val="clear" w:color="000000" w:fill="FFFFFF"/>
            <w:vAlign w:val="center"/>
            <w:hideMark/>
          </w:tcPr>
          <w:p w14:paraId="0896BA52" w14:textId="77777777" w:rsidR="00F35751" w:rsidRPr="00C22C49" w:rsidRDefault="00F35751" w:rsidP="00F35751">
            <w:pPr>
              <w:pStyle w:val="Table"/>
              <w:rPr>
                <w:b/>
                <w:bCs/>
                <w:sz w:val="18"/>
                <w:szCs w:val="18"/>
                <w:lang w:val="uk-UA"/>
              </w:rPr>
            </w:pPr>
            <w:r w:rsidRPr="00C22C49">
              <w:rPr>
                <w:b/>
                <w:bCs/>
                <w:sz w:val="18"/>
                <w:szCs w:val="18"/>
                <w:lang w:val="uk-UA"/>
              </w:rPr>
              <w:t>2026</w:t>
            </w:r>
          </w:p>
        </w:tc>
        <w:tc>
          <w:tcPr>
            <w:tcW w:w="621" w:type="dxa"/>
            <w:shd w:val="clear" w:color="000000" w:fill="FFFFFF"/>
            <w:vAlign w:val="center"/>
            <w:hideMark/>
          </w:tcPr>
          <w:p w14:paraId="0896BA53" w14:textId="77777777" w:rsidR="00F35751" w:rsidRPr="00C22C49" w:rsidRDefault="00F35751" w:rsidP="00F35751">
            <w:pPr>
              <w:pStyle w:val="Table"/>
              <w:rPr>
                <w:b/>
                <w:bCs/>
                <w:sz w:val="18"/>
                <w:szCs w:val="18"/>
                <w:lang w:val="uk-UA"/>
              </w:rPr>
            </w:pPr>
            <w:r w:rsidRPr="00C22C49">
              <w:rPr>
                <w:b/>
                <w:bCs/>
                <w:sz w:val="18"/>
                <w:szCs w:val="18"/>
                <w:lang w:val="uk-UA"/>
              </w:rPr>
              <w:t>2027</w:t>
            </w:r>
          </w:p>
        </w:tc>
        <w:tc>
          <w:tcPr>
            <w:tcW w:w="621" w:type="dxa"/>
            <w:shd w:val="clear" w:color="000000" w:fill="FFFFFF"/>
            <w:vAlign w:val="center"/>
            <w:hideMark/>
          </w:tcPr>
          <w:p w14:paraId="0896BA54" w14:textId="77777777" w:rsidR="00F35751" w:rsidRPr="00C22C49" w:rsidRDefault="00F35751" w:rsidP="00F35751">
            <w:pPr>
              <w:pStyle w:val="Table"/>
              <w:rPr>
                <w:b/>
                <w:bCs/>
                <w:sz w:val="18"/>
                <w:szCs w:val="18"/>
                <w:lang w:val="uk-UA"/>
              </w:rPr>
            </w:pPr>
            <w:r w:rsidRPr="00C22C49">
              <w:rPr>
                <w:b/>
                <w:bCs/>
                <w:sz w:val="18"/>
                <w:szCs w:val="18"/>
                <w:lang w:val="uk-UA"/>
              </w:rPr>
              <w:t>2028</w:t>
            </w:r>
          </w:p>
        </w:tc>
        <w:tc>
          <w:tcPr>
            <w:tcW w:w="621" w:type="dxa"/>
            <w:shd w:val="clear" w:color="000000" w:fill="FFFFFF"/>
            <w:vAlign w:val="center"/>
            <w:hideMark/>
          </w:tcPr>
          <w:p w14:paraId="0896BA55" w14:textId="77777777" w:rsidR="00F35751" w:rsidRPr="00C22C49" w:rsidRDefault="00F35751" w:rsidP="00F35751">
            <w:pPr>
              <w:pStyle w:val="Table"/>
              <w:rPr>
                <w:b/>
                <w:bCs/>
                <w:sz w:val="18"/>
                <w:szCs w:val="18"/>
                <w:lang w:val="uk-UA"/>
              </w:rPr>
            </w:pPr>
            <w:r w:rsidRPr="00C22C49">
              <w:rPr>
                <w:b/>
                <w:bCs/>
                <w:sz w:val="18"/>
                <w:szCs w:val="18"/>
                <w:lang w:val="uk-UA"/>
              </w:rPr>
              <w:t>2029</w:t>
            </w:r>
          </w:p>
        </w:tc>
        <w:tc>
          <w:tcPr>
            <w:tcW w:w="621" w:type="dxa"/>
            <w:shd w:val="clear" w:color="000000" w:fill="FFFFFF"/>
            <w:vAlign w:val="center"/>
            <w:hideMark/>
          </w:tcPr>
          <w:p w14:paraId="0896BA56" w14:textId="77777777" w:rsidR="00F35751" w:rsidRPr="00C22C49" w:rsidRDefault="00F35751" w:rsidP="00F35751">
            <w:pPr>
              <w:pStyle w:val="Table"/>
              <w:rPr>
                <w:b/>
                <w:bCs/>
                <w:sz w:val="18"/>
                <w:szCs w:val="18"/>
                <w:lang w:val="uk-UA"/>
              </w:rPr>
            </w:pPr>
            <w:r w:rsidRPr="00C22C49">
              <w:rPr>
                <w:b/>
                <w:bCs/>
                <w:sz w:val="18"/>
                <w:szCs w:val="18"/>
                <w:lang w:val="uk-UA"/>
              </w:rPr>
              <w:t>2030</w:t>
            </w:r>
          </w:p>
        </w:tc>
        <w:tc>
          <w:tcPr>
            <w:tcW w:w="621" w:type="dxa"/>
            <w:shd w:val="clear" w:color="000000" w:fill="FFFFFF"/>
            <w:vAlign w:val="center"/>
            <w:hideMark/>
          </w:tcPr>
          <w:p w14:paraId="0896BA57" w14:textId="77777777" w:rsidR="00F35751" w:rsidRPr="00C22C49" w:rsidRDefault="00F35751" w:rsidP="00F35751">
            <w:pPr>
              <w:pStyle w:val="Table"/>
              <w:rPr>
                <w:b/>
                <w:bCs/>
                <w:sz w:val="18"/>
                <w:szCs w:val="18"/>
                <w:lang w:val="uk-UA"/>
              </w:rPr>
            </w:pPr>
            <w:r w:rsidRPr="00C22C49">
              <w:rPr>
                <w:b/>
                <w:bCs/>
                <w:sz w:val="18"/>
                <w:szCs w:val="18"/>
                <w:lang w:val="uk-UA"/>
              </w:rPr>
              <w:t>2031</w:t>
            </w:r>
          </w:p>
        </w:tc>
        <w:tc>
          <w:tcPr>
            <w:tcW w:w="621" w:type="dxa"/>
            <w:shd w:val="clear" w:color="000000" w:fill="FFFFFF"/>
            <w:vAlign w:val="center"/>
            <w:hideMark/>
          </w:tcPr>
          <w:p w14:paraId="0896BA58" w14:textId="77777777" w:rsidR="00F35751" w:rsidRPr="00C22C49" w:rsidRDefault="00F35751" w:rsidP="00F35751">
            <w:pPr>
              <w:pStyle w:val="Table"/>
              <w:rPr>
                <w:b/>
                <w:bCs/>
                <w:sz w:val="18"/>
                <w:szCs w:val="18"/>
                <w:lang w:val="uk-UA"/>
              </w:rPr>
            </w:pPr>
            <w:r w:rsidRPr="00C22C49">
              <w:rPr>
                <w:b/>
                <w:bCs/>
                <w:sz w:val="18"/>
                <w:szCs w:val="18"/>
                <w:lang w:val="uk-UA"/>
              </w:rPr>
              <w:t>2032</w:t>
            </w:r>
          </w:p>
        </w:tc>
        <w:tc>
          <w:tcPr>
            <w:tcW w:w="621" w:type="dxa"/>
            <w:shd w:val="clear" w:color="000000" w:fill="FFFFFF"/>
            <w:vAlign w:val="center"/>
            <w:hideMark/>
          </w:tcPr>
          <w:p w14:paraId="0896BA59" w14:textId="77777777" w:rsidR="00F35751" w:rsidRPr="00C22C49" w:rsidRDefault="00F35751" w:rsidP="00F35751">
            <w:pPr>
              <w:pStyle w:val="Table"/>
              <w:rPr>
                <w:b/>
                <w:bCs/>
                <w:sz w:val="18"/>
                <w:szCs w:val="18"/>
                <w:lang w:val="uk-UA"/>
              </w:rPr>
            </w:pPr>
            <w:r w:rsidRPr="00C22C49">
              <w:rPr>
                <w:b/>
                <w:bCs/>
                <w:sz w:val="18"/>
                <w:szCs w:val="18"/>
                <w:lang w:val="uk-UA"/>
              </w:rPr>
              <w:t>2033</w:t>
            </w:r>
          </w:p>
        </w:tc>
        <w:tc>
          <w:tcPr>
            <w:tcW w:w="621" w:type="dxa"/>
            <w:shd w:val="clear" w:color="000000" w:fill="FFFFFF"/>
            <w:vAlign w:val="center"/>
            <w:hideMark/>
          </w:tcPr>
          <w:p w14:paraId="0896BA5A" w14:textId="77777777" w:rsidR="00F35751" w:rsidRPr="00C22C49" w:rsidRDefault="00F35751" w:rsidP="00F35751">
            <w:pPr>
              <w:pStyle w:val="Table"/>
              <w:rPr>
                <w:b/>
                <w:bCs/>
                <w:sz w:val="18"/>
                <w:szCs w:val="18"/>
                <w:lang w:val="uk-UA"/>
              </w:rPr>
            </w:pPr>
            <w:r w:rsidRPr="00C22C49">
              <w:rPr>
                <w:b/>
                <w:bCs/>
                <w:sz w:val="18"/>
                <w:szCs w:val="18"/>
                <w:lang w:val="uk-UA"/>
              </w:rPr>
              <w:t>2034</w:t>
            </w:r>
          </w:p>
        </w:tc>
        <w:tc>
          <w:tcPr>
            <w:tcW w:w="621" w:type="dxa"/>
            <w:shd w:val="clear" w:color="000000" w:fill="FFFFFF"/>
            <w:vAlign w:val="center"/>
            <w:hideMark/>
          </w:tcPr>
          <w:p w14:paraId="0896BA5B" w14:textId="77777777" w:rsidR="00F35751" w:rsidRPr="00C22C49" w:rsidRDefault="00F35751" w:rsidP="00F35751">
            <w:pPr>
              <w:pStyle w:val="Table"/>
              <w:rPr>
                <w:b/>
                <w:bCs/>
                <w:sz w:val="18"/>
                <w:szCs w:val="18"/>
                <w:lang w:val="uk-UA"/>
              </w:rPr>
            </w:pPr>
            <w:r w:rsidRPr="00C22C49">
              <w:rPr>
                <w:b/>
                <w:bCs/>
                <w:sz w:val="18"/>
                <w:szCs w:val="18"/>
                <w:lang w:val="uk-UA"/>
              </w:rPr>
              <w:t>2035</w:t>
            </w:r>
          </w:p>
        </w:tc>
      </w:tr>
      <w:tr w:rsidR="00F35751" w:rsidRPr="00C22C49" w14:paraId="0896BA6B" w14:textId="77777777" w:rsidTr="00602211">
        <w:trPr>
          <w:trHeight w:val="288"/>
          <w:jc w:val="center"/>
        </w:trPr>
        <w:tc>
          <w:tcPr>
            <w:tcW w:w="1526" w:type="dxa"/>
            <w:shd w:val="clear" w:color="000000" w:fill="FFFFFF"/>
            <w:vAlign w:val="center"/>
            <w:hideMark/>
          </w:tcPr>
          <w:p w14:paraId="0896BA5D" w14:textId="77777777" w:rsidR="00F35751" w:rsidRPr="00C22C49" w:rsidRDefault="00F35751" w:rsidP="00F35751">
            <w:pPr>
              <w:pStyle w:val="Table"/>
              <w:rPr>
                <w:b/>
                <w:bCs/>
                <w:sz w:val="18"/>
                <w:szCs w:val="18"/>
                <w:lang w:val="uk-UA"/>
              </w:rPr>
            </w:pPr>
            <w:r w:rsidRPr="00C22C49">
              <w:rPr>
                <w:b/>
                <w:bCs/>
                <w:sz w:val="18"/>
                <w:szCs w:val="18"/>
                <w:lang w:val="uk-UA"/>
              </w:rPr>
              <w:t>Утворено, тис.т</w:t>
            </w:r>
          </w:p>
        </w:tc>
        <w:tc>
          <w:tcPr>
            <w:tcW w:w="621" w:type="dxa"/>
            <w:shd w:val="clear" w:color="000000" w:fill="FFFFFF"/>
            <w:vAlign w:val="center"/>
            <w:hideMark/>
          </w:tcPr>
          <w:p w14:paraId="0896BA5E" w14:textId="77777777" w:rsidR="00F35751" w:rsidRPr="00C22C49" w:rsidRDefault="00F35751" w:rsidP="00F35751">
            <w:pPr>
              <w:pStyle w:val="Table"/>
              <w:rPr>
                <w:sz w:val="18"/>
                <w:szCs w:val="18"/>
                <w:lang w:val="uk-UA"/>
              </w:rPr>
            </w:pPr>
            <w:r w:rsidRPr="00C22C49">
              <w:rPr>
                <w:sz w:val="18"/>
                <w:szCs w:val="18"/>
                <w:lang w:val="uk-UA"/>
              </w:rPr>
              <w:t>131,2</w:t>
            </w:r>
          </w:p>
        </w:tc>
        <w:tc>
          <w:tcPr>
            <w:tcW w:w="621" w:type="dxa"/>
            <w:shd w:val="clear" w:color="000000" w:fill="FFFFFF"/>
            <w:vAlign w:val="center"/>
            <w:hideMark/>
          </w:tcPr>
          <w:p w14:paraId="0896BA5F" w14:textId="77777777" w:rsidR="00F35751" w:rsidRPr="00C22C49" w:rsidRDefault="00F35751" w:rsidP="00F35751">
            <w:pPr>
              <w:pStyle w:val="Table"/>
              <w:rPr>
                <w:sz w:val="18"/>
                <w:szCs w:val="18"/>
                <w:lang w:val="uk-UA"/>
              </w:rPr>
            </w:pPr>
            <w:r w:rsidRPr="00C22C49">
              <w:rPr>
                <w:sz w:val="18"/>
                <w:szCs w:val="18"/>
                <w:lang w:val="uk-UA"/>
              </w:rPr>
              <w:t>132,6</w:t>
            </w:r>
          </w:p>
        </w:tc>
        <w:tc>
          <w:tcPr>
            <w:tcW w:w="621" w:type="dxa"/>
            <w:shd w:val="clear" w:color="000000" w:fill="FFFFFF"/>
            <w:vAlign w:val="center"/>
            <w:hideMark/>
          </w:tcPr>
          <w:p w14:paraId="0896BA60" w14:textId="77777777" w:rsidR="00F35751" w:rsidRPr="00C22C49" w:rsidRDefault="00F35751" w:rsidP="00F35751">
            <w:pPr>
              <w:pStyle w:val="Table"/>
              <w:rPr>
                <w:sz w:val="18"/>
                <w:szCs w:val="18"/>
                <w:lang w:val="uk-UA"/>
              </w:rPr>
            </w:pPr>
            <w:r w:rsidRPr="00C22C49">
              <w:rPr>
                <w:sz w:val="18"/>
                <w:szCs w:val="18"/>
                <w:lang w:val="uk-UA"/>
              </w:rPr>
              <w:t>133,6</w:t>
            </w:r>
          </w:p>
        </w:tc>
        <w:tc>
          <w:tcPr>
            <w:tcW w:w="621" w:type="dxa"/>
            <w:shd w:val="clear" w:color="000000" w:fill="FFFFFF"/>
            <w:vAlign w:val="center"/>
            <w:hideMark/>
          </w:tcPr>
          <w:p w14:paraId="0896BA61" w14:textId="77777777" w:rsidR="00F35751" w:rsidRPr="00C22C49" w:rsidRDefault="00F35751" w:rsidP="00F35751">
            <w:pPr>
              <w:pStyle w:val="Table"/>
              <w:rPr>
                <w:sz w:val="18"/>
                <w:szCs w:val="18"/>
                <w:lang w:val="uk-UA"/>
              </w:rPr>
            </w:pPr>
            <w:r w:rsidRPr="00C22C49">
              <w:rPr>
                <w:sz w:val="18"/>
                <w:szCs w:val="18"/>
                <w:lang w:val="uk-UA"/>
              </w:rPr>
              <w:t>134,7</w:t>
            </w:r>
          </w:p>
        </w:tc>
        <w:tc>
          <w:tcPr>
            <w:tcW w:w="621" w:type="dxa"/>
            <w:shd w:val="clear" w:color="000000" w:fill="FFFFFF"/>
            <w:vAlign w:val="center"/>
            <w:hideMark/>
          </w:tcPr>
          <w:p w14:paraId="0896BA62" w14:textId="77777777" w:rsidR="00F35751" w:rsidRPr="00C22C49" w:rsidRDefault="00F35751" w:rsidP="00F35751">
            <w:pPr>
              <w:pStyle w:val="Table"/>
              <w:rPr>
                <w:sz w:val="18"/>
                <w:szCs w:val="18"/>
                <w:lang w:val="uk-UA"/>
              </w:rPr>
            </w:pPr>
            <w:r w:rsidRPr="00C22C49">
              <w:rPr>
                <w:sz w:val="18"/>
                <w:szCs w:val="18"/>
                <w:lang w:val="uk-UA"/>
              </w:rPr>
              <w:t>136,1</w:t>
            </w:r>
          </w:p>
        </w:tc>
        <w:tc>
          <w:tcPr>
            <w:tcW w:w="621" w:type="dxa"/>
            <w:shd w:val="clear" w:color="000000" w:fill="FFFFFF"/>
            <w:vAlign w:val="center"/>
            <w:hideMark/>
          </w:tcPr>
          <w:p w14:paraId="0896BA63" w14:textId="77777777" w:rsidR="00F35751" w:rsidRPr="00C22C49" w:rsidRDefault="00F35751" w:rsidP="00F35751">
            <w:pPr>
              <w:pStyle w:val="Table"/>
              <w:rPr>
                <w:sz w:val="18"/>
                <w:szCs w:val="18"/>
                <w:lang w:val="uk-UA"/>
              </w:rPr>
            </w:pPr>
            <w:r w:rsidRPr="00C22C49">
              <w:rPr>
                <w:sz w:val="18"/>
                <w:szCs w:val="18"/>
                <w:lang w:val="uk-UA"/>
              </w:rPr>
              <w:t>136,7</w:t>
            </w:r>
          </w:p>
        </w:tc>
        <w:tc>
          <w:tcPr>
            <w:tcW w:w="621" w:type="dxa"/>
            <w:shd w:val="clear" w:color="000000" w:fill="FFFFFF"/>
            <w:vAlign w:val="center"/>
            <w:hideMark/>
          </w:tcPr>
          <w:p w14:paraId="0896BA64" w14:textId="77777777" w:rsidR="00F35751" w:rsidRPr="00C22C49" w:rsidRDefault="00F35751" w:rsidP="00F35751">
            <w:pPr>
              <w:pStyle w:val="Table"/>
              <w:rPr>
                <w:sz w:val="18"/>
                <w:szCs w:val="18"/>
                <w:lang w:val="uk-UA"/>
              </w:rPr>
            </w:pPr>
            <w:r w:rsidRPr="00C22C49">
              <w:rPr>
                <w:sz w:val="18"/>
                <w:szCs w:val="18"/>
                <w:lang w:val="uk-UA"/>
              </w:rPr>
              <w:t>137,8</w:t>
            </w:r>
          </w:p>
        </w:tc>
        <w:tc>
          <w:tcPr>
            <w:tcW w:w="621" w:type="dxa"/>
            <w:shd w:val="clear" w:color="000000" w:fill="FFFFFF"/>
            <w:vAlign w:val="center"/>
            <w:hideMark/>
          </w:tcPr>
          <w:p w14:paraId="0896BA65" w14:textId="77777777" w:rsidR="00F35751" w:rsidRPr="00C22C49" w:rsidRDefault="00F35751" w:rsidP="00F35751">
            <w:pPr>
              <w:pStyle w:val="Table"/>
              <w:rPr>
                <w:sz w:val="18"/>
                <w:szCs w:val="18"/>
                <w:lang w:val="uk-UA"/>
              </w:rPr>
            </w:pPr>
            <w:r w:rsidRPr="00C22C49">
              <w:rPr>
                <w:sz w:val="18"/>
                <w:szCs w:val="18"/>
                <w:lang w:val="uk-UA"/>
              </w:rPr>
              <w:t>138,5</w:t>
            </w:r>
          </w:p>
        </w:tc>
        <w:tc>
          <w:tcPr>
            <w:tcW w:w="621" w:type="dxa"/>
            <w:shd w:val="clear" w:color="000000" w:fill="FFFFFF"/>
            <w:vAlign w:val="center"/>
            <w:hideMark/>
          </w:tcPr>
          <w:p w14:paraId="0896BA66" w14:textId="77777777" w:rsidR="00F35751" w:rsidRPr="00C22C49" w:rsidRDefault="00F35751" w:rsidP="00F35751">
            <w:pPr>
              <w:pStyle w:val="Table"/>
              <w:rPr>
                <w:sz w:val="18"/>
                <w:szCs w:val="18"/>
                <w:lang w:val="uk-UA"/>
              </w:rPr>
            </w:pPr>
            <w:r w:rsidRPr="00C22C49">
              <w:rPr>
                <w:sz w:val="18"/>
                <w:szCs w:val="18"/>
                <w:lang w:val="uk-UA"/>
              </w:rPr>
              <w:t>139,4</w:t>
            </w:r>
          </w:p>
        </w:tc>
        <w:tc>
          <w:tcPr>
            <w:tcW w:w="621" w:type="dxa"/>
            <w:shd w:val="clear" w:color="000000" w:fill="FFFFFF"/>
            <w:vAlign w:val="center"/>
            <w:hideMark/>
          </w:tcPr>
          <w:p w14:paraId="0896BA67" w14:textId="77777777" w:rsidR="00F35751" w:rsidRPr="00C22C49" w:rsidRDefault="00F35751" w:rsidP="00F35751">
            <w:pPr>
              <w:pStyle w:val="Table"/>
              <w:rPr>
                <w:sz w:val="18"/>
                <w:szCs w:val="18"/>
                <w:lang w:val="uk-UA"/>
              </w:rPr>
            </w:pPr>
            <w:r w:rsidRPr="00C22C49">
              <w:rPr>
                <w:sz w:val="18"/>
                <w:szCs w:val="18"/>
                <w:lang w:val="uk-UA"/>
              </w:rPr>
              <w:t>140,1</w:t>
            </w:r>
          </w:p>
        </w:tc>
        <w:tc>
          <w:tcPr>
            <w:tcW w:w="621" w:type="dxa"/>
            <w:shd w:val="clear" w:color="000000" w:fill="FFFFFF"/>
            <w:vAlign w:val="center"/>
            <w:hideMark/>
          </w:tcPr>
          <w:p w14:paraId="0896BA68" w14:textId="77777777" w:rsidR="00F35751" w:rsidRPr="00C22C49" w:rsidRDefault="00F35751" w:rsidP="00F35751">
            <w:pPr>
              <w:pStyle w:val="Table"/>
              <w:rPr>
                <w:sz w:val="18"/>
                <w:szCs w:val="18"/>
                <w:lang w:val="uk-UA"/>
              </w:rPr>
            </w:pPr>
            <w:r w:rsidRPr="00C22C49">
              <w:rPr>
                <w:sz w:val="18"/>
                <w:szCs w:val="18"/>
                <w:lang w:val="uk-UA"/>
              </w:rPr>
              <w:t>140,5</w:t>
            </w:r>
          </w:p>
        </w:tc>
        <w:tc>
          <w:tcPr>
            <w:tcW w:w="621" w:type="dxa"/>
            <w:shd w:val="clear" w:color="000000" w:fill="FFFFFF"/>
            <w:vAlign w:val="center"/>
            <w:hideMark/>
          </w:tcPr>
          <w:p w14:paraId="0896BA69" w14:textId="77777777" w:rsidR="00F35751" w:rsidRPr="00C22C49" w:rsidRDefault="00F35751" w:rsidP="00F35751">
            <w:pPr>
              <w:pStyle w:val="Table"/>
              <w:rPr>
                <w:sz w:val="18"/>
                <w:szCs w:val="18"/>
                <w:lang w:val="uk-UA"/>
              </w:rPr>
            </w:pPr>
            <w:r w:rsidRPr="00C22C49">
              <w:rPr>
                <w:sz w:val="18"/>
                <w:szCs w:val="18"/>
                <w:lang w:val="uk-UA"/>
              </w:rPr>
              <w:t>140,8</w:t>
            </w:r>
          </w:p>
        </w:tc>
        <w:tc>
          <w:tcPr>
            <w:tcW w:w="621" w:type="dxa"/>
            <w:shd w:val="clear" w:color="000000" w:fill="FFFFFF"/>
            <w:vAlign w:val="center"/>
            <w:hideMark/>
          </w:tcPr>
          <w:p w14:paraId="0896BA6A" w14:textId="77777777" w:rsidR="00F35751" w:rsidRPr="00C22C49" w:rsidRDefault="00F35751" w:rsidP="00F35751">
            <w:pPr>
              <w:pStyle w:val="Table"/>
              <w:rPr>
                <w:sz w:val="18"/>
                <w:szCs w:val="18"/>
                <w:lang w:val="uk-UA"/>
              </w:rPr>
            </w:pPr>
            <w:r w:rsidRPr="00C22C49">
              <w:rPr>
                <w:sz w:val="18"/>
                <w:szCs w:val="18"/>
                <w:lang w:val="uk-UA"/>
              </w:rPr>
              <w:t>141,0</w:t>
            </w:r>
          </w:p>
        </w:tc>
      </w:tr>
      <w:tr w:rsidR="00F35751" w:rsidRPr="00C22C49" w14:paraId="0896BA6D" w14:textId="77777777" w:rsidTr="00602211">
        <w:trPr>
          <w:trHeight w:val="288"/>
          <w:jc w:val="center"/>
        </w:trPr>
        <w:tc>
          <w:tcPr>
            <w:tcW w:w="9600" w:type="dxa"/>
            <w:gridSpan w:val="14"/>
            <w:shd w:val="clear" w:color="000000" w:fill="FFFFFF"/>
            <w:vAlign w:val="center"/>
            <w:hideMark/>
          </w:tcPr>
          <w:p w14:paraId="0896BA6C" w14:textId="77777777" w:rsidR="00F35751" w:rsidRPr="00C22C49" w:rsidRDefault="00F35751" w:rsidP="00F35751">
            <w:pPr>
              <w:pStyle w:val="Table"/>
              <w:rPr>
                <w:b/>
                <w:bCs/>
                <w:sz w:val="18"/>
                <w:szCs w:val="18"/>
                <w:lang w:val="uk-UA"/>
              </w:rPr>
            </w:pPr>
            <w:r w:rsidRPr="00C22C49">
              <w:rPr>
                <w:b/>
                <w:bCs/>
                <w:sz w:val="18"/>
                <w:szCs w:val="18"/>
                <w:lang w:val="uk-UA"/>
              </w:rPr>
              <w:t>в тому числі:</w:t>
            </w:r>
          </w:p>
        </w:tc>
      </w:tr>
      <w:tr w:rsidR="00F35751" w:rsidRPr="00C22C49" w14:paraId="0896BA7C" w14:textId="77777777" w:rsidTr="00602211">
        <w:trPr>
          <w:trHeight w:val="288"/>
          <w:jc w:val="center"/>
        </w:trPr>
        <w:tc>
          <w:tcPr>
            <w:tcW w:w="1526" w:type="dxa"/>
            <w:shd w:val="clear" w:color="000000" w:fill="FFFFFF"/>
            <w:vAlign w:val="center"/>
            <w:hideMark/>
          </w:tcPr>
          <w:p w14:paraId="0896BA6E" w14:textId="77777777" w:rsidR="00F35751" w:rsidRPr="00C22C49" w:rsidRDefault="00F35751" w:rsidP="00F35751">
            <w:pPr>
              <w:pStyle w:val="Table"/>
              <w:rPr>
                <w:b/>
                <w:bCs/>
                <w:sz w:val="18"/>
                <w:szCs w:val="18"/>
                <w:lang w:val="uk-UA"/>
              </w:rPr>
            </w:pPr>
            <w:r w:rsidRPr="00C22C49">
              <w:rPr>
                <w:b/>
                <w:bCs/>
                <w:sz w:val="18"/>
                <w:szCs w:val="18"/>
                <w:lang w:val="uk-UA"/>
              </w:rPr>
              <w:t>інфекційні</w:t>
            </w:r>
          </w:p>
        </w:tc>
        <w:tc>
          <w:tcPr>
            <w:tcW w:w="621" w:type="dxa"/>
            <w:shd w:val="clear" w:color="000000" w:fill="FFFFFF"/>
            <w:vAlign w:val="center"/>
            <w:hideMark/>
          </w:tcPr>
          <w:p w14:paraId="0896BA6F" w14:textId="77777777" w:rsidR="00F35751" w:rsidRPr="00C22C49" w:rsidRDefault="00F35751" w:rsidP="00F35751">
            <w:pPr>
              <w:pStyle w:val="Table"/>
              <w:rPr>
                <w:sz w:val="18"/>
                <w:szCs w:val="18"/>
                <w:lang w:val="uk-UA"/>
              </w:rPr>
            </w:pPr>
            <w:r w:rsidRPr="00C22C49">
              <w:rPr>
                <w:sz w:val="18"/>
                <w:szCs w:val="18"/>
                <w:lang w:val="uk-UA"/>
              </w:rPr>
              <w:t>32,8</w:t>
            </w:r>
          </w:p>
        </w:tc>
        <w:tc>
          <w:tcPr>
            <w:tcW w:w="621" w:type="dxa"/>
            <w:shd w:val="clear" w:color="000000" w:fill="FFFFFF"/>
            <w:vAlign w:val="center"/>
            <w:hideMark/>
          </w:tcPr>
          <w:p w14:paraId="0896BA70" w14:textId="77777777" w:rsidR="00F35751" w:rsidRPr="00C22C49" w:rsidRDefault="00F35751" w:rsidP="00F35751">
            <w:pPr>
              <w:pStyle w:val="Table"/>
              <w:rPr>
                <w:sz w:val="18"/>
                <w:szCs w:val="18"/>
                <w:lang w:val="uk-UA"/>
              </w:rPr>
            </w:pPr>
            <w:r w:rsidRPr="00C22C49">
              <w:rPr>
                <w:sz w:val="18"/>
                <w:szCs w:val="18"/>
                <w:lang w:val="uk-UA"/>
              </w:rPr>
              <w:t>33,1</w:t>
            </w:r>
          </w:p>
        </w:tc>
        <w:tc>
          <w:tcPr>
            <w:tcW w:w="621" w:type="dxa"/>
            <w:shd w:val="clear" w:color="000000" w:fill="FFFFFF"/>
            <w:vAlign w:val="center"/>
            <w:hideMark/>
          </w:tcPr>
          <w:p w14:paraId="0896BA71" w14:textId="77777777" w:rsidR="00F35751" w:rsidRPr="00C22C49" w:rsidRDefault="00F35751" w:rsidP="00F35751">
            <w:pPr>
              <w:pStyle w:val="Table"/>
              <w:rPr>
                <w:sz w:val="18"/>
                <w:szCs w:val="18"/>
                <w:lang w:val="uk-UA"/>
              </w:rPr>
            </w:pPr>
            <w:r w:rsidRPr="00C22C49">
              <w:rPr>
                <w:sz w:val="18"/>
                <w:szCs w:val="18"/>
                <w:lang w:val="uk-UA"/>
              </w:rPr>
              <w:t>33,1</w:t>
            </w:r>
          </w:p>
        </w:tc>
        <w:tc>
          <w:tcPr>
            <w:tcW w:w="621" w:type="dxa"/>
            <w:shd w:val="clear" w:color="000000" w:fill="FFFFFF"/>
            <w:vAlign w:val="center"/>
            <w:hideMark/>
          </w:tcPr>
          <w:p w14:paraId="0896BA72" w14:textId="77777777" w:rsidR="00F35751" w:rsidRPr="00C22C49" w:rsidRDefault="00F35751" w:rsidP="00F35751">
            <w:pPr>
              <w:pStyle w:val="Table"/>
              <w:rPr>
                <w:sz w:val="18"/>
                <w:szCs w:val="18"/>
                <w:lang w:val="uk-UA"/>
              </w:rPr>
            </w:pPr>
            <w:r w:rsidRPr="00C22C49">
              <w:rPr>
                <w:sz w:val="18"/>
                <w:szCs w:val="18"/>
                <w:lang w:val="uk-UA"/>
              </w:rPr>
              <w:t>33,3</w:t>
            </w:r>
          </w:p>
        </w:tc>
        <w:tc>
          <w:tcPr>
            <w:tcW w:w="621" w:type="dxa"/>
            <w:shd w:val="clear" w:color="000000" w:fill="FFFFFF"/>
            <w:vAlign w:val="center"/>
            <w:hideMark/>
          </w:tcPr>
          <w:p w14:paraId="0896BA73" w14:textId="77777777" w:rsidR="00F35751" w:rsidRPr="00C22C49" w:rsidRDefault="00F35751" w:rsidP="00F35751">
            <w:pPr>
              <w:pStyle w:val="Table"/>
              <w:rPr>
                <w:sz w:val="18"/>
                <w:szCs w:val="18"/>
                <w:lang w:val="uk-UA"/>
              </w:rPr>
            </w:pPr>
            <w:r w:rsidRPr="00C22C49">
              <w:rPr>
                <w:sz w:val="18"/>
                <w:szCs w:val="18"/>
                <w:lang w:val="uk-UA"/>
              </w:rPr>
              <w:t>33,6</w:t>
            </w:r>
          </w:p>
        </w:tc>
        <w:tc>
          <w:tcPr>
            <w:tcW w:w="621" w:type="dxa"/>
            <w:shd w:val="clear" w:color="000000" w:fill="FFFFFF"/>
            <w:vAlign w:val="center"/>
            <w:hideMark/>
          </w:tcPr>
          <w:p w14:paraId="0896BA74" w14:textId="77777777" w:rsidR="00F35751" w:rsidRPr="00C22C49" w:rsidRDefault="00F35751" w:rsidP="00F35751">
            <w:pPr>
              <w:pStyle w:val="Table"/>
              <w:rPr>
                <w:sz w:val="18"/>
                <w:szCs w:val="18"/>
                <w:lang w:val="uk-UA"/>
              </w:rPr>
            </w:pPr>
            <w:r w:rsidRPr="00C22C49">
              <w:rPr>
                <w:sz w:val="18"/>
                <w:szCs w:val="18"/>
                <w:lang w:val="uk-UA"/>
              </w:rPr>
              <w:t>33,8</w:t>
            </w:r>
          </w:p>
        </w:tc>
        <w:tc>
          <w:tcPr>
            <w:tcW w:w="621" w:type="dxa"/>
            <w:shd w:val="clear" w:color="000000" w:fill="FFFFFF"/>
            <w:vAlign w:val="center"/>
            <w:hideMark/>
          </w:tcPr>
          <w:p w14:paraId="0896BA75" w14:textId="77777777" w:rsidR="00F35751" w:rsidRPr="00C22C49" w:rsidRDefault="00F35751" w:rsidP="00F35751">
            <w:pPr>
              <w:pStyle w:val="Table"/>
              <w:rPr>
                <w:sz w:val="18"/>
                <w:szCs w:val="18"/>
                <w:lang w:val="uk-UA"/>
              </w:rPr>
            </w:pPr>
            <w:r w:rsidRPr="00C22C49">
              <w:rPr>
                <w:sz w:val="18"/>
                <w:szCs w:val="18"/>
                <w:lang w:val="uk-UA"/>
              </w:rPr>
              <w:t>34,1</w:t>
            </w:r>
          </w:p>
        </w:tc>
        <w:tc>
          <w:tcPr>
            <w:tcW w:w="621" w:type="dxa"/>
            <w:shd w:val="clear" w:color="000000" w:fill="FFFFFF"/>
            <w:vAlign w:val="center"/>
            <w:hideMark/>
          </w:tcPr>
          <w:p w14:paraId="0896BA76" w14:textId="77777777" w:rsidR="00F35751" w:rsidRPr="00C22C49" w:rsidRDefault="00F35751" w:rsidP="00F35751">
            <w:pPr>
              <w:pStyle w:val="Table"/>
              <w:rPr>
                <w:sz w:val="18"/>
                <w:szCs w:val="18"/>
                <w:lang w:val="uk-UA"/>
              </w:rPr>
            </w:pPr>
            <w:r w:rsidRPr="00C22C49">
              <w:rPr>
                <w:sz w:val="18"/>
                <w:szCs w:val="18"/>
                <w:lang w:val="uk-UA"/>
              </w:rPr>
              <w:t>34,2</w:t>
            </w:r>
          </w:p>
        </w:tc>
        <w:tc>
          <w:tcPr>
            <w:tcW w:w="621" w:type="dxa"/>
            <w:shd w:val="clear" w:color="000000" w:fill="FFFFFF"/>
            <w:vAlign w:val="center"/>
            <w:hideMark/>
          </w:tcPr>
          <w:p w14:paraId="0896BA77" w14:textId="77777777" w:rsidR="00F35751" w:rsidRPr="00C22C49" w:rsidRDefault="00F35751" w:rsidP="00F35751">
            <w:pPr>
              <w:pStyle w:val="Table"/>
              <w:rPr>
                <w:sz w:val="18"/>
                <w:szCs w:val="18"/>
                <w:lang w:val="uk-UA"/>
              </w:rPr>
            </w:pPr>
            <w:r w:rsidRPr="00C22C49">
              <w:rPr>
                <w:sz w:val="18"/>
                <w:szCs w:val="18"/>
                <w:lang w:val="uk-UA"/>
              </w:rPr>
              <w:t>34,4</w:t>
            </w:r>
          </w:p>
        </w:tc>
        <w:tc>
          <w:tcPr>
            <w:tcW w:w="621" w:type="dxa"/>
            <w:shd w:val="clear" w:color="000000" w:fill="FFFFFF"/>
            <w:vAlign w:val="center"/>
            <w:hideMark/>
          </w:tcPr>
          <w:p w14:paraId="0896BA78" w14:textId="77777777" w:rsidR="00F35751" w:rsidRPr="00C22C49" w:rsidRDefault="00F35751" w:rsidP="00F35751">
            <w:pPr>
              <w:pStyle w:val="Table"/>
              <w:rPr>
                <w:sz w:val="18"/>
                <w:szCs w:val="18"/>
                <w:lang w:val="uk-UA"/>
              </w:rPr>
            </w:pPr>
            <w:r w:rsidRPr="00C22C49">
              <w:rPr>
                <w:sz w:val="18"/>
                <w:szCs w:val="18"/>
                <w:lang w:val="uk-UA"/>
              </w:rPr>
              <w:t>34,6</w:t>
            </w:r>
          </w:p>
        </w:tc>
        <w:tc>
          <w:tcPr>
            <w:tcW w:w="621" w:type="dxa"/>
            <w:shd w:val="clear" w:color="000000" w:fill="FFFFFF"/>
            <w:vAlign w:val="center"/>
            <w:hideMark/>
          </w:tcPr>
          <w:p w14:paraId="0896BA79" w14:textId="77777777" w:rsidR="00F35751" w:rsidRPr="00C22C49" w:rsidRDefault="00F35751" w:rsidP="00F35751">
            <w:pPr>
              <w:pStyle w:val="Table"/>
              <w:rPr>
                <w:sz w:val="18"/>
                <w:szCs w:val="18"/>
                <w:lang w:val="uk-UA"/>
              </w:rPr>
            </w:pPr>
            <w:r w:rsidRPr="00C22C49">
              <w:rPr>
                <w:sz w:val="18"/>
                <w:szCs w:val="18"/>
                <w:lang w:val="uk-UA"/>
              </w:rPr>
              <w:t>34,7</w:t>
            </w:r>
          </w:p>
        </w:tc>
        <w:tc>
          <w:tcPr>
            <w:tcW w:w="621" w:type="dxa"/>
            <w:shd w:val="clear" w:color="000000" w:fill="FFFFFF"/>
            <w:vAlign w:val="center"/>
            <w:hideMark/>
          </w:tcPr>
          <w:p w14:paraId="0896BA7A" w14:textId="77777777" w:rsidR="00F35751" w:rsidRPr="00C22C49" w:rsidRDefault="00F35751" w:rsidP="00F35751">
            <w:pPr>
              <w:pStyle w:val="Table"/>
              <w:rPr>
                <w:sz w:val="18"/>
                <w:szCs w:val="18"/>
                <w:lang w:val="uk-UA"/>
              </w:rPr>
            </w:pPr>
            <w:r w:rsidRPr="00C22C49">
              <w:rPr>
                <w:sz w:val="18"/>
                <w:szCs w:val="18"/>
                <w:lang w:val="uk-UA"/>
              </w:rPr>
              <w:t>34,9</w:t>
            </w:r>
          </w:p>
        </w:tc>
        <w:tc>
          <w:tcPr>
            <w:tcW w:w="621" w:type="dxa"/>
            <w:shd w:val="clear" w:color="000000" w:fill="FFFFFF"/>
            <w:vAlign w:val="center"/>
            <w:hideMark/>
          </w:tcPr>
          <w:p w14:paraId="0896BA7B" w14:textId="77777777" w:rsidR="00F35751" w:rsidRPr="00C22C49" w:rsidRDefault="00F35751" w:rsidP="00F35751">
            <w:pPr>
              <w:pStyle w:val="Table"/>
              <w:rPr>
                <w:sz w:val="18"/>
                <w:szCs w:val="18"/>
                <w:lang w:val="uk-UA"/>
              </w:rPr>
            </w:pPr>
            <w:r w:rsidRPr="00C22C49">
              <w:rPr>
                <w:sz w:val="18"/>
                <w:szCs w:val="18"/>
                <w:lang w:val="uk-UA"/>
              </w:rPr>
              <w:t>34,9</w:t>
            </w:r>
          </w:p>
        </w:tc>
      </w:tr>
      <w:tr w:rsidR="00F35751" w:rsidRPr="00C22C49" w14:paraId="0896BA8B" w14:textId="77777777" w:rsidTr="00602211">
        <w:trPr>
          <w:trHeight w:val="288"/>
          <w:jc w:val="center"/>
        </w:trPr>
        <w:tc>
          <w:tcPr>
            <w:tcW w:w="1526" w:type="dxa"/>
            <w:shd w:val="clear" w:color="000000" w:fill="FFFFFF"/>
            <w:vAlign w:val="center"/>
            <w:hideMark/>
          </w:tcPr>
          <w:p w14:paraId="0896BA7D" w14:textId="77777777" w:rsidR="00F35751" w:rsidRPr="00C22C49" w:rsidRDefault="00F35751" w:rsidP="00F35751">
            <w:pPr>
              <w:pStyle w:val="Table"/>
              <w:rPr>
                <w:b/>
                <w:bCs/>
                <w:sz w:val="18"/>
                <w:szCs w:val="18"/>
                <w:lang w:val="uk-UA"/>
              </w:rPr>
            </w:pPr>
            <w:r w:rsidRPr="00C22C49">
              <w:rPr>
                <w:b/>
                <w:bCs/>
                <w:sz w:val="18"/>
                <w:szCs w:val="18"/>
                <w:lang w:val="uk-UA"/>
              </w:rPr>
              <w:t>інші</w:t>
            </w:r>
          </w:p>
        </w:tc>
        <w:tc>
          <w:tcPr>
            <w:tcW w:w="621" w:type="dxa"/>
            <w:shd w:val="clear" w:color="000000" w:fill="FFFFFF"/>
            <w:vAlign w:val="center"/>
            <w:hideMark/>
          </w:tcPr>
          <w:p w14:paraId="0896BA7E" w14:textId="77777777" w:rsidR="00F35751" w:rsidRPr="00C22C49" w:rsidRDefault="00F35751" w:rsidP="00F35751">
            <w:pPr>
              <w:pStyle w:val="Table"/>
              <w:rPr>
                <w:sz w:val="18"/>
                <w:szCs w:val="18"/>
                <w:lang w:val="uk-UA"/>
              </w:rPr>
            </w:pPr>
            <w:r w:rsidRPr="00C22C49">
              <w:rPr>
                <w:sz w:val="18"/>
                <w:szCs w:val="18"/>
                <w:lang w:val="uk-UA"/>
              </w:rPr>
              <w:t>98,4</w:t>
            </w:r>
          </w:p>
        </w:tc>
        <w:tc>
          <w:tcPr>
            <w:tcW w:w="621" w:type="dxa"/>
            <w:shd w:val="clear" w:color="000000" w:fill="FFFFFF"/>
            <w:vAlign w:val="center"/>
            <w:hideMark/>
          </w:tcPr>
          <w:p w14:paraId="0896BA7F" w14:textId="77777777" w:rsidR="00F35751" w:rsidRPr="00C22C49" w:rsidRDefault="00F35751" w:rsidP="00F35751">
            <w:pPr>
              <w:pStyle w:val="Table"/>
              <w:rPr>
                <w:sz w:val="18"/>
                <w:szCs w:val="18"/>
                <w:lang w:val="uk-UA"/>
              </w:rPr>
            </w:pPr>
            <w:r w:rsidRPr="00C22C49">
              <w:rPr>
                <w:sz w:val="18"/>
                <w:szCs w:val="18"/>
                <w:lang w:val="uk-UA"/>
              </w:rPr>
              <w:t>99,4</w:t>
            </w:r>
          </w:p>
        </w:tc>
        <w:tc>
          <w:tcPr>
            <w:tcW w:w="621" w:type="dxa"/>
            <w:shd w:val="clear" w:color="000000" w:fill="FFFFFF"/>
            <w:vAlign w:val="center"/>
            <w:hideMark/>
          </w:tcPr>
          <w:p w14:paraId="0896BA80" w14:textId="77777777" w:rsidR="00F35751" w:rsidRPr="00C22C49" w:rsidRDefault="00F35751" w:rsidP="00F35751">
            <w:pPr>
              <w:pStyle w:val="Table"/>
              <w:rPr>
                <w:sz w:val="18"/>
                <w:szCs w:val="18"/>
                <w:lang w:val="uk-UA"/>
              </w:rPr>
            </w:pPr>
            <w:r w:rsidRPr="00C22C49">
              <w:rPr>
                <w:sz w:val="18"/>
                <w:szCs w:val="18"/>
                <w:lang w:val="uk-UA"/>
              </w:rPr>
              <w:t>100,4</w:t>
            </w:r>
          </w:p>
        </w:tc>
        <w:tc>
          <w:tcPr>
            <w:tcW w:w="621" w:type="dxa"/>
            <w:shd w:val="clear" w:color="000000" w:fill="FFFFFF"/>
            <w:vAlign w:val="center"/>
            <w:hideMark/>
          </w:tcPr>
          <w:p w14:paraId="0896BA81" w14:textId="77777777" w:rsidR="00F35751" w:rsidRPr="00C22C49" w:rsidRDefault="00F35751" w:rsidP="00F35751">
            <w:pPr>
              <w:pStyle w:val="Table"/>
              <w:rPr>
                <w:sz w:val="18"/>
                <w:szCs w:val="18"/>
                <w:lang w:val="uk-UA"/>
              </w:rPr>
            </w:pPr>
            <w:r w:rsidRPr="00C22C49">
              <w:rPr>
                <w:sz w:val="18"/>
                <w:szCs w:val="18"/>
                <w:lang w:val="uk-UA"/>
              </w:rPr>
              <w:t>101,4</w:t>
            </w:r>
          </w:p>
        </w:tc>
        <w:tc>
          <w:tcPr>
            <w:tcW w:w="621" w:type="dxa"/>
            <w:shd w:val="clear" w:color="000000" w:fill="FFFFFF"/>
            <w:vAlign w:val="center"/>
            <w:hideMark/>
          </w:tcPr>
          <w:p w14:paraId="0896BA82" w14:textId="77777777" w:rsidR="00F35751" w:rsidRPr="00C22C49" w:rsidRDefault="00F35751" w:rsidP="00F35751">
            <w:pPr>
              <w:pStyle w:val="Table"/>
              <w:rPr>
                <w:sz w:val="18"/>
                <w:szCs w:val="18"/>
                <w:lang w:val="uk-UA"/>
              </w:rPr>
            </w:pPr>
            <w:r w:rsidRPr="00C22C49">
              <w:rPr>
                <w:sz w:val="18"/>
                <w:szCs w:val="18"/>
                <w:lang w:val="uk-UA"/>
              </w:rPr>
              <w:t>102,4</w:t>
            </w:r>
          </w:p>
        </w:tc>
        <w:tc>
          <w:tcPr>
            <w:tcW w:w="621" w:type="dxa"/>
            <w:shd w:val="clear" w:color="000000" w:fill="FFFFFF"/>
            <w:vAlign w:val="center"/>
            <w:hideMark/>
          </w:tcPr>
          <w:p w14:paraId="0896BA83" w14:textId="77777777" w:rsidR="00F35751" w:rsidRPr="00C22C49" w:rsidRDefault="00F35751" w:rsidP="00F35751">
            <w:pPr>
              <w:pStyle w:val="Table"/>
              <w:rPr>
                <w:sz w:val="18"/>
                <w:szCs w:val="18"/>
                <w:lang w:val="uk-UA"/>
              </w:rPr>
            </w:pPr>
            <w:r w:rsidRPr="00C22C49">
              <w:rPr>
                <w:sz w:val="18"/>
                <w:szCs w:val="18"/>
                <w:lang w:val="uk-UA"/>
              </w:rPr>
              <w:t>102,9</w:t>
            </w:r>
          </w:p>
        </w:tc>
        <w:tc>
          <w:tcPr>
            <w:tcW w:w="621" w:type="dxa"/>
            <w:shd w:val="clear" w:color="000000" w:fill="FFFFFF"/>
            <w:vAlign w:val="center"/>
            <w:hideMark/>
          </w:tcPr>
          <w:p w14:paraId="0896BA84" w14:textId="77777777" w:rsidR="00F35751" w:rsidRPr="00C22C49" w:rsidRDefault="00F35751" w:rsidP="00F35751">
            <w:pPr>
              <w:pStyle w:val="Table"/>
              <w:rPr>
                <w:sz w:val="18"/>
                <w:szCs w:val="18"/>
                <w:lang w:val="uk-UA"/>
              </w:rPr>
            </w:pPr>
            <w:r w:rsidRPr="00C22C49">
              <w:rPr>
                <w:sz w:val="18"/>
                <w:szCs w:val="18"/>
                <w:lang w:val="uk-UA"/>
              </w:rPr>
              <w:t>103,7</w:t>
            </w:r>
          </w:p>
        </w:tc>
        <w:tc>
          <w:tcPr>
            <w:tcW w:w="621" w:type="dxa"/>
            <w:shd w:val="clear" w:color="000000" w:fill="FFFFFF"/>
            <w:vAlign w:val="center"/>
            <w:hideMark/>
          </w:tcPr>
          <w:p w14:paraId="0896BA85" w14:textId="77777777" w:rsidR="00F35751" w:rsidRPr="00C22C49" w:rsidRDefault="00F35751" w:rsidP="00F35751">
            <w:pPr>
              <w:pStyle w:val="Table"/>
              <w:rPr>
                <w:sz w:val="18"/>
                <w:szCs w:val="18"/>
                <w:lang w:val="uk-UA"/>
              </w:rPr>
            </w:pPr>
            <w:r w:rsidRPr="00C22C49">
              <w:rPr>
                <w:sz w:val="18"/>
                <w:szCs w:val="18"/>
                <w:lang w:val="uk-UA"/>
              </w:rPr>
              <w:t>104,3</w:t>
            </w:r>
          </w:p>
        </w:tc>
        <w:tc>
          <w:tcPr>
            <w:tcW w:w="621" w:type="dxa"/>
            <w:shd w:val="clear" w:color="000000" w:fill="FFFFFF"/>
            <w:vAlign w:val="center"/>
            <w:hideMark/>
          </w:tcPr>
          <w:p w14:paraId="0896BA86" w14:textId="77777777" w:rsidR="00F35751" w:rsidRPr="00C22C49" w:rsidRDefault="00F35751" w:rsidP="00F35751">
            <w:pPr>
              <w:pStyle w:val="Table"/>
              <w:rPr>
                <w:sz w:val="18"/>
                <w:szCs w:val="18"/>
                <w:lang w:val="uk-UA"/>
              </w:rPr>
            </w:pPr>
            <w:r w:rsidRPr="00C22C49">
              <w:rPr>
                <w:sz w:val="18"/>
                <w:szCs w:val="18"/>
                <w:lang w:val="uk-UA"/>
              </w:rPr>
              <w:t>105,0</w:t>
            </w:r>
          </w:p>
        </w:tc>
        <w:tc>
          <w:tcPr>
            <w:tcW w:w="621" w:type="dxa"/>
            <w:shd w:val="clear" w:color="000000" w:fill="FFFFFF"/>
            <w:vAlign w:val="center"/>
            <w:hideMark/>
          </w:tcPr>
          <w:p w14:paraId="0896BA87" w14:textId="77777777" w:rsidR="00F35751" w:rsidRPr="00C22C49" w:rsidRDefault="00F35751" w:rsidP="00F35751">
            <w:pPr>
              <w:pStyle w:val="Table"/>
              <w:rPr>
                <w:sz w:val="18"/>
                <w:szCs w:val="18"/>
                <w:lang w:val="uk-UA"/>
              </w:rPr>
            </w:pPr>
            <w:r w:rsidRPr="00C22C49">
              <w:rPr>
                <w:sz w:val="18"/>
                <w:szCs w:val="18"/>
                <w:lang w:val="uk-UA"/>
              </w:rPr>
              <w:t>105,5</w:t>
            </w:r>
          </w:p>
        </w:tc>
        <w:tc>
          <w:tcPr>
            <w:tcW w:w="621" w:type="dxa"/>
            <w:shd w:val="clear" w:color="000000" w:fill="FFFFFF"/>
            <w:vAlign w:val="center"/>
            <w:hideMark/>
          </w:tcPr>
          <w:p w14:paraId="0896BA88" w14:textId="77777777" w:rsidR="00F35751" w:rsidRPr="00C22C49" w:rsidRDefault="00F35751" w:rsidP="00F35751">
            <w:pPr>
              <w:pStyle w:val="Table"/>
              <w:rPr>
                <w:sz w:val="18"/>
                <w:szCs w:val="18"/>
                <w:lang w:val="uk-UA"/>
              </w:rPr>
            </w:pPr>
            <w:r w:rsidRPr="00C22C49">
              <w:rPr>
                <w:sz w:val="18"/>
                <w:szCs w:val="18"/>
                <w:lang w:val="uk-UA"/>
              </w:rPr>
              <w:t>105,8</w:t>
            </w:r>
          </w:p>
        </w:tc>
        <w:tc>
          <w:tcPr>
            <w:tcW w:w="621" w:type="dxa"/>
            <w:shd w:val="clear" w:color="000000" w:fill="FFFFFF"/>
            <w:vAlign w:val="center"/>
            <w:hideMark/>
          </w:tcPr>
          <w:p w14:paraId="0896BA89" w14:textId="77777777" w:rsidR="00F35751" w:rsidRPr="00C22C49" w:rsidRDefault="00F35751" w:rsidP="00F35751">
            <w:pPr>
              <w:pStyle w:val="Table"/>
              <w:rPr>
                <w:sz w:val="18"/>
                <w:szCs w:val="18"/>
                <w:lang w:val="uk-UA"/>
              </w:rPr>
            </w:pPr>
            <w:r w:rsidRPr="00C22C49">
              <w:rPr>
                <w:sz w:val="18"/>
                <w:szCs w:val="18"/>
                <w:lang w:val="uk-UA"/>
              </w:rPr>
              <w:t>106,0</w:t>
            </w:r>
          </w:p>
        </w:tc>
        <w:tc>
          <w:tcPr>
            <w:tcW w:w="621" w:type="dxa"/>
            <w:shd w:val="clear" w:color="000000" w:fill="FFFFFF"/>
            <w:vAlign w:val="center"/>
            <w:hideMark/>
          </w:tcPr>
          <w:p w14:paraId="0896BA8A" w14:textId="77777777" w:rsidR="00F35751" w:rsidRPr="00C22C49" w:rsidRDefault="00F35751" w:rsidP="00F35751">
            <w:pPr>
              <w:pStyle w:val="Table"/>
              <w:rPr>
                <w:sz w:val="18"/>
                <w:szCs w:val="18"/>
                <w:lang w:val="uk-UA"/>
              </w:rPr>
            </w:pPr>
            <w:r w:rsidRPr="00C22C49">
              <w:rPr>
                <w:sz w:val="18"/>
                <w:szCs w:val="18"/>
                <w:lang w:val="uk-UA"/>
              </w:rPr>
              <w:t>106,1</w:t>
            </w:r>
          </w:p>
        </w:tc>
      </w:tr>
      <w:tr w:rsidR="00F35751" w:rsidRPr="00C22C49" w14:paraId="0896BA9A" w14:textId="77777777" w:rsidTr="00602211">
        <w:trPr>
          <w:trHeight w:val="528"/>
          <w:jc w:val="center"/>
        </w:trPr>
        <w:tc>
          <w:tcPr>
            <w:tcW w:w="1526" w:type="dxa"/>
            <w:shd w:val="clear" w:color="000000" w:fill="FFFFFF"/>
            <w:vAlign w:val="center"/>
            <w:hideMark/>
          </w:tcPr>
          <w:p w14:paraId="0896BA8C" w14:textId="77777777" w:rsidR="00F35751" w:rsidRPr="00C22C49" w:rsidRDefault="00F35751" w:rsidP="00F35751">
            <w:pPr>
              <w:pStyle w:val="Table"/>
              <w:rPr>
                <w:b/>
                <w:bCs/>
                <w:sz w:val="18"/>
                <w:szCs w:val="18"/>
                <w:lang w:val="uk-UA"/>
              </w:rPr>
            </w:pPr>
            <w:r w:rsidRPr="00C22C49">
              <w:rPr>
                <w:b/>
                <w:bCs/>
                <w:sz w:val="18"/>
                <w:szCs w:val="18"/>
                <w:lang w:val="uk-UA"/>
              </w:rPr>
              <w:t>Динаміка, в % до 2022 р.</w:t>
            </w:r>
          </w:p>
        </w:tc>
        <w:tc>
          <w:tcPr>
            <w:tcW w:w="621" w:type="dxa"/>
            <w:shd w:val="clear" w:color="000000" w:fill="FFFFFF"/>
            <w:noWrap/>
            <w:vAlign w:val="bottom"/>
            <w:hideMark/>
          </w:tcPr>
          <w:p w14:paraId="0896BA8D" w14:textId="77777777" w:rsidR="00F35751" w:rsidRPr="00C22C49" w:rsidRDefault="00F35751" w:rsidP="00F35751">
            <w:pPr>
              <w:pStyle w:val="Table"/>
              <w:rPr>
                <w:sz w:val="18"/>
                <w:szCs w:val="18"/>
                <w:lang w:val="uk-UA"/>
              </w:rPr>
            </w:pPr>
            <w:r w:rsidRPr="00C22C49">
              <w:rPr>
                <w:sz w:val="18"/>
                <w:szCs w:val="18"/>
                <w:lang w:val="uk-UA"/>
              </w:rPr>
              <w:t>105,0</w:t>
            </w:r>
          </w:p>
        </w:tc>
        <w:tc>
          <w:tcPr>
            <w:tcW w:w="621" w:type="dxa"/>
            <w:shd w:val="clear" w:color="000000" w:fill="FFFFFF"/>
            <w:noWrap/>
            <w:vAlign w:val="bottom"/>
            <w:hideMark/>
          </w:tcPr>
          <w:p w14:paraId="0896BA8E" w14:textId="77777777" w:rsidR="00F35751" w:rsidRPr="00C22C49" w:rsidRDefault="00F35751" w:rsidP="00F35751">
            <w:pPr>
              <w:pStyle w:val="Table"/>
              <w:rPr>
                <w:sz w:val="18"/>
                <w:szCs w:val="18"/>
                <w:lang w:val="uk-UA"/>
              </w:rPr>
            </w:pPr>
            <w:r w:rsidRPr="00C22C49">
              <w:rPr>
                <w:sz w:val="18"/>
                <w:szCs w:val="18"/>
                <w:lang w:val="uk-UA"/>
              </w:rPr>
              <w:t>106,1</w:t>
            </w:r>
          </w:p>
        </w:tc>
        <w:tc>
          <w:tcPr>
            <w:tcW w:w="621" w:type="dxa"/>
            <w:shd w:val="clear" w:color="000000" w:fill="FFFFFF"/>
            <w:noWrap/>
            <w:vAlign w:val="bottom"/>
            <w:hideMark/>
          </w:tcPr>
          <w:p w14:paraId="0896BA8F" w14:textId="77777777" w:rsidR="00F35751" w:rsidRPr="00C22C49" w:rsidRDefault="00F35751" w:rsidP="00F35751">
            <w:pPr>
              <w:pStyle w:val="Table"/>
              <w:rPr>
                <w:sz w:val="18"/>
                <w:szCs w:val="18"/>
                <w:lang w:val="uk-UA"/>
              </w:rPr>
            </w:pPr>
            <w:r w:rsidRPr="00C22C49">
              <w:rPr>
                <w:sz w:val="18"/>
                <w:szCs w:val="18"/>
                <w:lang w:val="uk-UA"/>
              </w:rPr>
              <w:t>106,8</w:t>
            </w:r>
          </w:p>
        </w:tc>
        <w:tc>
          <w:tcPr>
            <w:tcW w:w="621" w:type="dxa"/>
            <w:shd w:val="clear" w:color="000000" w:fill="FFFFFF"/>
            <w:noWrap/>
            <w:vAlign w:val="bottom"/>
            <w:hideMark/>
          </w:tcPr>
          <w:p w14:paraId="0896BA90" w14:textId="77777777" w:rsidR="00F35751" w:rsidRPr="00C22C49" w:rsidRDefault="00F35751" w:rsidP="00F35751">
            <w:pPr>
              <w:pStyle w:val="Table"/>
              <w:rPr>
                <w:sz w:val="18"/>
                <w:szCs w:val="18"/>
                <w:lang w:val="uk-UA"/>
              </w:rPr>
            </w:pPr>
            <w:r w:rsidRPr="00C22C49">
              <w:rPr>
                <w:sz w:val="18"/>
                <w:szCs w:val="18"/>
                <w:lang w:val="uk-UA"/>
              </w:rPr>
              <w:t>107,8</w:t>
            </w:r>
          </w:p>
        </w:tc>
        <w:tc>
          <w:tcPr>
            <w:tcW w:w="621" w:type="dxa"/>
            <w:shd w:val="clear" w:color="000000" w:fill="FFFFFF"/>
            <w:noWrap/>
            <w:vAlign w:val="bottom"/>
            <w:hideMark/>
          </w:tcPr>
          <w:p w14:paraId="0896BA91" w14:textId="77777777" w:rsidR="00F35751" w:rsidRPr="00C22C49" w:rsidRDefault="00F35751" w:rsidP="00F35751">
            <w:pPr>
              <w:pStyle w:val="Table"/>
              <w:rPr>
                <w:sz w:val="18"/>
                <w:szCs w:val="18"/>
                <w:lang w:val="uk-UA"/>
              </w:rPr>
            </w:pPr>
            <w:r w:rsidRPr="00C22C49">
              <w:rPr>
                <w:sz w:val="18"/>
                <w:szCs w:val="18"/>
                <w:lang w:val="uk-UA"/>
              </w:rPr>
              <w:t>108,9</w:t>
            </w:r>
          </w:p>
        </w:tc>
        <w:tc>
          <w:tcPr>
            <w:tcW w:w="621" w:type="dxa"/>
            <w:shd w:val="clear" w:color="000000" w:fill="FFFFFF"/>
            <w:noWrap/>
            <w:vAlign w:val="bottom"/>
            <w:hideMark/>
          </w:tcPr>
          <w:p w14:paraId="0896BA92" w14:textId="77777777" w:rsidR="00F35751" w:rsidRPr="00C22C49" w:rsidRDefault="00F35751" w:rsidP="00F35751">
            <w:pPr>
              <w:pStyle w:val="Table"/>
              <w:rPr>
                <w:sz w:val="18"/>
                <w:szCs w:val="18"/>
                <w:lang w:val="uk-UA"/>
              </w:rPr>
            </w:pPr>
            <w:r w:rsidRPr="00C22C49">
              <w:rPr>
                <w:sz w:val="18"/>
                <w:szCs w:val="18"/>
                <w:lang w:val="uk-UA"/>
              </w:rPr>
              <w:t>109,4</w:t>
            </w:r>
          </w:p>
        </w:tc>
        <w:tc>
          <w:tcPr>
            <w:tcW w:w="621" w:type="dxa"/>
            <w:shd w:val="clear" w:color="000000" w:fill="FFFFFF"/>
            <w:noWrap/>
            <w:vAlign w:val="bottom"/>
            <w:hideMark/>
          </w:tcPr>
          <w:p w14:paraId="0896BA93" w14:textId="77777777" w:rsidR="00F35751" w:rsidRPr="00C22C49" w:rsidRDefault="00F35751" w:rsidP="00F35751">
            <w:pPr>
              <w:pStyle w:val="Table"/>
              <w:rPr>
                <w:sz w:val="18"/>
                <w:szCs w:val="18"/>
                <w:lang w:val="uk-UA"/>
              </w:rPr>
            </w:pPr>
            <w:r w:rsidRPr="00C22C49">
              <w:rPr>
                <w:sz w:val="18"/>
                <w:szCs w:val="18"/>
                <w:lang w:val="uk-UA"/>
              </w:rPr>
              <w:t>110,2</w:t>
            </w:r>
          </w:p>
        </w:tc>
        <w:tc>
          <w:tcPr>
            <w:tcW w:w="621" w:type="dxa"/>
            <w:shd w:val="clear" w:color="000000" w:fill="FFFFFF"/>
            <w:noWrap/>
            <w:vAlign w:val="bottom"/>
            <w:hideMark/>
          </w:tcPr>
          <w:p w14:paraId="0896BA94" w14:textId="77777777" w:rsidR="00F35751" w:rsidRPr="00C22C49" w:rsidRDefault="00F35751" w:rsidP="00F35751">
            <w:pPr>
              <w:pStyle w:val="Table"/>
              <w:rPr>
                <w:sz w:val="18"/>
                <w:szCs w:val="18"/>
                <w:lang w:val="uk-UA"/>
              </w:rPr>
            </w:pPr>
            <w:r w:rsidRPr="00C22C49">
              <w:rPr>
                <w:sz w:val="18"/>
                <w:szCs w:val="18"/>
                <w:lang w:val="uk-UA"/>
              </w:rPr>
              <w:t>110,8</w:t>
            </w:r>
          </w:p>
        </w:tc>
        <w:tc>
          <w:tcPr>
            <w:tcW w:w="621" w:type="dxa"/>
            <w:shd w:val="clear" w:color="000000" w:fill="FFFFFF"/>
            <w:noWrap/>
            <w:vAlign w:val="bottom"/>
            <w:hideMark/>
          </w:tcPr>
          <w:p w14:paraId="0896BA95" w14:textId="77777777" w:rsidR="00F35751" w:rsidRPr="00C22C49" w:rsidRDefault="00F35751" w:rsidP="00F35751">
            <w:pPr>
              <w:pStyle w:val="Table"/>
              <w:rPr>
                <w:sz w:val="18"/>
                <w:szCs w:val="18"/>
                <w:lang w:val="uk-UA"/>
              </w:rPr>
            </w:pPr>
            <w:r w:rsidRPr="00C22C49">
              <w:rPr>
                <w:sz w:val="18"/>
                <w:szCs w:val="18"/>
                <w:lang w:val="uk-UA"/>
              </w:rPr>
              <w:t>111,5</w:t>
            </w:r>
          </w:p>
        </w:tc>
        <w:tc>
          <w:tcPr>
            <w:tcW w:w="621" w:type="dxa"/>
            <w:shd w:val="clear" w:color="000000" w:fill="FFFFFF"/>
            <w:noWrap/>
            <w:vAlign w:val="bottom"/>
            <w:hideMark/>
          </w:tcPr>
          <w:p w14:paraId="0896BA96" w14:textId="77777777" w:rsidR="00F35751" w:rsidRPr="00C22C49" w:rsidRDefault="00F35751" w:rsidP="00F35751">
            <w:pPr>
              <w:pStyle w:val="Table"/>
              <w:rPr>
                <w:sz w:val="18"/>
                <w:szCs w:val="18"/>
                <w:lang w:val="uk-UA"/>
              </w:rPr>
            </w:pPr>
            <w:r w:rsidRPr="00C22C49">
              <w:rPr>
                <w:sz w:val="18"/>
                <w:szCs w:val="18"/>
                <w:lang w:val="uk-UA"/>
              </w:rPr>
              <w:t>112,1</w:t>
            </w:r>
          </w:p>
        </w:tc>
        <w:tc>
          <w:tcPr>
            <w:tcW w:w="621" w:type="dxa"/>
            <w:shd w:val="clear" w:color="000000" w:fill="FFFFFF"/>
            <w:noWrap/>
            <w:vAlign w:val="bottom"/>
            <w:hideMark/>
          </w:tcPr>
          <w:p w14:paraId="0896BA97" w14:textId="77777777" w:rsidR="00F35751" w:rsidRPr="00C22C49" w:rsidRDefault="00F35751" w:rsidP="00F35751">
            <w:pPr>
              <w:pStyle w:val="Table"/>
              <w:rPr>
                <w:sz w:val="18"/>
                <w:szCs w:val="18"/>
                <w:lang w:val="uk-UA"/>
              </w:rPr>
            </w:pPr>
            <w:r w:rsidRPr="00C22C49">
              <w:rPr>
                <w:sz w:val="18"/>
                <w:szCs w:val="18"/>
                <w:lang w:val="uk-UA"/>
              </w:rPr>
              <w:t>112,4</w:t>
            </w:r>
          </w:p>
        </w:tc>
        <w:tc>
          <w:tcPr>
            <w:tcW w:w="621" w:type="dxa"/>
            <w:shd w:val="clear" w:color="000000" w:fill="FFFFFF"/>
            <w:noWrap/>
            <w:vAlign w:val="bottom"/>
            <w:hideMark/>
          </w:tcPr>
          <w:p w14:paraId="0896BA98" w14:textId="77777777" w:rsidR="00F35751" w:rsidRPr="00C22C49" w:rsidRDefault="00F35751" w:rsidP="00F35751">
            <w:pPr>
              <w:pStyle w:val="Table"/>
              <w:rPr>
                <w:sz w:val="18"/>
                <w:szCs w:val="18"/>
                <w:lang w:val="uk-UA"/>
              </w:rPr>
            </w:pPr>
            <w:r w:rsidRPr="00C22C49">
              <w:rPr>
                <w:sz w:val="18"/>
                <w:szCs w:val="18"/>
                <w:lang w:val="uk-UA"/>
              </w:rPr>
              <w:t>112,7</w:t>
            </w:r>
          </w:p>
        </w:tc>
        <w:tc>
          <w:tcPr>
            <w:tcW w:w="621" w:type="dxa"/>
            <w:shd w:val="clear" w:color="000000" w:fill="FFFFFF"/>
            <w:noWrap/>
            <w:vAlign w:val="bottom"/>
            <w:hideMark/>
          </w:tcPr>
          <w:p w14:paraId="0896BA99" w14:textId="77777777" w:rsidR="00F35751" w:rsidRPr="00C22C49" w:rsidRDefault="00F35751" w:rsidP="00F35751">
            <w:pPr>
              <w:pStyle w:val="Table"/>
              <w:rPr>
                <w:sz w:val="18"/>
                <w:szCs w:val="18"/>
                <w:lang w:val="uk-UA"/>
              </w:rPr>
            </w:pPr>
            <w:r w:rsidRPr="00C22C49">
              <w:rPr>
                <w:sz w:val="18"/>
                <w:szCs w:val="18"/>
                <w:lang w:val="uk-UA"/>
              </w:rPr>
              <w:t>112,8</w:t>
            </w:r>
          </w:p>
        </w:tc>
      </w:tr>
      <w:tr w:rsidR="00F35751" w:rsidRPr="00C22C49" w14:paraId="0896BAA9" w14:textId="77777777" w:rsidTr="00602211">
        <w:trPr>
          <w:trHeight w:val="552"/>
          <w:jc w:val="center"/>
        </w:trPr>
        <w:tc>
          <w:tcPr>
            <w:tcW w:w="1526" w:type="dxa"/>
            <w:shd w:val="clear" w:color="000000" w:fill="FFFFFF"/>
            <w:vAlign w:val="center"/>
            <w:hideMark/>
          </w:tcPr>
          <w:p w14:paraId="0896BA9B" w14:textId="77777777" w:rsidR="00F35751" w:rsidRPr="00C22C49" w:rsidRDefault="00F35751" w:rsidP="00F35751">
            <w:pPr>
              <w:pStyle w:val="Table"/>
              <w:rPr>
                <w:b/>
                <w:bCs/>
                <w:sz w:val="18"/>
                <w:szCs w:val="18"/>
                <w:lang w:val="uk-UA"/>
              </w:rPr>
            </w:pPr>
            <w:r w:rsidRPr="00C22C49">
              <w:rPr>
                <w:b/>
                <w:bCs/>
                <w:sz w:val="18"/>
                <w:szCs w:val="18"/>
                <w:lang w:val="uk-UA"/>
              </w:rPr>
              <w:t>у розрахунку на одну особу, кг</w:t>
            </w:r>
          </w:p>
        </w:tc>
        <w:tc>
          <w:tcPr>
            <w:tcW w:w="621" w:type="dxa"/>
            <w:shd w:val="clear" w:color="000000" w:fill="FFFFFF"/>
            <w:vAlign w:val="center"/>
            <w:hideMark/>
          </w:tcPr>
          <w:p w14:paraId="0896BA9C" w14:textId="77777777" w:rsidR="00F35751" w:rsidRPr="00C22C49" w:rsidRDefault="00F35751" w:rsidP="00F35751">
            <w:pPr>
              <w:pStyle w:val="Table"/>
              <w:rPr>
                <w:sz w:val="18"/>
                <w:szCs w:val="18"/>
                <w:lang w:val="uk-UA"/>
              </w:rPr>
            </w:pPr>
            <w:r w:rsidRPr="00C22C49">
              <w:rPr>
                <w:sz w:val="18"/>
                <w:szCs w:val="18"/>
                <w:lang w:val="uk-UA"/>
              </w:rPr>
              <w:t>3,7</w:t>
            </w:r>
          </w:p>
        </w:tc>
        <w:tc>
          <w:tcPr>
            <w:tcW w:w="621" w:type="dxa"/>
            <w:shd w:val="clear" w:color="000000" w:fill="FFFFFF"/>
            <w:vAlign w:val="center"/>
            <w:hideMark/>
          </w:tcPr>
          <w:p w14:paraId="0896BA9D" w14:textId="77777777" w:rsidR="00F35751" w:rsidRPr="00C22C49" w:rsidRDefault="00F35751" w:rsidP="00F35751">
            <w:pPr>
              <w:pStyle w:val="Table"/>
              <w:rPr>
                <w:sz w:val="18"/>
                <w:szCs w:val="18"/>
                <w:lang w:val="uk-UA"/>
              </w:rPr>
            </w:pPr>
            <w:r w:rsidRPr="00C22C49">
              <w:rPr>
                <w:sz w:val="18"/>
                <w:szCs w:val="18"/>
                <w:lang w:val="uk-UA"/>
              </w:rPr>
              <w:t>3,8</w:t>
            </w:r>
          </w:p>
        </w:tc>
        <w:tc>
          <w:tcPr>
            <w:tcW w:w="621" w:type="dxa"/>
            <w:shd w:val="clear" w:color="000000" w:fill="FFFFFF"/>
            <w:vAlign w:val="center"/>
            <w:hideMark/>
          </w:tcPr>
          <w:p w14:paraId="0896BA9E" w14:textId="77777777" w:rsidR="00F35751" w:rsidRPr="00C22C49" w:rsidRDefault="00F35751" w:rsidP="00F35751">
            <w:pPr>
              <w:pStyle w:val="Table"/>
              <w:rPr>
                <w:sz w:val="18"/>
                <w:szCs w:val="18"/>
                <w:lang w:val="uk-UA"/>
              </w:rPr>
            </w:pPr>
            <w:r w:rsidRPr="00C22C49">
              <w:rPr>
                <w:sz w:val="18"/>
                <w:szCs w:val="18"/>
                <w:lang w:val="uk-UA"/>
              </w:rPr>
              <w:t>4,0</w:t>
            </w:r>
          </w:p>
        </w:tc>
        <w:tc>
          <w:tcPr>
            <w:tcW w:w="621" w:type="dxa"/>
            <w:shd w:val="clear" w:color="000000" w:fill="FFFFFF"/>
            <w:vAlign w:val="center"/>
            <w:hideMark/>
          </w:tcPr>
          <w:p w14:paraId="0896BA9F" w14:textId="77777777" w:rsidR="00F35751" w:rsidRPr="00C22C49" w:rsidRDefault="00F35751" w:rsidP="00F35751">
            <w:pPr>
              <w:pStyle w:val="Table"/>
              <w:rPr>
                <w:sz w:val="18"/>
                <w:szCs w:val="18"/>
                <w:lang w:val="uk-UA"/>
              </w:rPr>
            </w:pPr>
            <w:r w:rsidRPr="00C22C49">
              <w:rPr>
                <w:sz w:val="18"/>
                <w:szCs w:val="18"/>
                <w:lang w:val="uk-UA"/>
              </w:rPr>
              <w:t>4,1</w:t>
            </w:r>
          </w:p>
        </w:tc>
        <w:tc>
          <w:tcPr>
            <w:tcW w:w="621" w:type="dxa"/>
            <w:shd w:val="clear" w:color="000000" w:fill="FFFFFF"/>
            <w:vAlign w:val="center"/>
            <w:hideMark/>
          </w:tcPr>
          <w:p w14:paraId="0896BAA0" w14:textId="77777777" w:rsidR="00F35751" w:rsidRPr="00C22C49" w:rsidRDefault="00F35751" w:rsidP="00F35751">
            <w:pPr>
              <w:pStyle w:val="Table"/>
              <w:rPr>
                <w:sz w:val="18"/>
                <w:szCs w:val="18"/>
                <w:lang w:val="uk-UA"/>
              </w:rPr>
            </w:pPr>
            <w:r w:rsidRPr="00C22C49">
              <w:rPr>
                <w:sz w:val="18"/>
                <w:szCs w:val="18"/>
                <w:lang w:val="uk-UA"/>
              </w:rPr>
              <w:t>4,3</w:t>
            </w:r>
          </w:p>
        </w:tc>
        <w:tc>
          <w:tcPr>
            <w:tcW w:w="621" w:type="dxa"/>
            <w:shd w:val="clear" w:color="000000" w:fill="FFFFFF"/>
            <w:vAlign w:val="center"/>
            <w:hideMark/>
          </w:tcPr>
          <w:p w14:paraId="0896BAA1" w14:textId="77777777" w:rsidR="00F35751" w:rsidRPr="00C22C49" w:rsidRDefault="00F35751" w:rsidP="00F35751">
            <w:pPr>
              <w:pStyle w:val="Table"/>
              <w:rPr>
                <w:sz w:val="18"/>
                <w:szCs w:val="18"/>
                <w:lang w:val="uk-UA"/>
              </w:rPr>
            </w:pPr>
            <w:r w:rsidRPr="00C22C49">
              <w:rPr>
                <w:sz w:val="18"/>
                <w:szCs w:val="18"/>
                <w:lang w:val="uk-UA"/>
              </w:rPr>
              <w:t>4,4</w:t>
            </w:r>
          </w:p>
        </w:tc>
        <w:tc>
          <w:tcPr>
            <w:tcW w:w="621" w:type="dxa"/>
            <w:shd w:val="clear" w:color="000000" w:fill="FFFFFF"/>
            <w:vAlign w:val="center"/>
            <w:hideMark/>
          </w:tcPr>
          <w:p w14:paraId="0896BAA2" w14:textId="77777777" w:rsidR="00F35751" w:rsidRPr="00C22C49" w:rsidRDefault="00F35751" w:rsidP="00F35751">
            <w:pPr>
              <w:pStyle w:val="Table"/>
              <w:rPr>
                <w:sz w:val="18"/>
                <w:szCs w:val="18"/>
                <w:lang w:val="uk-UA"/>
              </w:rPr>
            </w:pPr>
            <w:r w:rsidRPr="00C22C49">
              <w:rPr>
                <w:sz w:val="18"/>
                <w:szCs w:val="18"/>
                <w:lang w:val="uk-UA"/>
              </w:rPr>
              <w:t>4,6</w:t>
            </w:r>
          </w:p>
        </w:tc>
        <w:tc>
          <w:tcPr>
            <w:tcW w:w="621" w:type="dxa"/>
            <w:shd w:val="clear" w:color="000000" w:fill="FFFFFF"/>
            <w:vAlign w:val="center"/>
            <w:hideMark/>
          </w:tcPr>
          <w:p w14:paraId="0896BAA3" w14:textId="77777777" w:rsidR="00F35751" w:rsidRPr="00C22C49" w:rsidRDefault="00F35751" w:rsidP="00F35751">
            <w:pPr>
              <w:pStyle w:val="Table"/>
              <w:rPr>
                <w:sz w:val="18"/>
                <w:szCs w:val="18"/>
                <w:lang w:val="uk-UA"/>
              </w:rPr>
            </w:pPr>
            <w:r w:rsidRPr="00C22C49">
              <w:rPr>
                <w:sz w:val="18"/>
                <w:szCs w:val="18"/>
                <w:lang w:val="uk-UA"/>
              </w:rPr>
              <w:t>4,7</w:t>
            </w:r>
          </w:p>
        </w:tc>
        <w:tc>
          <w:tcPr>
            <w:tcW w:w="621" w:type="dxa"/>
            <w:shd w:val="clear" w:color="000000" w:fill="FFFFFF"/>
            <w:vAlign w:val="center"/>
            <w:hideMark/>
          </w:tcPr>
          <w:p w14:paraId="0896BAA4" w14:textId="77777777" w:rsidR="00F35751" w:rsidRPr="00C22C49" w:rsidRDefault="00F35751" w:rsidP="00F35751">
            <w:pPr>
              <w:pStyle w:val="Table"/>
              <w:rPr>
                <w:sz w:val="18"/>
                <w:szCs w:val="18"/>
                <w:lang w:val="uk-UA"/>
              </w:rPr>
            </w:pPr>
            <w:r w:rsidRPr="00C22C49">
              <w:rPr>
                <w:sz w:val="18"/>
                <w:szCs w:val="18"/>
                <w:lang w:val="uk-UA"/>
              </w:rPr>
              <w:t>4,9</w:t>
            </w:r>
          </w:p>
        </w:tc>
        <w:tc>
          <w:tcPr>
            <w:tcW w:w="621" w:type="dxa"/>
            <w:shd w:val="clear" w:color="000000" w:fill="FFFFFF"/>
            <w:vAlign w:val="center"/>
            <w:hideMark/>
          </w:tcPr>
          <w:p w14:paraId="0896BAA5" w14:textId="77777777" w:rsidR="00F35751" w:rsidRPr="00C22C49" w:rsidRDefault="00F35751" w:rsidP="00F35751">
            <w:pPr>
              <w:pStyle w:val="Table"/>
              <w:rPr>
                <w:sz w:val="18"/>
                <w:szCs w:val="18"/>
                <w:lang w:val="uk-UA"/>
              </w:rPr>
            </w:pPr>
            <w:r w:rsidRPr="00C22C49">
              <w:rPr>
                <w:sz w:val="18"/>
                <w:szCs w:val="18"/>
                <w:lang w:val="uk-UA"/>
              </w:rPr>
              <w:t>5,0</w:t>
            </w:r>
          </w:p>
        </w:tc>
        <w:tc>
          <w:tcPr>
            <w:tcW w:w="621" w:type="dxa"/>
            <w:shd w:val="clear" w:color="000000" w:fill="FFFFFF"/>
            <w:vAlign w:val="center"/>
            <w:hideMark/>
          </w:tcPr>
          <w:p w14:paraId="0896BAA6" w14:textId="77777777" w:rsidR="00F35751" w:rsidRPr="00C22C49" w:rsidRDefault="00F35751" w:rsidP="00F35751">
            <w:pPr>
              <w:pStyle w:val="Table"/>
              <w:rPr>
                <w:sz w:val="18"/>
                <w:szCs w:val="18"/>
                <w:lang w:val="uk-UA"/>
              </w:rPr>
            </w:pPr>
            <w:r w:rsidRPr="00C22C49">
              <w:rPr>
                <w:sz w:val="18"/>
                <w:szCs w:val="18"/>
                <w:lang w:val="uk-UA"/>
              </w:rPr>
              <w:t>5,2</w:t>
            </w:r>
          </w:p>
        </w:tc>
        <w:tc>
          <w:tcPr>
            <w:tcW w:w="621" w:type="dxa"/>
            <w:shd w:val="clear" w:color="000000" w:fill="FFFFFF"/>
            <w:vAlign w:val="center"/>
            <w:hideMark/>
          </w:tcPr>
          <w:p w14:paraId="0896BAA7" w14:textId="77777777" w:rsidR="00F35751" w:rsidRPr="00C22C49" w:rsidRDefault="00F35751" w:rsidP="00F35751">
            <w:pPr>
              <w:pStyle w:val="Table"/>
              <w:rPr>
                <w:sz w:val="18"/>
                <w:szCs w:val="18"/>
                <w:lang w:val="uk-UA"/>
              </w:rPr>
            </w:pPr>
            <w:r w:rsidRPr="00C22C49">
              <w:rPr>
                <w:sz w:val="18"/>
                <w:szCs w:val="18"/>
                <w:lang w:val="uk-UA"/>
              </w:rPr>
              <w:t>5,4</w:t>
            </w:r>
          </w:p>
        </w:tc>
        <w:tc>
          <w:tcPr>
            <w:tcW w:w="621" w:type="dxa"/>
            <w:shd w:val="clear" w:color="000000" w:fill="FFFFFF"/>
            <w:vAlign w:val="center"/>
            <w:hideMark/>
          </w:tcPr>
          <w:p w14:paraId="0896BAA8" w14:textId="77777777" w:rsidR="00F35751" w:rsidRPr="00C22C49" w:rsidRDefault="00F35751" w:rsidP="00F35751">
            <w:pPr>
              <w:pStyle w:val="Table"/>
              <w:rPr>
                <w:sz w:val="18"/>
                <w:szCs w:val="18"/>
                <w:lang w:val="uk-UA"/>
              </w:rPr>
            </w:pPr>
            <w:r w:rsidRPr="00C22C49">
              <w:rPr>
                <w:sz w:val="18"/>
                <w:szCs w:val="18"/>
                <w:lang w:val="uk-UA"/>
              </w:rPr>
              <w:t>5,5</w:t>
            </w:r>
          </w:p>
        </w:tc>
      </w:tr>
      <w:tr w:rsidR="00F35751" w:rsidRPr="00C22C49" w14:paraId="0896BAB8" w14:textId="77777777" w:rsidTr="00602211">
        <w:trPr>
          <w:trHeight w:val="528"/>
          <w:jc w:val="center"/>
        </w:trPr>
        <w:tc>
          <w:tcPr>
            <w:tcW w:w="1526" w:type="dxa"/>
            <w:shd w:val="clear" w:color="000000" w:fill="FFFFFF"/>
            <w:vAlign w:val="center"/>
            <w:hideMark/>
          </w:tcPr>
          <w:p w14:paraId="0896BAAA" w14:textId="77777777" w:rsidR="00F35751" w:rsidRPr="00C22C49" w:rsidRDefault="00F35751" w:rsidP="00F35751">
            <w:pPr>
              <w:pStyle w:val="Table"/>
              <w:rPr>
                <w:b/>
                <w:bCs/>
                <w:sz w:val="18"/>
                <w:szCs w:val="18"/>
                <w:lang w:val="uk-UA"/>
              </w:rPr>
            </w:pPr>
            <w:r w:rsidRPr="00C22C49">
              <w:rPr>
                <w:b/>
                <w:bCs/>
                <w:sz w:val="18"/>
                <w:szCs w:val="18"/>
                <w:lang w:val="uk-UA"/>
              </w:rPr>
              <w:t>Динаміка, в % до 2022 р.</w:t>
            </w:r>
          </w:p>
        </w:tc>
        <w:tc>
          <w:tcPr>
            <w:tcW w:w="621" w:type="dxa"/>
            <w:shd w:val="clear" w:color="000000" w:fill="FFFFFF"/>
            <w:noWrap/>
            <w:vAlign w:val="bottom"/>
            <w:hideMark/>
          </w:tcPr>
          <w:p w14:paraId="0896BAAB" w14:textId="77777777" w:rsidR="00F35751" w:rsidRPr="00C22C49" w:rsidRDefault="00F35751" w:rsidP="00F35751">
            <w:pPr>
              <w:pStyle w:val="Table"/>
              <w:rPr>
                <w:sz w:val="18"/>
                <w:szCs w:val="18"/>
                <w:lang w:val="uk-UA"/>
              </w:rPr>
            </w:pPr>
            <w:r w:rsidRPr="00C22C49">
              <w:rPr>
                <w:sz w:val="18"/>
                <w:szCs w:val="18"/>
                <w:lang w:val="uk-UA"/>
              </w:rPr>
              <w:t>122,0</w:t>
            </w:r>
          </w:p>
        </w:tc>
        <w:tc>
          <w:tcPr>
            <w:tcW w:w="621" w:type="dxa"/>
            <w:shd w:val="clear" w:color="000000" w:fill="FFFFFF"/>
            <w:noWrap/>
            <w:vAlign w:val="bottom"/>
            <w:hideMark/>
          </w:tcPr>
          <w:p w14:paraId="0896BAAC" w14:textId="77777777" w:rsidR="00F35751" w:rsidRPr="00C22C49" w:rsidRDefault="00F35751" w:rsidP="00F35751">
            <w:pPr>
              <w:pStyle w:val="Table"/>
              <w:rPr>
                <w:sz w:val="18"/>
                <w:szCs w:val="18"/>
                <w:lang w:val="uk-UA"/>
              </w:rPr>
            </w:pPr>
            <w:r w:rsidRPr="00C22C49">
              <w:rPr>
                <w:sz w:val="18"/>
                <w:szCs w:val="18"/>
                <w:lang w:val="uk-UA"/>
              </w:rPr>
              <w:t>126,6</w:t>
            </w:r>
          </w:p>
        </w:tc>
        <w:tc>
          <w:tcPr>
            <w:tcW w:w="621" w:type="dxa"/>
            <w:shd w:val="clear" w:color="000000" w:fill="FFFFFF"/>
            <w:noWrap/>
            <w:vAlign w:val="bottom"/>
            <w:hideMark/>
          </w:tcPr>
          <w:p w14:paraId="0896BAAD" w14:textId="77777777" w:rsidR="00F35751" w:rsidRPr="00C22C49" w:rsidRDefault="00F35751" w:rsidP="00F35751">
            <w:pPr>
              <w:pStyle w:val="Table"/>
              <w:rPr>
                <w:sz w:val="18"/>
                <w:szCs w:val="18"/>
                <w:lang w:val="uk-UA"/>
              </w:rPr>
            </w:pPr>
            <w:r w:rsidRPr="00C22C49">
              <w:rPr>
                <w:sz w:val="18"/>
                <w:szCs w:val="18"/>
                <w:lang w:val="uk-UA"/>
              </w:rPr>
              <w:t>131,0</w:t>
            </w:r>
          </w:p>
        </w:tc>
        <w:tc>
          <w:tcPr>
            <w:tcW w:w="621" w:type="dxa"/>
            <w:shd w:val="clear" w:color="000000" w:fill="FFFFFF"/>
            <w:noWrap/>
            <w:vAlign w:val="bottom"/>
            <w:hideMark/>
          </w:tcPr>
          <w:p w14:paraId="0896BAAE" w14:textId="77777777" w:rsidR="00F35751" w:rsidRPr="00C22C49" w:rsidRDefault="00F35751" w:rsidP="00F35751">
            <w:pPr>
              <w:pStyle w:val="Table"/>
              <w:rPr>
                <w:sz w:val="18"/>
                <w:szCs w:val="18"/>
                <w:lang w:val="uk-UA"/>
              </w:rPr>
            </w:pPr>
            <w:r w:rsidRPr="00C22C49">
              <w:rPr>
                <w:sz w:val="18"/>
                <w:szCs w:val="18"/>
                <w:lang w:val="uk-UA"/>
              </w:rPr>
              <w:t>135,8</w:t>
            </w:r>
          </w:p>
        </w:tc>
        <w:tc>
          <w:tcPr>
            <w:tcW w:w="621" w:type="dxa"/>
            <w:shd w:val="clear" w:color="000000" w:fill="FFFFFF"/>
            <w:noWrap/>
            <w:vAlign w:val="bottom"/>
            <w:hideMark/>
          </w:tcPr>
          <w:p w14:paraId="0896BAAF" w14:textId="77777777" w:rsidR="00F35751" w:rsidRPr="00C22C49" w:rsidRDefault="00F35751" w:rsidP="00F35751">
            <w:pPr>
              <w:pStyle w:val="Table"/>
              <w:rPr>
                <w:sz w:val="18"/>
                <w:szCs w:val="18"/>
                <w:lang w:val="uk-UA"/>
              </w:rPr>
            </w:pPr>
            <w:r w:rsidRPr="00C22C49">
              <w:rPr>
                <w:sz w:val="18"/>
                <w:szCs w:val="18"/>
                <w:lang w:val="uk-UA"/>
              </w:rPr>
              <w:t>140,9</w:t>
            </w:r>
          </w:p>
        </w:tc>
        <w:tc>
          <w:tcPr>
            <w:tcW w:w="621" w:type="dxa"/>
            <w:shd w:val="clear" w:color="000000" w:fill="FFFFFF"/>
            <w:noWrap/>
            <w:vAlign w:val="bottom"/>
            <w:hideMark/>
          </w:tcPr>
          <w:p w14:paraId="0896BAB0" w14:textId="77777777" w:rsidR="00F35751" w:rsidRPr="00C22C49" w:rsidRDefault="00F35751" w:rsidP="00F35751">
            <w:pPr>
              <w:pStyle w:val="Table"/>
              <w:rPr>
                <w:sz w:val="18"/>
                <w:szCs w:val="18"/>
                <w:lang w:val="uk-UA"/>
              </w:rPr>
            </w:pPr>
            <w:r w:rsidRPr="00C22C49">
              <w:rPr>
                <w:sz w:val="18"/>
                <w:szCs w:val="18"/>
                <w:lang w:val="uk-UA"/>
              </w:rPr>
              <w:t>145,5</w:t>
            </w:r>
          </w:p>
        </w:tc>
        <w:tc>
          <w:tcPr>
            <w:tcW w:w="621" w:type="dxa"/>
            <w:shd w:val="clear" w:color="000000" w:fill="FFFFFF"/>
            <w:noWrap/>
            <w:vAlign w:val="bottom"/>
            <w:hideMark/>
          </w:tcPr>
          <w:p w14:paraId="0896BAB1" w14:textId="77777777" w:rsidR="00F35751" w:rsidRPr="00C22C49" w:rsidRDefault="00F35751" w:rsidP="00F35751">
            <w:pPr>
              <w:pStyle w:val="Table"/>
              <w:rPr>
                <w:sz w:val="18"/>
                <w:szCs w:val="18"/>
                <w:lang w:val="uk-UA"/>
              </w:rPr>
            </w:pPr>
            <w:r w:rsidRPr="00C22C49">
              <w:rPr>
                <w:sz w:val="18"/>
                <w:szCs w:val="18"/>
                <w:lang w:val="uk-UA"/>
              </w:rPr>
              <w:t>150,6</w:t>
            </w:r>
          </w:p>
        </w:tc>
        <w:tc>
          <w:tcPr>
            <w:tcW w:w="621" w:type="dxa"/>
            <w:shd w:val="clear" w:color="000000" w:fill="FFFFFF"/>
            <w:noWrap/>
            <w:vAlign w:val="bottom"/>
            <w:hideMark/>
          </w:tcPr>
          <w:p w14:paraId="0896BAB2" w14:textId="77777777" w:rsidR="00F35751" w:rsidRPr="00C22C49" w:rsidRDefault="00F35751" w:rsidP="00F35751">
            <w:pPr>
              <w:pStyle w:val="Table"/>
              <w:rPr>
                <w:sz w:val="18"/>
                <w:szCs w:val="18"/>
                <w:lang w:val="uk-UA"/>
              </w:rPr>
            </w:pPr>
            <w:r w:rsidRPr="00C22C49">
              <w:rPr>
                <w:sz w:val="18"/>
                <w:szCs w:val="18"/>
                <w:lang w:val="uk-UA"/>
              </w:rPr>
              <w:t>155,6</w:t>
            </w:r>
          </w:p>
        </w:tc>
        <w:tc>
          <w:tcPr>
            <w:tcW w:w="621" w:type="dxa"/>
            <w:shd w:val="clear" w:color="000000" w:fill="FFFFFF"/>
            <w:noWrap/>
            <w:vAlign w:val="bottom"/>
            <w:hideMark/>
          </w:tcPr>
          <w:p w14:paraId="0896BAB3" w14:textId="77777777" w:rsidR="00F35751" w:rsidRPr="00C22C49" w:rsidRDefault="00F35751" w:rsidP="00F35751">
            <w:pPr>
              <w:pStyle w:val="Table"/>
              <w:rPr>
                <w:sz w:val="18"/>
                <w:szCs w:val="18"/>
                <w:lang w:val="uk-UA"/>
              </w:rPr>
            </w:pPr>
            <w:r w:rsidRPr="00C22C49">
              <w:rPr>
                <w:sz w:val="18"/>
                <w:szCs w:val="18"/>
                <w:lang w:val="uk-UA"/>
              </w:rPr>
              <w:t>160,9</w:t>
            </w:r>
          </w:p>
        </w:tc>
        <w:tc>
          <w:tcPr>
            <w:tcW w:w="621" w:type="dxa"/>
            <w:shd w:val="clear" w:color="000000" w:fill="FFFFFF"/>
            <w:noWrap/>
            <w:vAlign w:val="bottom"/>
            <w:hideMark/>
          </w:tcPr>
          <w:p w14:paraId="0896BAB4" w14:textId="77777777" w:rsidR="00F35751" w:rsidRPr="00C22C49" w:rsidRDefault="00F35751" w:rsidP="00F35751">
            <w:pPr>
              <w:pStyle w:val="Table"/>
              <w:rPr>
                <w:sz w:val="18"/>
                <w:szCs w:val="18"/>
                <w:lang w:val="uk-UA"/>
              </w:rPr>
            </w:pPr>
            <w:r w:rsidRPr="00C22C49">
              <w:rPr>
                <w:sz w:val="18"/>
                <w:szCs w:val="18"/>
                <w:lang w:val="uk-UA"/>
              </w:rPr>
              <w:t>166,2</w:t>
            </w:r>
          </w:p>
        </w:tc>
        <w:tc>
          <w:tcPr>
            <w:tcW w:w="621" w:type="dxa"/>
            <w:shd w:val="clear" w:color="000000" w:fill="FFFFFF"/>
            <w:noWrap/>
            <w:vAlign w:val="bottom"/>
            <w:hideMark/>
          </w:tcPr>
          <w:p w14:paraId="0896BAB5" w14:textId="77777777" w:rsidR="00F35751" w:rsidRPr="00C22C49" w:rsidRDefault="00F35751" w:rsidP="00F35751">
            <w:pPr>
              <w:pStyle w:val="Table"/>
              <w:rPr>
                <w:sz w:val="18"/>
                <w:szCs w:val="18"/>
                <w:lang w:val="uk-UA"/>
              </w:rPr>
            </w:pPr>
            <w:r w:rsidRPr="00C22C49">
              <w:rPr>
                <w:sz w:val="18"/>
                <w:szCs w:val="18"/>
                <w:lang w:val="uk-UA"/>
              </w:rPr>
              <w:t>171,3</w:t>
            </w:r>
          </w:p>
        </w:tc>
        <w:tc>
          <w:tcPr>
            <w:tcW w:w="621" w:type="dxa"/>
            <w:shd w:val="clear" w:color="000000" w:fill="FFFFFF"/>
            <w:noWrap/>
            <w:vAlign w:val="bottom"/>
            <w:hideMark/>
          </w:tcPr>
          <w:p w14:paraId="0896BAB6" w14:textId="77777777" w:rsidR="00F35751" w:rsidRPr="00C22C49" w:rsidRDefault="00F35751" w:rsidP="00F35751">
            <w:pPr>
              <w:pStyle w:val="Table"/>
              <w:rPr>
                <w:sz w:val="18"/>
                <w:szCs w:val="18"/>
                <w:lang w:val="uk-UA"/>
              </w:rPr>
            </w:pPr>
            <w:r w:rsidRPr="00C22C49">
              <w:rPr>
                <w:sz w:val="18"/>
                <w:szCs w:val="18"/>
                <w:lang w:val="uk-UA"/>
              </w:rPr>
              <w:t>176,4</w:t>
            </w:r>
          </w:p>
        </w:tc>
        <w:tc>
          <w:tcPr>
            <w:tcW w:w="621" w:type="dxa"/>
            <w:shd w:val="clear" w:color="000000" w:fill="FFFFFF"/>
            <w:noWrap/>
            <w:vAlign w:val="bottom"/>
            <w:hideMark/>
          </w:tcPr>
          <w:p w14:paraId="0896BAB7" w14:textId="77777777" w:rsidR="00F35751" w:rsidRPr="00C22C49" w:rsidRDefault="00F35751" w:rsidP="00F35751">
            <w:pPr>
              <w:pStyle w:val="Table"/>
              <w:rPr>
                <w:sz w:val="18"/>
                <w:szCs w:val="18"/>
                <w:lang w:val="uk-UA"/>
              </w:rPr>
            </w:pPr>
            <w:r w:rsidRPr="00C22C49">
              <w:rPr>
                <w:sz w:val="18"/>
                <w:szCs w:val="18"/>
                <w:lang w:val="uk-UA"/>
              </w:rPr>
              <w:t>181,6</w:t>
            </w:r>
          </w:p>
        </w:tc>
      </w:tr>
    </w:tbl>
    <w:p w14:paraId="0896BABC" w14:textId="77777777" w:rsidR="008632C5" w:rsidRPr="00C22C49" w:rsidRDefault="008632C5" w:rsidP="008632C5"/>
    <w:p w14:paraId="0896BABD" w14:textId="77777777" w:rsidR="002B5FBE" w:rsidRPr="00C22C49" w:rsidRDefault="009E1FC8" w:rsidP="008632C5">
      <w:pPr>
        <w:pStyle w:val="Heading4boldRED"/>
        <w:rPr>
          <w:lang w:val="uk-UA"/>
        </w:rPr>
      </w:pPr>
      <w:r w:rsidRPr="00C22C49">
        <w:rPr>
          <w:lang w:val="uk-UA"/>
        </w:rPr>
        <w:t xml:space="preserve">Відходи на які поширюється розширена відповідальність виробника </w:t>
      </w:r>
    </w:p>
    <w:p w14:paraId="0896BABE" w14:textId="77777777" w:rsidR="005E4C42" w:rsidRPr="00C22C49" w:rsidRDefault="005E4C42" w:rsidP="005E4C42">
      <w:r w:rsidRPr="00C22C49">
        <w:t>Цей розділ містить інформацію про</w:t>
      </w:r>
      <w:r w:rsidR="00B34E44" w:rsidRPr="00C22C49">
        <w:t xml:space="preserve"> прогнози</w:t>
      </w:r>
      <w:r w:rsidRPr="00C22C49">
        <w:t xml:space="preserve"> утворення відходами від продукції, на яку поширюється розширена відповідальність виробника.</w:t>
      </w:r>
    </w:p>
    <w:p w14:paraId="0896BABF" w14:textId="77777777" w:rsidR="005E4C42" w:rsidRPr="00C22C49" w:rsidRDefault="0058773D" w:rsidP="00621A46">
      <w:pPr>
        <w:pStyle w:val="Heading5BOLDnumbered"/>
        <w:numPr>
          <w:ilvl w:val="0"/>
          <w:numId w:val="0"/>
        </w:numPr>
        <w:ind w:left="1287"/>
        <w:rPr>
          <w:rStyle w:val="affe"/>
          <w:iCs/>
          <w:lang w:val="uk-UA"/>
        </w:rPr>
      </w:pPr>
      <w:r w:rsidRPr="00C22C49">
        <w:rPr>
          <w:rStyle w:val="affe"/>
          <w:lang w:val="uk-UA"/>
        </w:rPr>
        <w:t xml:space="preserve">2.1.7.1. </w:t>
      </w:r>
      <w:r w:rsidR="005E4C42" w:rsidRPr="00C22C49">
        <w:rPr>
          <w:rStyle w:val="affe"/>
          <w:lang w:val="uk-UA"/>
        </w:rPr>
        <w:t>Відходи упаковки</w:t>
      </w:r>
    </w:p>
    <w:p w14:paraId="0896BAC0" w14:textId="7E908384" w:rsidR="009218A6" w:rsidRPr="00C22C49" w:rsidRDefault="009218A6" w:rsidP="009218A6">
      <w:pPr>
        <w:pStyle w:val="ad"/>
        <w:rPr>
          <w:sz w:val="32"/>
          <w:szCs w:val="24"/>
          <w:lang w:val="uk-UA"/>
        </w:rPr>
      </w:pPr>
      <w:bookmarkStart w:id="26" w:name="_Toc142262258"/>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11</w:t>
      </w:r>
      <w:r w:rsidR="005E0A06" w:rsidRPr="00C22C49">
        <w:rPr>
          <w:lang w:val="uk-UA"/>
        </w:rPr>
        <w:fldChar w:fldCharType="end"/>
      </w:r>
      <w:r w:rsidRPr="00C22C49">
        <w:rPr>
          <w:lang w:val="uk-UA"/>
        </w:rPr>
        <w:t xml:space="preserve">. </w:t>
      </w:r>
      <w:r w:rsidRPr="00C22C49">
        <w:rPr>
          <w:szCs w:val="28"/>
          <w:lang w:val="uk-UA" w:eastAsia="uk-UA"/>
        </w:rPr>
        <w:t>Прогноз утворення упаковки та відходів упаковки (млн. т/рік)</w:t>
      </w:r>
      <w:bookmarkEnd w:id="26"/>
    </w:p>
    <w:tbl>
      <w:tblPr>
        <w:tblW w:w="5038" w:type="pct"/>
        <w:jc w:val="center"/>
        <w:tblLook w:val="04A0" w:firstRow="1" w:lastRow="0" w:firstColumn="1" w:lastColumn="0" w:noHBand="0" w:noVBand="1"/>
      </w:tblPr>
      <w:tblGrid>
        <w:gridCol w:w="1295"/>
        <w:gridCol w:w="667"/>
        <w:gridCol w:w="666"/>
        <w:gridCol w:w="666"/>
        <w:gridCol w:w="666"/>
        <w:gridCol w:w="666"/>
        <w:gridCol w:w="666"/>
        <w:gridCol w:w="666"/>
        <w:gridCol w:w="666"/>
        <w:gridCol w:w="666"/>
        <w:gridCol w:w="666"/>
        <w:gridCol w:w="666"/>
        <w:gridCol w:w="666"/>
        <w:gridCol w:w="744"/>
      </w:tblGrid>
      <w:tr w:rsidR="009218A6" w:rsidRPr="00C22C49" w14:paraId="0896BACF"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6BAC1" w14:textId="77777777" w:rsidR="009218A6" w:rsidRPr="00C22C49" w:rsidRDefault="009218A6" w:rsidP="009218A6">
            <w:pPr>
              <w:pStyle w:val="Table"/>
              <w:rPr>
                <w:sz w:val="20"/>
                <w:szCs w:val="22"/>
                <w:lang w:val="uk-UA" w:eastAsia="uk-UA"/>
              </w:rPr>
            </w:pPr>
            <w:r w:rsidRPr="00C22C49">
              <w:rPr>
                <w:sz w:val="20"/>
                <w:szCs w:val="22"/>
                <w:lang w:val="uk-UA" w:eastAsia="uk-UA"/>
              </w:rPr>
              <w:t>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2"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3"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4"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5"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2026</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6"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2027</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7"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8"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2029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9"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2030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A"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2031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B"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2032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C"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2033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CD"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2034</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ACE" w14:textId="77777777" w:rsidR="009218A6" w:rsidRPr="00C22C49" w:rsidRDefault="009218A6" w:rsidP="009218A6">
            <w:pPr>
              <w:pStyle w:val="Table"/>
              <w:rPr>
                <w:b/>
                <w:bCs/>
                <w:sz w:val="20"/>
                <w:szCs w:val="22"/>
                <w:lang w:val="uk-UA" w:eastAsia="uk-UA"/>
              </w:rPr>
            </w:pPr>
            <w:r w:rsidRPr="00C22C49">
              <w:rPr>
                <w:b/>
                <w:bCs/>
                <w:sz w:val="20"/>
                <w:szCs w:val="22"/>
                <w:lang w:val="uk-UA" w:eastAsia="uk-UA"/>
              </w:rPr>
              <w:t>2035</w:t>
            </w:r>
          </w:p>
        </w:tc>
      </w:tr>
      <w:tr w:rsidR="009218A6" w:rsidRPr="00C22C49" w14:paraId="0896BADE"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0" w14:textId="77777777" w:rsidR="009218A6" w:rsidRPr="00C22C49" w:rsidRDefault="009218A6" w:rsidP="009218A6">
            <w:pPr>
              <w:pStyle w:val="Table"/>
              <w:rPr>
                <w:sz w:val="20"/>
                <w:szCs w:val="22"/>
                <w:lang w:val="uk-UA" w:eastAsia="uk-UA"/>
              </w:rPr>
            </w:pPr>
            <w:r w:rsidRPr="00C22C49">
              <w:rPr>
                <w:sz w:val="20"/>
                <w:szCs w:val="22"/>
                <w:lang w:val="uk-UA" w:eastAsia="uk-UA"/>
              </w:rPr>
              <w:t>Утворено, млн.т</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1" w14:textId="77777777" w:rsidR="009218A6" w:rsidRPr="00C22C49" w:rsidRDefault="009218A6" w:rsidP="009218A6">
            <w:pPr>
              <w:pStyle w:val="Table"/>
              <w:rPr>
                <w:sz w:val="20"/>
                <w:szCs w:val="22"/>
                <w:lang w:val="uk-UA" w:eastAsia="uk-UA"/>
              </w:rPr>
            </w:pPr>
            <w:r w:rsidRPr="00C22C49">
              <w:rPr>
                <w:sz w:val="20"/>
                <w:szCs w:val="22"/>
                <w:lang w:val="uk-UA" w:eastAsia="uk-UA"/>
              </w:rPr>
              <w:t>3,44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2" w14:textId="77777777" w:rsidR="009218A6" w:rsidRPr="00C22C49" w:rsidRDefault="009218A6" w:rsidP="009218A6">
            <w:pPr>
              <w:pStyle w:val="Table"/>
              <w:rPr>
                <w:sz w:val="20"/>
                <w:szCs w:val="22"/>
                <w:lang w:val="uk-UA" w:eastAsia="uk-UA"/>
              </w:rPr>
            </w:pPr>
            <w:r w:rsidRPr="00C22C49">
              <w:rPr>
                <w:sz w:val="20"/>
                <w:szCs w:val="22"/>
                <w:lang w:val="uk-UA" w:eastAsia="uk-UA"/>
              </w:rPr>
              <w:t>3,46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3" w14:textId="77777777" w:rsidR="009218A6" w:rsidRPr="00C22C49" w:rsidRDefault="009218A6" w:rsidP="009218A6">
            <w:pPr>
              <w:pStyle w:val="Table"/>
              <w:rPr>
                <w:sz w:val="20"/>
                <w:szCs w:val="22"/>
                <w:lang w:val="uk-UA" w:eastAsia="uk-UA"/>
              </w:rPr>
            </w:pPr>
            <w:r w:rsidRPr="00C22C49">
              <w:rPr>
                <w:sz w:val="20"/>
                <w:szCs w:val="22"/>
                <w:lang w:val="uk-UA" w:eastAsia="uk-UA"/>
              </w:rPr>
              <w:t>3,51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4" w14:textId="77777777" w:rsidR="009218A6" w:rsidRPr="00C22C49" w:rsidRDefault="009218A6" w:rsidP="009218A6">
            <w:pPr>
              <w:pStyle w:val="Table"/>
              <w:rPr>
                <w:sz w:val="20"/>
                <w:szCs w:val="22"/>
                <w:lang w:val="uk-UA" w:eastAsia="uk-UA"/>
              </w:rPr>
            </w:pPr>
            <w:r w:rsidRPr="00C22C49">
              <w:rPr>
                <w:sz w:val="20"/>
                <w:szCs w:val="22"/>
                <w:lang w:val="uk-UA" w:eastAsia="uk-UA"/>
              </w:rPr>
              <w:t>3,52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5" w14:textId="77777777" w:rsidR="009218A6" w:rsidRPr="00C22C49" w:rsidRDefault="009218A6" w:rsidP="009218A6">
            <w:pPr>
              <w:pStyle w:val="Table"/>
              <w:rPr>
                <w:sz w:val="20"/>
                <w:szCs w:val="22"/>
                <w:lang w:val="uk-UA" w:eastAsia="uk-UA"/>
              </w:rPr>
            </w:pPr>
            <w:r w:rsidRPr="00C22C49">
              <w:rPr>
                <w:sz w:val="20"/>
                <w:szCs w:val="22"/>
                <w:lang w:val="uk-UA" w:eastAsia="uk-UA"/>
              </w:rPr>
              <w:t>3,53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6" w14:textId="77777777" w:rsidR="009218A6" w:rsidRPr="00C22C49" w:rsidRDefault="009218A6" w:rsidP="009218A6">
            <w:pPr>
              <w:pStyle w:val="Table"/>
              <w:rPr>
                <w:sz w:val="20"/>
                <w:szCs w:val="22"/>
                <w:lang w:val="uk-UA" w:eastAsia="uk-UA"/>
              </w:rPr>
            </w:pPr>
            <w:r w:rsidRPr="00C22C49">
              <w:rPr>
                <w:sz w:val="20"/>
                <w:szCs w:val="22"/>
                <w:lang w:val="uk-UA" w:eastAsia="uk-UA"/>
              </w:rPr>
              <w:t>3,53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7" w14:textId="77777777" w:rsidR="009218A6" w:rsidRPr="00C22C49" w:rsidRDefault="009218A6" w:rsidP="009218A6">
            <w:pPr>
              <w:pStyle w:val="Table"/>
              <w:rPr>
                <w:sz w:val="20"/>
                <w:szCs w:val="22"/>
                <w:lang w:val="uk-UA" w:eastAsia="uk-UA"/>
              </w:rPr>
            </w:pPr>
            <w:r w:rsidRPr="00C22C49">
              <w:rPr>
                <w:sz w:val="20"/>
                <w:szCs w:val="22"/>
                <w:lang w:val="uk-UA" w:eastAsia="uk-UA"/>
              </w:rPr>
              <w:t>3,54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8" w14:textId="77777777" w:rsidR="009218A6" w:rsidRPr="00C22C49" w:rsidRDefault="009218A6" w:rsidP="009218A6">
            <w:pPr>
              <w:pStyle w:val="Table"/>
              <w:rPr>
                <w:sz w:val="20"/>
                <w:szCs w:val="22"/>
                <w:lang w:val="uk-UA" w:eastAsia="uk-UA"/>
              </w:rPr>
            </w:pPr>
            <w:r w:rsidRPr="00C22C49">
              <w:rPr>
                <w:sz w:val="20"/>
                <w:szCs w:val="22"/>
                <w:lang w:val="uk-UA" w:eastAsia="uk-UA"/>
              </w:rPr>
              <w:t>3,55</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9" w14:textId="77777777" w:rsidR="009218A6" w:rsidRPr="00C22C49" w:rsidRDefault="009218A6" w:rsidP="009218A6">
            <w:pPr>
              <w:pStyle w:val="Table"/>
              <w:rPr>
                <w:sz w:val="20"/>
                <w:szCs w:val="22"/>
                <w:lang w:val="uk-UA" w:eastAsia="uk-UA"/>
              </w:rPr>
            </w:pPr>
            <w:r w:rsidRPr="00C22C49">
              <w:rPr>
                <w:sz w:val="20"/>
                <w:szCs w:val="22"/>
                <w:lang w:val="uk-UA" w:eastAsia="uk-UA"/>
              </w:rPr>
              <w:t>3,56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A" w14:textId="77777777" w:rsidR="009218A6" w:rsidRPr="00C22C49" w:rsidRDefault="009218A6" w:rsidP="009218A6">
            <w:pPr>
              <w:pStyle w:val="Table"/>
              <w:rPr>
                <w:sz w:val="20"/>
                <w:szCs w:val="22"/>
                <w:lang w:val="uk-UA" w:eastAsia="uk-UA"/>
              </w:rPr>
            </w:pPr>
            <w:r w:rsidRPr="00C22C49">
              <w:rPr>
                <w:sz w:val="20"/>
                <w:szCs w:val="22"/>
                <w:lang w:val="uk-UA" w:eastAsia="uk-UA"/>
              </w:rPr>
              <w:t>3,56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B" w14:textId="77777777" w:rsidR="009218A6" w:rsidRPr="00C22C49" w:rsidRDefault="009218A6" w:rsidP="009218A6">
            <w:pPr>
              <w:pStyle w:val="Table"/>
              <w:rPr>
                <w:sz w:val="20"/>
                <w:szCs w:val="22"/>
                <w:lang w:val="uk-UA" w:eastAsia="uk-UA"/>
              </w:rPr>
            </w:pPr>
            <w:r w:rsidRPr="00C22C49">
              <w:rPr>
                <w:sz w:val="20"/>
                <w:szCs w:val="22"/>
                <w:lang w:val="uk-UA" w:eastAsia="uk-UA"/>
              </w:rPr>
              <w:t>3,57</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C" w14:textId="77777777" w:rsidR="009218A6" w:rsidRPr="00C22C49" w:rsidRDefault="009218A6" w:rsidP="009218A6">
            <w:pPr>
              <w:pStyle w:val="Table"/>
              <w:rPr>
                <w:sz w:val="20"/>
                <w:szCs w:val="22"/>
                <w:lang w:val="uk-UA" w:eastAsia="uk-UA"/>
              </w:rPr>
            </w:pPr>
            <w:r w:rsidRPr="00C22C49">
              <w:rPr>
                <w:sz w:val="20"/>
                <w:szCs w:val="22"/>
                <w:lang w:val="uk-UA" w:eastAsia="uk-UA"/>
              </w:rPr>
              <w:t>3,58</w:t>
            </w:r>
          </w:p>
        </w:tc>
        <w:tc>
          <w:tcPr>
            <w:tcW w:w="37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D" w14:textId="77777777" w:rsidR="009218A6" w:rsidRPr="00C22C49" w:rsidRDefault="009218A6" w:rsidP="009218A6">
            <w:pPr>
              <w:pStyle w:val="Table"/>
              <w:rPr>
                <w:sz w:val="20"/>
                <w:szCs w:val="22"/>
                <w:lang w:val="uk-UA" w:eastAsia="uk-UA"/>
              </w:rPr>
            </w:pPr>
            <w:r w:rsidRPr="00C22C49">
              <w:rPr>
                <w:sz w:val="20"/>
                <w:szCs w:val="22"/>
                <w:lang w:val="uk-UA" w:eastAsia="uk-UA"/>
              </w:rPr>
              <w:t>3,59</w:t>
            </w:r>
          </w:p>
        </w:tc>
      </w:tr>
      <w:tr w:rsidR="009218A6" w:rsidRPr="00C22C49" w14:paraId="0896BAE0" w14:textId="77777777" w:rsidTr="00274CD9">
        <w:trPr>
          <w:trHeight w:val="288"/>
          <w:jc w:val="center"/>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DF" w14:textId="77777777" w:rsidR="009218A6" w:rsidRPr="00C22C49" w:rsidRDefault="009218A6" w:rsidP="009218A6">
            <w:pPr>
              <w:pStyle w:val="Table"/>
              <w:rPr>
                <w:sz w:val="20"/>
                <w:szCs w:val="22"/>
                <w:lang w:val="uk-UA" w:eastAsia="uk-UA"/>
              </w:rPr>
            </w:pPr>
            <w:r w:rsidRPr="00C22C49">
              <w:rPr>
                <w:sz w:val="20"/>
                <w:szCs w:val="22"/>
                <w:lang w:val="uk-UA" w:eastAsia="uk-UA"/>
              </w:rPr>
              <w:t>в тому числі:</w:t>
            </w:r>
          </w:p>
        </w:tc>
      </w:tr>
      <w:tr w:rsidR="009218A6" w:rsidRPr="00C22C49" w14:paraId="0896BAEF"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E1" w14:textId="77777777" w:rsidR="009218A6" w:rsidRPr="00C22C49" w:rsidRDefault="009218A6" w:rsidP="009218A6">
            <w:pPr>
              <w:pStyle w:val="Table"/>
              <w:rPr>
                <w:sz w:val="20"/>
                <w:szCs w:val="22"/>
                <w:lang w:val="uk-UA" w:eastAsia="uk-UA"/>
              </w:rPr>
            </w:pPr>
            <w:r w:rsidRPr="00C22C49">
              <w:rPr>
                <w:sz w:val="20"/>
                <w:szCs w:val="22"/>
                <w:lang w:val="uk-UA" w:eastAsia="uk-UA"/>
              </w:rPr>
              <w:t>папір,  картон</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2" w14:textId="77777777" w:rsidR="009218A6" w:rsidRPr="00C22C49" w:rsidRDefault="009218A6" w:rsidP="009218A6">
            <w:pPr>
              <w:pStyle w:val="Table"/>
              <w:rPr>
                <w:sz w:val="20"/>
                <w:szCs w:val="22"/>
                <w:lang w:val="uk-UA" w:eastAsia="uk-UA"/>
              </w:rPr>
            </w:pPr>
            <w:r w:rsidRPr="00C22C49">
              <w:rPr>
                <w:sz w:val="20"/>
                <w:szCs w:val="22"/>
                <w:lang w:val="uk-UA" w:eastAsia="uk-UA"/>
              </w:rPr>
              <w:t>1,05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3" w14:textId="77777777" w:rsidR="009218A6" w:rsidRPr="00C22C49" w:rsidRDefault="009218A6" w:rsidP="009218A6">
            <w:pPr>
              <w:pStyle w:val="Table"/>
              <w:rPr>
                <w:sz w:val="20"/>
                <w:szCs w:val="22"/>
                <w:lang w:val="uk-UA" w:eastAsia="uk-UA"/>
              </w:rPr>
            </w:pPr>
            <w:r w:rsidRPr="00C22C49">
              <w:rPr>
                <w:sz w:val="20"/>
                <w:szCs w:val="22"/>
                <w:lang w:val="uk-UA" w:eastAsia="uk-UA"/>
              </w:rPr>
              <w:t>1,05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4" w14:textId="77777777" w:rsidR="009218A6" w:rsidRPr="00C22C49" w:rsidRDefault="009218A6" w:rsidP="009218A6">
            <w:pPr>
              <w:pStyle w:val="Table"/>
              <w:rPr>
                <w:sz w:val="20"/>
                <w:szCs w:val="22"/>
                <w:lang w:val="uk-UA" w:eastAsia="uk-UA"/>
              </w:rPr>
            </w:pPr>
            <w:r w:rsidRPr="00C22C49">
              <w:rPr>
                <w:sz w:val="20"/>
                <w:szCs w:val="22"/>
                <w:lang w:val="uk-UA" w:eastAsia="uk-UA"/>
              </w:rPr>
              <w:t>1,08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5" w14:textId="77777777" w:rsidR="009218A6" w:rsidRPr="00C22C49" w:rsidRDefault="009218A6" w:rsidP="009218A6">
            <w:pPr>
              <w:pStyle w:val="Table"/>
              <w:rPr>
                <w:sz w:val="20"/>
                <w:szCs w:val="22"/>
                <w:lang w:val="uk-UA" w:eastAsia="uk-UA"/>
              </w:rPr>
            </w:pPr>
            <w:r w:rsidRPr="00C22C49">
              <w:rPr>
                <w:sz w:val="20"/>
                <w:szCs w:val="22"/>
                <w:lang w:val="uk-UA" w:eastAsia="uk-UA"/>
              </w:rPr>
              <w:t>1,08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6" w14:textId="77777777" w:rsidR="009218A6" w:rsidRPr="00C22C49" w:rsidRDefault="009218A6" w:rsidP="009218A6">
            <w:pPr>
              <w:pStyle w:val="Table"/>
              <w:rPr>
                <w:sz w:val="20"/>
                <w:szCs w:val="22"/>
                <w:lang w:val="uk-UA" w:eastAsia="uk-UA"/>
              </w:rPr>
            </w:pPr>
            <w:r w:rsidRPr="00C22C49">
              <w:rPr>
                <w:sz w:val="20"/>
                <w:szCs w:val="22"/>
                <w:lang w:val="uk-UA" w:eastAsia="uk-UA"/>
              </w:rPr>
              <w:t>1,09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7" w14:textId="77777777" w:rsidR="009218A6" w:rsidRPr="00C22C49" w:rsidRDefault="009218A6" w:rsidP="009218A6">
            <w:pPr>
              <w:pStyle w:val="Table"/>
              <w:rPr>
                <w:sz w:val="20"/>
                <w:szCs w:val="22"/>
                <w:lang w:val="uk-UA" w:eastAsia="uk-UA"/>
              </w:rPr>
            </w:pPr>
            <w:r w:rsidRPr="00C22C49">
              <w:rPr>
                <w:sz w:val="20"/>
                <w:szCs w:val="22"/>
                <w:lang w:val="uk-UA" w:eastAsia="uk-UA"/>
              </w:rPr>
              <w:t>1,09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8" w14:textId="77777777" w:rsidR="009218A6" w:rsidRPr="00C22C49" w:rsidRDefault="009218A6" w:rsidP="009218A6">
            <w:pPr>
              <w:pStyle w:val="Table"/>
              <w:rPr>
                <w:sz w:val="20"/>
                <w:szCs w:val="22"/>
                <w:lang w:val="uk-UA" w:eastAsia="uk-UA"/>
              </w:rPr>
            </w:pPr>
            <w:r w:rsidRPr="00C22C49">
              <w:rPr>
                <w:sz w:val="20"/>
                <w:szCs w:val="22"/>
                <w:lang w:val="uk-UA" w:eastAsia="uk-UA"/>
              </w:rPr>
              <w:t>1,09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9" w14:textId="77777777" w:rsidR="009218A6" w:rsidRPr="00C22C49" w:rsidRDefault="009218A6" w:rsidP="009218A6">
            <w:pPr>
              <w:pStyle w:val="Table"/>
              <w:rPr>
                <w:sz w:val="20"/>
                <w:szCs w:val="22"/>
                <w:lang w:val="uk-UA" w:eastAsia="uk-UA"/>
              </w:rPr>
            </w:pPr>
            <w:r w:rsidRPr="00C22C49">
              <w:rPr>
                <w:sz w:val="20"/>
                <w:szCs w:val="22"/>
                <w:lang w:val="uk-UA" w:eastAsia="uk-UA"/>
              </w:rPr>
              <w:t>1,09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A" w14:textId="77777777" w:rsidR="009218A6" w:rsidRPr="00C22C49" w:rsidRDefault="009218A6" w:rsidP="009218A6">
            <w:pPr>
              <w:pStyle w:val="Table"/>
              <w:rPr>
                <w:sz w:val="20"/>
                <w:szCs w:val="22"/>
                <w:lang w:val="uk-UA" w:eastAsia="uk-UA"/>
              </w:rPr>
            </w:pPr>
            <w:r w:rsidRPr="00C22C49">
              <w:rPr>
                <w:sz w:val="20"/>
                <w:szCs w:val="22"/>
                <w:lang w:val="uk-UA" w:eastAsia="uk-UA"/>
              </w:rPr>
              <w:t>1,10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B" w14:textId="77777777" w:rsidR="009218A6" w:rsidRPr="00C22C49" w:rsidRDefault="009218A6" w:rsidP="009218A6">
            <w:pPr>
              <w:pStyle w:val="Table"/>
              <w:rPr>
                <w:sz w:val="20"/>
                <w:szCs w:val="22"/>
                <w:lang w:val="uk-UA" w:eastAsia="uk-UA"/>
              </w:rPr>
            </w:pPr>
            <w:r w:rsidRPr="00C22C49">
              <w:rPr>
                <w:sz w:val="20"/>
                <w:szCs w:val="22"/>
                <w:lang w:val="uk-UA" w:eastAsia="uk-UA"/>
              </w:rPr>
              <w:t>1,10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C" w14:textId="77777777" w:rsidR="009218A6" w:rsidRPr="00C22C49" w:rsidRDefault="009218A6" w:rsidP="009218A6">
            <w:pPr>
              <w:pStyle w:val="Table"/>
              <w:rPr>
                <w:sz w:val="20"/>
                <w:szCs w:val="22"/>
                <w:lang w:val="uk-UA" w:eastAsia="uk-UA"/>
              </w:rPr>
            </w:pPr>
            <w:r w:rsidRPr="00C22C49">
              <w:rPr>
                <w:sz w:val="20"/>
                <w:szCs w:val="22"/>
                <w:lang w:val="uk-UA" w:eastAsia="uk-UA"/>
              </w:rPr>
              <w:t>1,10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ED" w14:textId="77777777" w:rsidR="009218A6" w:rsidRPr="00C22C49" w:rsidRDefault="009218A6" w:rsidP="009218A6">
            <w:pPr>
              <w:pStyle w:val="Table"/>
              <w:rPr>
                <w:sz w:val="20"/>
                <w:szCs w:val="22"/>
                <w:lang w:val="uk-UA" w:eastAsia="uk-UA"/>
              </w:rPr>
            </w:pPr>
            <w:r w:rsidRPr="00C22C49">
              <w:rPr>
                <w:sz w:val="20"/>
                <w:szCs w:val="22"/>
                <w:lang w:val="uk-UA" w:eastAsia="uk-UA"/>
              </w:rPr>
              <w:t>1,10</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AEE" w14:textId="77777777" w:rsidR="009218A6" w:rsidRPr="00C22C49" w:rsidRDefault="009218A6" w:rsidP="009218A6">
            <w:pPr>
              <w:pStyle w:val="Table"/>
              <w:rPr>
                <w:sz w:val="20"/>
                <w:szCs w:val="22"/>
                <w:lang w:val="uk-UA" w:eastAsia="uk-UA"/>
              </w:rPr>
            </w:pPr>
            <w:r w:rsidRPr="00C22C49">
              <w:rPr>
                <w:sz w:val="20"/>
                <w:szCs w:val="22"/>
                <w:lang w:val="uk-UA" w:eastAsia="uk-UA"/>
              </w:rPr>
              <w:t>1,11</w:t>
            </w:r>
          </w:p>
        </w:tc>
      </w:tr>
      <w:tr w:rsidR="009218A6" w:rsidRPr="00C22C49" w14:paraId="0896BAFE"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F0" w14:textId="77777777" w:rsidR="009218A6" w:rsidRPr="00C22C49" w:rsidRDefault="009218A6" w:rsidP="009218A6">
            <w:pPr>
              <w:pStyle w:val="Table"/>
              <w:rPr>
                <w:sz w:val="20"/>
                <w:szCs w:val="22"/>
                <w:lang w:val="uk-UA" w:eastAsia="uk-UA"/>
              </w:rPr>
            </w:pPr>
            <w:r w:rsidRPr="00C22C49">
              <w:rPr>
                <w:sz w:val="20"/>
                <w:szCs w:val="22"/>
                <w:lang w:val="uk-UA" w:eastAsia="uk-UA"/>
              </w:rPr>
              <w:t>скло</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1" w14:textId="77777777" w:rsidR="009218A6" w:rsidRPr="00C22C49" w:rsidRDefault="009218A6" w:rsidP="009218A6">
            <w:pPr>
              <w:pStyle w:val="Table"/>
              <w:rPr>
                <w:sz w:val="20"/>
                <w:szCs w:val="22"/>
                <w:lang w:val="uk-UA" w:eastAsia="uk-UA"/>
              </w:rPr>
            </w:pPr>
            <w:r w:rsidRPr="00C22C49">
              <w:rPr>
                <w:sz w:val="20"/>
                <w:szCs w:val="22"/>
                <w:lang w:val="uk-UA" w:eastAsia="uk-UA"/>
              </w:rPr>
              <w:t>1,20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2" w14:textId="77777777" w:rsidR="009218A6" w:rsidRPr="00C22C49" w:rsidRDefault="009218A6" w:rsidP="009218A6">
            <w:pPr>
              <w:pStyle w:val="Table"/>
              <w:rPr>
                <w:sz w:val="20"/>
                <w:szCs w:val="22"/>
                <w:lang w:val="uk-UA" w:eastAsia="uk-UA"/>
              </w:rPr>
            </w:pPr>
            <w:r w:rsidRPr="00C22C49">
              <w:rPr>
                <w:sz w:val="20"/>
                <w:szCs w:val="22"/>
                <w:lang w:val="uk-UA" w:eastAsia="uk-UA"/>
              </w:rPr>
              <w:t>1,21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3" w14:textId="77777777" w:rsidR="009218A6" w:rsidRPr="00C22C49" w:rsidRDefault="009218A6" w:rsidP="009218A6">
            <w:pPr>
              <w:pStyle w:val="Table"/>
              <w:rPr>
                <w:sz w:val="20"/>
                <w:szCs w:val="22"/>
                <w:lang w:val="uk-UA" w:eastAsia="uk-UA"/>
              </w:rPr>
            </w:pPr>
            <w:r w:rsidRPr="00C22C49">
              <w:rPr>
                <w:sz w:val="20"/>
                <w:szCs w:val="22"/>
                <w:lang w:val="uk-UA" w:eastAsia="uk-UA"/>
              </w:rPr>
              <w:t>1,21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4" w14:textId="77777777" w:rsidR="009218A6" w:rsidRPr="00C22C49" w:rsidRDefault="009218A6" w:rsidP="009218A6">
            <w:pPr>
              <w:pStyle w:val="Table"/>
              <w:rPr>
                <w:sz w:val="20"/>
                <w:szCs w:val="22"/>
                <w:lang w:val="uk-UA" w:eastAsia="uk-UA"/>
              </w:rPr>
            </w:pPr>
            <w:r w:rsidRPr="00C22C49">
              <w:rPr>
                <w:sz w:val="20"/>
                <w:szCs w:val="22"/>
                <w:lang w:val="uk-UA" w:eastAsia="uk-UA"/>
              </w:rPr>
              <w:t>1,21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5" w14:textId="77777777" w:rsidR="009218A6" w:rsidRPr="00C22C49" w:rsidRDefault="009218A6" w:rsidP="009218A6">
            <w:pPr>
              <w:pStyle w:val="Table"/>
              <w:rPr>
                <w:sz w:val="20"/>
                <w:szCs w:val="22"/>
                <w:lang w:val="uk-UA" w:eastAsia="uk-UA"/>
              </w:rPr>
            </w:pPr>
            <w:r w:rsidRPr="00C22C49">
              <w:rPr>
                <w:sz w:val="20"/>
                <w:szCs w:val="22"/>
                <w:lang w:val="uk-UA" w:eastAsia="uk-UA"/>
              </w:rPr>
              <w:t>1,21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6" w14:textId="77777777" w:rsidR="009218A6" w:rsidRPr="00C22C49" w:rsidRDefault="009218A6" w:rsidP="009218A6">
            <w:pPr>
              <w:pStyle w:val="Table"/>
              <w:rPr>
                <w:sz w:val="20"/>
                <w:szCs w:val="22"/>
                <w:lang w:val="uk-UA" w:eastAsia="uk-UA"/>
              </w:rPr>
            </w:pPr>
            <w:r w:rsidRPr="00C22C49">
              <w:rPr>
                <w:sz w:val="20"/>
                <w:szCs w:val="22"/>
                <w:lang w:val="uk-UA" w:eastAsia="uk-UA"/>
              </w:rPr>
              <w:t>1,21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7" w14:textId="77777777" w:rsidR="009218A6" w:rsidRPr="00C22C49" w:rsidRDefault="009218A6" w:rsidP="009218A6">
            <w:pPr>
              <w:pStyle w:val="Table"/>
              <w:rPr>
                <w:sz w:val="20"/>
                <w:szCs w:val="22"/>
                <w:lang w:val="uk-UA" w:eastAsia="uk-UA"/>
              </w:rPr>
            </w:pPr>
            <w:r w:rsidRPr="00C22C49">
              <w:rPr>
                <w:sz w:val="20"/>
                <w:szCs w:val="22"/>
                <w:lang w:val="uk-UA" w:eastAsia="uk-UA"/>
              </w:rPr>
              <w:t>1,22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8" w14:textId="77777777" w:rsidR="009218A6" w:rsidRPr="00C22C49" w:rsidRDefault="009218A6" w:rsidP="009218A6">
            <w:pPr>
              <w:pStyle w:val="Table"/>
              <w:rPr>
                <w:sz w:val="20"/>
                <w:szCs w:val="22"/>
                <w:lang w:val="uk-UA" w:eastAsia="uk-UA"/>
              </w:rPr>
            </w:pPr>
            <w:r w:rsidRPr="00C22C49">
              <w:rPr>
                <w:sz w:val="20"/>
                <w:szCs w:val="22"/>
                <w:lang w:val="uk-UA" w:eastAsia="uk-UA"/>
              </w:rPr>
              <w:t>1,22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9" w14:textId="77777777" w:rsidR="009218A6" w:rsidRPr="00C22C49" w:rsidRDefault="009218A6" w:rsidP="009218A6">
            <w:pPr>
              <w:pStyle w:val="Table"/>
              <w:rPr>
                <w:sz w:val="20"/>
                <w:szCs w:val="22"/>
                <w:lang w:val="uk-UA" w:eastAsia="uk-UA"/>
              </w:rPr>
            </w:pPr>
            <w:r w:rsidRPr="00C22C49">
              <w:rPr>
                <w:sz w:val="20"/>
                <w:szCs w:val="22"/>
                <w:lang w:val="uk-UA" w:eastAsia="uk-UA"/>
              </w:rPr>
              <w:t>1,22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A" w14:textId="77777777" w:rsidR="009218A6" w:rsidRPr="00C22C49" w:rsidRDefault="009218A6" w:rsidP="009218A6">
            <w:pPr>
              <w:pStyle w:val="Table"/>
              <w:rPr>
                <w:sz w:val="20"/>
                <w:szCs w:val="22"/>
                <w:lang w:val="uk-UA" w:eastAsia="uk-UA"/>
              </w:rPr>
            </w:pPr>
            <w:r w:rsidRPr="00C22C49">
              <w:rPr>
                <w:sz w:val="20"/>
                <w:szCs w:val="22"/>
                <w:lang w:val="uk-UA" w:eastAsia="uk-UA"/>
              </w:rPr>
              <w:t>1,22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B" w14:textId="77777777" w:rsidR="009218A6" w:rsidRPr="00C22C49" w:rsidRDefault="009218A6" w:rsidP="009218A6">
            <w:pPr>
              <w:pStyle w:val="Table"/>
              <w:rPr>
                <w:sz w:val="20"/>
                <w:szCs w:val="22"/>
                <w:lang w:val="uk-UA" w:eastAsia="uk-UA"/>
              </w:rPr>
            </w:pPr>
            <w:r w:rsidRPr="00C22C49">
              <w:rPr>
                <w:sz w:val="20"/>
                <w:szCs w:val="22"/>
                <w:lang w:val="uk-UA" w:eastAsia="uk-UA"/>
              </w:rPr>
              <w:t>1,23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AFC" w14:textId="77777777" w:rsidR="009218A6" w:rsidRPr="00C22C49" w:rsidRDefault="009218A6" w:rsidP="009218A6">
            <w:pPr>
              <w:pStyle w:val="Table"/>
              <w:rPr>
                <w:sz w:val="20"/>
                <w:szCs w:val="22"/>
                <w:lang w:val="uk-UA" w:eastAsia="uk-UA"/>
              </w:rPr>
            </w:pPr>
            <w:r w:rsidRPr="00C22C49">
              <w:rPr>
                <w:sz w:val="20"/>
                <w:szCs w:val="22"/>
                <w:lang w:val="uk-UA" w:eastAsia="uk-UA"/>
              </w:rPr>
              <w:t>1,23</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AFD" w14:textId="77777777" w:rsidR="009218A6" w:rsidRPr="00C22C49" w:rsidRDefault="009218A6" w:rsidP="009218A6">
            <w:pPr>
              <w:pStyle w:val="Table"/>
              <w:rPr>
                <w:sz w:val="20"/>
                <w:szCs w:val="22"/>
                <w:lang w:val="uk-UA" w:eastAsia="uk-UA"/>
              </w:rPr>
            </w:pPr>
            <w:r w:rsidRPr="00C22C49">
              <w:rPr>
                <w:sz w:val="20"/>
                <w:szCs w:val="22"/>
                <w:lang w:val="uk-UA" w:eastAsia="uk-UA"/>
              </w:rPr>
              <w:t>1,23</w:t>
            </w:r>
          </w:p>
        </w:tc>
      </w:tr>
      <w:tr w:rsidR="009218A6" w:rsidRPr="00C22C49" w14:paraId="0896BB0D"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AFF" w14:textId="77777777" w:rsidR="009218A6" w:rsidRPr="00C22C49" w:rsidRDefault="009218A6" w:rsidP="009218A6">
            <w:pPr>
              <w:pStyle w:val="Table"/>
              <w:rPr>
                <w:sz w:val="20"/>
                <w:szCs w:val="22"/>
                <w:lang w:val="uk-UA" w:eastAsia="uk-UA"/>
              </w:rPr>
            </w:pPr>
            <w:r w:rsidRPr="00C22C49">
              <w:rPr>
                <w:sz w:val="20"/>
                <w:szCs w:val="22"/>
                <w:lang w:val="uk-UA" w:eastAsia="uk-UA"/>
              </w:rPr>
              <w:t>ПЕТ</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0" w14:textId="77777777" w:rsidR="009218A6" w:rsidRPr="00C22C49" w:rsidRDefault="009218A6" w:rsidP="009218A6">
            <w:pPr>
              <w:pStyle w:val="Table"/>
              <w:rPr>
                <w:sz w:val="20"/>
                <w:szCs w:val="22"/>
                <w:lang w:val="uk-UA" w:eastAsia="uk-UA"/>
              </w:rPr>
            </w:pPr>
            <w:r w:rsidRPr="00C22C49">
              <w:rPr>
                <w:sz w:val="20"/>
                <w:szCs w:val="22"/>
                <w:lang w:val="uk-UA" w:eastAsia="uk-UA"/>
              </w:rPr>
              <w:t>0,37</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1" w14:textId="77777777" w:rsidR="009218A6" w:rsidRPr="00C22C49" w:rsidRDefault="009218A6" w:rsidP="009218A6">
            <w:pPr>
              <w:pStyle w:val="Table"/>
              <w:rPr>
                <w:sz w:val="20"/>
                <w:szCs w:val="22"/>
                <w:lang w:val="uk-UA" w:eastAsia="uk-UA"/>
              </w:rPr>
            </w:pPr>
            <w:r w:rsidRPr="00C22C49">
              <w:rPr>
                <w:sz w:val="20"/>
                <w:szCs w:val="22"/>
                <w:lang w:val="uk-UA" w:eastAsia="uk-UA"/>
              </w:rPr>
              <w:t>0,38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2" w14:textId="77777777" w:rsidR="009218A6" w:rsidRPr="00C22C49" w:rsidRDefault="009218A6" w:rsidP="009218A6">
            <w:pPr>
              <w:pStyle w:val="Table"/>
              <w:rPr>
                <w:sz w:val="20"/>
                <w:szCs w:val="22"/>
                <w:lang w:val="uk-UA" w:eastAsia="uk-UA"/>
              </w:rPr>
            </w:pPr>
            <w:r w:rsidRPr="00C22C49">
              <w:rPr>
                <w:sz w:val="20"/>
                <w:szCs w:val="22"/>
                <w:lang w:val="uk-UA" w:eastAsia="uk-UA"/>
              </w:rPr>
              <w:t>0,39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3" w14:textId="77777777" w:rsidR="009218A6" w:rsidRPr="00C22C49" w:rsidRDefault="009218A6" w:rsidP="009218A6">
            <w:pPr>
              <w:pStyle w:val="Table"/>
              <w:rPr>
                <w:sz w:val="20"/>
                <w:szCs w:val="22"/>
                <w:lang w:val="uk-UA" w:eastAsia="uk-UA"/>
              </w:rPr>
            </w:pPr>
            <w:r w:rsidRPr="00C22C49">
              <w:rPr>
                <w:sz w:val="20"/>
                <w:szCs w:val="22"/>
                <w:lang w:val="uk-UA" w:eastAsia="uk-UA"/>
              </w:rPr>
              <w:t>0,39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4" w14:textId="77777777" w:rsidR="009218A6" w:rsidRPr="00C22C49" w:rsidRDefault="009218A6" w:rsidP="009218A6">
            <w:pPr>
              <w:pStyle w:val="Table"/>
              <w:rPr>
                <w:sz w:val="20"/>
                <w:szCs w:val="22"/>
                <w:lang w:val="uk-UA" w:eastAsia="uk-UA"/>
              </w:rPr>
            </w:pPr>
            <w:r w:rsidRPr="00C22C49">
              <w:rPr>
                <w:sz w:val="20"/>
                <w:szCs w:val="22"/>
                <w:lang w:val="uk-UA" w:eastAsia="uk-UA"/>
              </w:rPr>
              <w:t>0,39</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5"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6"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7"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8"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9"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A"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B"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0C" w14:textId="77777777" w:rsidR="009218A6" w:rsidRPr="00C22C49" w:rsidRDefault="009218A6" w:rsidP="009218A6">
            <w:pPr>
              <w:pStyle w:val="Table"/>
              <w:rPr>
                <w:sz w:val="20"/>
                <w:szCs w:val="22"/>
                <w:lang w:val="uk-UA" w:eastAsia="uk-UA"/>
              </w:rPr>
            </w:pPr>
            <w:r w:rsidRPr="00C22C49">
              <w:rPr>
                <w:sz w:val="20"/>
                <w:szCs w:val="22"/>
                <w:lang w:val="uk-UA" w:eastAsia="uk-UA"/>
              </w:rPr>
              <w:t>0,40</w:t>
            </w:r>
          </w:p>
        </w:tc>
      </w:tr>
      <w:tr w:rsidR="009218A6" w:rsidRPr="00C22C49" w14:paraId="0896BB1C"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0E" w14:textId="77777777" w:rsidR="009218A6" w:rsidRPr="00C22C49" w:rsidRDefault="009218A6" w:rsidP="009218A6">
            <w:pPr>
              <w:pStyle w:val="Table"/>
              <w:rPr>
                <w:sz w:val="20"/>
                <w:szCs w:val="22"/>
                <w:lang w:val="uk-UA" w:eastAsia="uk-UA"/>
              </w:rPr>
            </w:pPr>
            <w:r w:rsidRPr="00C22C49">
              <w:rPr>
                <w:sz w:val="20"/>
                <w:szCs w:val="22"/>
                <w:lang w:val="uk-UA" w:eastAsia="uk-UA"/>
              </w:rPr>
              <w:t>інші види пластмаси</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0F"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0"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1"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2"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3"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4"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5"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6" w14:textId="77777777" w:rsidR="009218A6" w:rsidRPr="00C22C49" w:rsidRDefault="009218A6" w:rsidP="009218A6">
            <w:pPr>
              <w:pStyle w:val="Table"/>
              <w:rPr>
                <w:sz w:val="20"/>
                <w:szCs w:val="22"/>
                <w:lang w:val="uk-UA" w:eastAsia="uk-UA"/>
              </w:rPr>
            </w:pPr>
            <w:r w:rsidRPr="00C22C49">
              <w:rPr>
                <w:sz w:val="20"/>
                <w:szCs w:val="22"/>
                <w:lang w:val="uk-UA" w:eastAsia="uk-UA"/>
              </w:rPr>
              <w:t>0,64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7" w14:textId="77777777" w:rsidR="009218A6" w:rsidRPr="00C22C49" w:rsidRDefault="009218A6" w:rsidP="009218A6">
            <w:pPr>
              <w:pStyle w:val="Table"/>
              <w:rPr>
                <w:sz w:val="20"/>
                <w:szCs w:val="22"/>
                <w:lang w:val="uk-UA" w:eastAsia="uk-UA"/>
              </w:rPr>
            </w:pPr>
            <w:r w:rsidRPr="00C22C49">
              <w:rPr>
                <w:sz w:val="20"/>
                <w:szCs w:val="22"/>
                <w:lang w:val="uk-UA" w:eastAsia="uk-UA"/>
              </w:rPr>
              <w:t>0,65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8" w14:textId="77777777" w:rsidR="009218A6" w:rsidRPr="00C22C49" w:rsidRDefault="009218A6" w:rsidP="009218A6">
            <w:pPr>
              <w:pStyle w:val="Table"/>
              <w:rPr>
                <w:sz w:val="20"/>
                <w:szCs w:val="22"/>
                <w:lang w:val="uk-UA" w:eastAsia="uk-UA"/>
              </w:rPr>
            </w:pPr>
            <w:r w:rsidRPr="00C22C49">
              <w:rPr>
                <w:sz w:val="20"/>
                <w:szCs w:val="22"/>
                <w:lang w:val="uk-UA" w:eastAsia="uk-UA"/>
              </w:rPr>
              <w:t>0,65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9" w14:textId="77777777" w:rsidR="009218A6" w:rsidRPr="00C22C49" w:rsidRDefault="009218A6" w:rsidP="009218A6">
            <w:pPr>
              <w:pStyle w:val="Table"/>
              <w:rPr>
                <w:sz w:val="20"/>
                <w:szCs w:val="22"/>
                <w:lang w:val="uk-UA" w:eastAsia="uk-UA"/>
              </w:rPr>
            </w:pPr>
            <w:r w:rsidRPr="00C22C49">
              <w:rPr>
                <w:sz w:val="20"/>
                <w:szCs w:val="22"/>
                <w:lang w:val="uk-UA" w:eastAsia="uk-UA"/>
              </w:rPr>
              <w:t>0,65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A" w14:textId="77777777" w:rsidR="009218A6" w:rsidRPr="00C22C49" w:rsidRDefault="009218A6" w:rsidP="009218A6">
            <w:pPr>
              <w:pStyle w:val="Table"/>
              <w:rPr>
                <w:sz w:val="20"/>
                <w:szCs w:val="22"/>
                <w:lang w:val="uk-UA" w:eastAsia="uk-UA"/>
              </w:rPr>
            </w:pPr>
            <w:r w:rsidRPr="00C22C49">
              <w:rPr>
                <w:sz w:val="20"/>
                <w:szCs w:val="22"/>
                <w:lang w:val="uk-UA" w:eastAsia="uk-UA"/>
              </w:rPr>
              <w:t>0,65</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1B" w14:textId="77777777" w:rsidR="009218A6" w:rsidRPr="00C22C49" w:rsidRDefault="009218A6" w:rsidP="009218A6">
            <w:pPr>
              <w:pStyle w:val="Table"/>
              <w:rPr>
                <w:sz w:val="20"/>
                <w:szCs w:val="22"/>
                <w:lang w:val="uk-UA" w:eastAsia="uk-UA"/>
              </w:rPr>
            </w:pPr>
            <w:r w:rsidRPr="00C22C49">
              <w:rPr>
                <w:sz w:val="20"/>
                <w:szCs w:val="22"/>
                <w:lang w:val="uk-UA" w:eastAsia="uk-UA"/>
              </w:rPr>
              <w:t>0,65</w:t>
            </w:r>
          </w:p>
        </w:tc>
      </w:tr>
      <w:tr w:rsidR="009218A6" w:rsidRPr="00C22C49" w14:paraId="0896BB2B"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1D" w14:textId="77777777" w:rsidR="009218A6" w:rsidRPr="00C22C49" w:rsidRDefault="009218A6" w:rsidP="009218A6">
            <w:pPr>
              <w:pStyle w:val="Table"/>
              <w:rPr>
                <w:sz w:val="20"/>
                <w:szCs w:val="22"/>
                <w:lang w:val="uk-UA" w:eastAsia="uk-UA"/>
              </w:rPr>
            </w:pPr>
            <w:r w:rsidRPr="00C22C49">
              <w:rPr>
                <w:sz w:val="20"/>
                <w:szCs w:val="22"/>
                <w:lang w:val="uk-UA" w:eastAsia="uk-UA"/>
              </w:rPr>
              <w:t>чорні метали</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E" w14:textId="77777777" w:rsidR="009218A6" w:rsidRPr="00C22C49" w:rsidRDefault="009218A6" w:rsidP="009218A6">
            <w:pPr>
              <w:pStyle w:val="Table"/>
              <w:rPr>
                <w:sz w:val="20"/>
                <w:szCs w:val="22"/>
                <w:lang w:val="uk-UA" w:eastAsia="uk-UA"/>
              </w:rPr>
            </w:pPr>
            <w:r w:rsidRPr="00C22C49">
              <w:rPr>
                <w:sz w:val="20"/>
                <w:szCs w:val="22"/>
                <w:lang w:val="uk-UA" w:eastAsia="uk-UA"/>
              </w:rPr>
              <w:t>0,13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1F" w14:textId="77777777" w:rsidR="009218A6" w:rsidRPr="00C22C49" w:rsidRDefault="009218A6" w:rsidP="009218A6">
            <w:pPr>
              <w:pStyle w:val="Table"/>
              <w:rPr>
                <w:sz w:val="20"/>
                <w:szCs w:val="22"/>
                <w:lang w:val="uk-UA" w:eastAsia="uk-UA"/>
              </w:rPr>
            </w:pPr>
            <w:r w:rsidRPr="00C22C49">
              <w:rPr>
                <w:sz w:val="20"/>
                <w:szCs w:val="22"/>
                <w:lang w:val="uk-UA" w:eastAsia="uk-UA"/>
              </w:rPr>
              <w:t>0,13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0" w14:textId="77777777" w:rsidR="009218A6" w:rsidRPr="00C22C49" w:rsidRDefault="009218A6" w:rsidP="009218A6">
            <w:pPr>
              <w:pStyle w:val="Table"/>
              <w:rPr>
                <w:sz w:val="20"/>
                <w:szCs w:val="22"/>
                <w:lang w:val="uk-UA" w:eastAsia="uk-UA"/>
              </w:rPr>
            </w:pPr>
            <w:r w:rsidRPr="00C22C49">
              <w:rPr>
                <w:sz w:val="20"/>
                <w:szCs w:val="22"/>
                <w:lang w:val="uk-UA" w:eastAsia="uk-UA"/>
              </w:rPr>
              <w:t>0,13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1" w14:textId="77777777" w:rsidR="009218A6" w:rsidRPr="00C22C49" w:rsidRDefault="009218A6" w:rsidP="009218A6">
            <w:pPr>
              <w:pStyle w:val="Table"/>
              <w:rPr>
                <w:sz w:val="20"/>
                <w:szCs w:val="22"/>
                <w:lang w:val="uk-UA" w:eastAsia="uk-UA"/>
              </w:rPr>
            </w:pPr>
            <w:r w:rsidRPr="00C22C49">
              <w:rPr>
                <w:sz w:val="20"/>
                <w:szCs w:val="22"/>
                <w:lang w:val="uk-UA" w:eastAsia="uk-UA"/>
              </w:rPr>
              <w:t>0,13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2" w14:textId="77777777" w:rsidR="009218A6" w:rsidRPr="00C22C49" w:rsidRDefault="009218A6" w:rsidP="009218A6">
            <w:pPr>
              <w:pStyle w:val="Table"/>
              <w:rPr>
                <w:sz w:val="20"/>
                <w:szCs w:val="22"/>
                <w:lang w:val="uk-UA" w:eastAsia="uk-UA"/>
              </w:rPr>
            </w:pPr>
            <w:r w:rsidRPr="00C22C49">
              <w:rPr>
                <w:sz w:val="20"/>
                <w:szCs w:val="22"/>
                <w:lang w:val="uk-UA" w:eastAsia="uk-UA"/>
              </w:rPr>
              <w:t>0,13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3"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4"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5"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6"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7"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8"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9"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2A" w14:textId="77777777" w:rsidR="009218A6" w:rsidRPr="00C22C49" w:rsidRDefault="009218A6" w:rsidP="009218A6">
            <w:pPr>
              <w:pStyle w:val="Table"/>
              <w:rPr>
                <w:sz w:val="20"/>
                <w:szCs w:val="22"/>
                <w:lang w:val="uk-UA" w:eastAsia="uk-UA"/>
              </w:rPr>
            </w:pPr>
            <w:r w:rsidRPr="00C22C49">
              <w:rPr>
                <w:sz w:val="20"/>
                <w:szCs w:val="22"/>
                <w:lang w:val="uk-UA" w:eastAsia="uk-UA"/>
              </w:rPr>
              <w:t>0,14</w:t>
            </w:r>
          </w:p>
        </w:tc>
      </w:tr>
      <w:tr w:rsidR="009218A6" w:rsidRPr="00C22C49" w14:paraId="0896BB3A"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2C" w14:textId="77777777" w:rsidR="009218A6" w:rsidRPr="00C22C49" w:rsidRDefault="009218A6" w:rsidP="009218A6">
            <w:pPr>
              <w:pStyle w:val="Table"/>
              <w:rPr>
                <w:sz w:val="20"/>
                <w:szCs w:val="22"/>
                <w:lang w:val="uk-UA" w:eastAsia="uk-UA"/>
              </w:rPr>
            </w:pPr>
            <w:r w:rsidRPr="00C22C49">
              <w:rPr>
                <w:sz w:val="20"/>
                <w:szCs w:val="22"/>
                <w:lang w:val="uk-UA" w:eastAsia="uk-UA"/>
              </w:rPr>
              <w:t>алюміній</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D"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E"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2F"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0"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1"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2"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3"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4"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5"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6"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7"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8"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39"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r>
      <w:tr w:rsidR="009218A6" w:rsidRPr="00C22C49" w14:paraId="0896BB49" w14:textId="77777777" w:rsidTr="00274CD9">
        <w:trPr>
          <w:trHeight w:val="28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3B" w14:textId="77777777" w:rsidR="009218A6" w:rsidRPr="00C22C49" w:rsidRDefault="009218A6" w:rsidP="009218A6">
            <w:pPr>
              <w:pStyle w:val="Table"/>
              <w:rPr>
                <w:sz w:val="20"/>
                <w:szCs w:val="22"/>
                <w:lang w:val="uk-UA" w:eastAsia="uk-UA"/>
              </w:rPr>
            </w:pPr>
            <w:r w:rsidRPr="00C22C49">
              <w:rPr>
                <w:sz w:val="20"/>
                <w:szCs w:val="22"/>
                <w:lang w:val="uk-UA" w:eastAsia="uk-UA"/>
              </w:rPr>
              <w:t>дерево</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C"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D"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E"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3F"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0"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1"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2"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3"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4"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5"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6"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7"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48" w14:textId="77777777" w:rsidR="009218A6" w:rsidRPr="00C22C49" w:rsidRDefault="009218A6" w:rsidP="009218A6">
            <w:pPr>
              <w:pStyle w:val="Table"/>
              <w:rPr>
                <w:sz w:val="20"/>
                <w:szCs w:val="22"/>
                <w:lang w:val="uk-UA" w:eastAsia="uk-UA"/>
              </w:rPr>
            </w:pPr>
            <w:r w:rsidRPr="00C22C49">
              <w:rPr>
                <w:sz w:val="20"/>
                <w:szCs w:val="22"/>
                <w:lang w:val="uk-UA" w:eastAsia="uk-UA"/>
              </w:rPr>
              <w:t>0,03</w:t>
            </w:r>
          </w:p>
        </w:tc>
      </w:tr>
      <w:tr w:rsidR="009218A6" w:rsidRPr="00C22C49" w14:paraId="0896BB58" w14:textId="77777777" w:rsidTr="00274CD9">
        <w:trPr>
          <w:trHeight w:val="52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4A" w14:textId="77777777" w:rsidR="009218A6" w:rsidRPr="00C22C49" w:rsidRDefault="009218A6" w:rsidP="009218A6">
            <w:pPr>
              <w:pStyle w:val="Table"/>
              <w:rPr>
                <w:sz w:val="20"/>
                <w:szCs w:val="22"/>
                <w:lang w:val="uk-UA" w:eastAsia="uk-UA"/>
              </w:rPr>
            </w:pPr>
            <w:r w:rsidRPr="00C22C49">
              <w:rPr>
                <w:sz w:val="20"/>
                <w:szCs w:val="22"/>
                <w:lang w:val="uk-UA" w:eastAsia="uk-UA"/>
              </w:rPr>
              <w:t>Динаміка, в % до 2022 р.</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B" w14:textId="77777777" w:rsidR="009218A6" w:rsidRPr="00C22C49" w:rsidRDefault="009218A6" w:rsidP="009218A6">
            <w:pPr>
              <w:pStyle w:val="Table"/>
              <w:rPr>
                <w:sz w:val="20"/>
                <w:szCs w:val="22"/>
                <w:lang w:val="uk-UA" w:eastAsia="uk-UA"/>
              </w:rPr>
            </w:pPr>
            <w:r w:rsidRPr="00C22C49">
              <w:rPr>
                <w:sz w:val="20"/>
                <w:szCs w:val="22"/>
                <w:lang w:val="uk-UA" w:eastAsia="uk-UA"/>
              </w:rPr>
              <w:t>114,7</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C" w14:textId="77777777" w:rsidR="009218A6" w:rsidRPr="00C22C49" w:rsidRDefault="009218A6" w:rsidP="009218A6">
            <w:pPr>
              <w:pStyle w:val="Table"/>
              <w:rPr>
                <w:sz w:val="20"/>
                <w:szCs w:val="22"/>
                <w:lang w:val="uk-UA" w:eastAsia="uk-UA"/>
              </w:rPr>
            </w:pPr>
            <w:r w:rsidRPr="00C22C49">
              <w:rPr>
                <w:sz w:val="20"/>
                <w:szCs w:val="22"/>
                <w:lang w:val="uk-UA" w:eastAsia="uk-UA"/>
              </w:rPr>
              <w:t>115,5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D" w14:textId="77777777" w:rsidR="009218A6" w:rsidRPr="00C22C49" w:rsidRDefault="009218A6" w:rsidP="009218A6">
            <w:pPr>
              <w:pStyle w:val="Table"/>
              <w:rPr>
                <w:sz w:val="20"/>
                <w:szCs w:val="22"/>
                <w:lang w:val="uk-UA" w:eastAsia="uk-UA"/>
              </w:rPr>
            </w:pPr>
            <w:r w:rsidRPr="00C22C49">
              <w:rPr>
                <w:sz w:val="20"/>
                <w:szCs w:val="22"/>
                <w:lang w:val="uk-UA" w:eastAsia="uk-UA"/>
              </w:rPr>
              <w:t>117,1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E" w14:textId="77777777" w:rsidR="009218A6" w:rsidRPr="00C22C49" w:rsidRDefault="009218A6" w:rsidP="009218A6">
            <w:pPr>
              <w:pStyle w:val="Table"/>
              <w:rPr>
                <w:sz w:val="20"/>
                <w:szCs w:val="22"/>
                <w:lang w:val="uk-UA" w:eastAsia="uk-UA"/>
              </w:rPr>
            </w:pPr>
            <w:r w:rsidRPr="00C22C49">
              <w:rPr>
                <w:sz w:val="20"/>
                <w:szCs w:val="22"/>
                <w:lang w:val="uk-UA" w:eastAsia="uk-UA"/>
              </w:rPr>
              <w:t>117,3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4F" w14:textId="77777777" w:rsidR="009218A6" w:rsidRPr="00C22C49" w:rsidRDefault="009218A6" w:rsidP="009218A6">
            <w:pPr>
              <w:pStyle w:val="Table"/>
              <w:rPr>
                <w:sz w:val="20"/>
                <w:szCs w:val="22"/>
                <w:lang w:val="uk-UA" w:eastAsia="uk-UA"/>
              </w:rPr>
            </w:pPr>
            <w:r w:rsidRPr="00C22C49">
              <w:rPr>
                <w:sz w:val="20"/>
                <w:szCs w:val="22"/>
                <w:lang w:val="uk-UA" w:eastAsia="uk-UA"/>
              </w:rPr>
              <w:t>117,6</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0" w14:textId="77777777" w:rsidR="009218A6" w:rsidRPr="00C22C49" w:rsidRDefault="009218A6" w:rsidP="009218A6">
            <w:pPr>
              <w:pStyle w:val="Table"/>
              <w:rPr>
                <w:sz w:val="20"/>
                <w:szCs w:val="22"/>
                <w:lang w:val="uk-UA" w:eastAsia="uk-UA"/>
              </w:rPr>
            </w:pPr>
            <w:r w:rsidRPr="00C22C49">
              <w:rPr>
                <w:sz w:val="20"/>
                <w:szCs w:val="22"/>
                <w:lang w:val="uk-UA" w:eastAsia="uk-UA"/>
              </w:rPr>
              <w:t>117,8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1" w14:textId="77777777" w:rsidR="009218A6" w:rsidRPr="00C22C49" w:rsidRDefault="009218A6" w:rsidP="009218A6">
            <w:pPr>
              <w:pStyle w:val="Table"/>
              <w:rPr>
                <w:sz w:val="20"/>
                <w:szCs w:val="22"/>
                <w:lang w:val="uk-UA" w:eastAsia="uk-UA"/>
              </w:rPr>
            </w:pPr>
            <w:r w:rsidRPr="00C22C49">
              <w:rPr>
                <w:sz w:val="20"/>
                <w:szCs w:val="22"/>
                <w:lang w:val="uk-UA" w:eastAsia="uk-UA"/>
              </w:rPr>
              <w:t>118,1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2" w14:textId="77777777" w:rsidR="009218A6" w:rsidRPr="00C22C49" w:rsidRDefault="009218A6" w:rsidP="009218A6">
            <w:pPr>
              <w:pStyle w:val="Table"/>
              <w:rPr>
                <w:sz w:val="20"/>
                <w:szCs w:val="22"/>
                <w:lang w:val="uk-UA" w:eastAsia="uk-UA"/>
              </w:rPr>
            </w:pPr>
            <w:r w:rsidRPr="00C22C49">
              <w:rPr>
                <w:sz w:val="20"/>
                <w:szCs w:val="22"/>
                <w:lang w:val="uk-UA" w:eastAsia="uk-UA"/>
              </w:rPr>
              <w:t>118,4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3" w14:textId="77777777" w:rsidR="009218A6" w:rsidRPr="00C22C49" w:rsidRDefault="009218A6" w:rsidP="009218A6">
            <w:pPr>
              <w:pStyle w:val="Table"/>
              <w:rPr>
                <w:sz w:val="20"/>
                <w:szCs w:val="22"/>
                <w:lang w:val="uk-UA" w:eastAsia="uk-UA"/>
              </w:rPr>
            </w:pPr>
            <w:r w:rsidRPr="00C22C49">
              <w:rPr>
                <w:sz w:val="20"/>
                <w:szCs w:val="22"/>
                <w:lang w:val="uk-UA" w:eastAsia="uk-UA"/>
              </w:rPr>
              <w:t>118,6</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4" w14:textId="77777777" w:rsidR="009218A6" w:rsidRPr="00C22C49" w:rsidRDefault="009218A6" w:rsidP="009218A6">
            <w:pPr>
              <w:pStyle w:val="Table"/>
              <w:rPr>
                <w:sz w:val="20"/>
                <w:szCs w:val="22"/>
                <w:lang w:val="uk-UA" w:eastAsia="uk-UA"/>
              </w:rPr>
            </w:pPr>
            <w:r w:rsidRPr="00C22C49">
              <w:rPr>
                <w:sz w:val="20"/>
                <w:szCs w:val="22"/>
                <w:lang w:val="uk-UA" w:eastAsia="uk-UA"/>
              </w:rPr>
              <w:t>118,8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5" w14:textId="77777777" w:rsidR="009218A6" w:rsidRPr="00C22C49" w:rsidRDefault="009218A6" w:rsidP="009218A6">
            <w:pPr>
              <w:pStyle w:val="Table"/>
              <w:rPr>
                <w:sz w:val="20"/>
                <w:szCs w:val="22"/>
                <w:lang w:val="uk-UA" w:eastAsia="uk-UA"/>
              </w:rPr>
            </w:pPr>
            <w:r w:rsidRPr="00C22C49">
              <w:rPr>
                <w:sz w:val="20"/>
                <w:szCs w:val="22"/>
                <w:lang w:val="uk-UA" w:eastAsia="uk-UA"/>
              </w:rPr>
              <w:t>119,1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6" w14:textId="77777777" w:rsidR="009218A6" w:rsidRPr="00C22C49" w:rsidRDefault="009218A6" w:rsidP="009218A6">
            <w:pPr>
              <w:pStyle w:val="Table"/>
              <w:rPr>
                <w:sz w:val="20"/>
                <w:szCs w:val="22"/>
                <w:lang w:val="uk-UA" w:eastAsia="uk-UA"/>
              </w:rPr>
            </w:pPr>
            <w:r w:rsidRPr="00C22C49">
              <w:rPr>
                <w:sz w:val="20"/>
                <w:szCs w:val="22"/>
                <w:lang w:val="uk-UA" w:eastAsia="uk-UA"/>
              </w:rPr>
              <w:t>119,3</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57" w14:textId="77777777" w:rsidR="009218A6" w:rsidRPr="00C22C49" w:rsidRDefault="009218A6" w:rsidP="009218A6">
            <w:pPr>
              <w:pStyle w:val="Table"/>
              <w:rPr>
                <w:sz w:val="20"/>
                <w:szCs w:val="22"/>
                <w:lang w:val="uk-UA" w:eastAsia="uk-UA"/>
              </w:rPr>
            </w:pPr>
            <w:r w:rsidRPr="00C22C49">
              <w:rPr>
                <w:sz w:val="20"/>
                <w:szCs w:val="22"/>
                <w:lang w:val="uk-UA" w:eastAsia="uk-UA"/>
              </w:rPr>
              <w:t>119,6</w:t>
            </w:r>
          </w:p>
        </w:tc>
      </w:tr>
      <w:tr w:rsidR="009218A6" w:rsidRPr="00C22C49" w14:paraId="0896BB67" w14:textId="77777777" w:rsidTr="00274CD9">
        <w:trPr>
          <w:trHeight w:val="552"/>
          <w:jc w:val="center"/>
        </w:trPr>
        <w:tc>
          <w:tcPr>
            <w:tcW w:w="645" w:type="pct"/>
            <w:tcBorders>
              <w:top w:val="single" w:sz="4" w:space="0" w:color="auto"/>
              <w:left w:val="single" w:sz="4" w:space="0" w:color="auto"/>
              <w:bottom w:val="single" w:sz="4" w:space="0" w:color="auto"/>
              <w:right w:val="nil"/>
            </w:tcBorders>
            <w:shd w:val="clear" w:color="000000" w:fill="FFFFFF"/>
            <w:vAlign w:val="center"/>
            <w:hideMark/>
          </w:tcPr>
          <w:p w14:paraId="0896BB59" w14:textId="77777777" w:rsidR="009218A6" w:rsidRPr="00C22C49" w:rsidRDefault="009218A6" w:rsidP="009218A6">
            <w:pPr>
              <w:pStyle w:val="Table"/>
              <w:rPr>
                <w:sz w:val="20"/>
                <w:szCs w:val="22"/>
                <w:lang w:val="uk-UA" w:eastAsia="uk-UA"/>
              </w:rPr>
            </w:pPr>
            <w:r w:rsidRPr="00C22C49">
              <w:rPr>
                <w:sz w:val="20"/>
                <w:szCs w:val="22"/>
                <w:lang w:val="uk-UA" w:eastAsia="uk-UA"/>
              </w:rPr>
              <w:t xml:space="preserve">У розрахунку на одну особу, </w:t>
            </w:r>
            <w:r w:rsidRPr="00C22C49">
              <w:rPr>
                <w:color w:val="000000" w:themeColor="text1"/>
                <w:sz w:val="20"/>
                <w:szCs w:val="22"/>
                <w:lang w:val="uk-UA" w:eastAsia="uk-UA"/>
              </w:rPr>
              <w:t>тон</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5A" w14:textId="77777777" w:rsidR="009218A6" w:rsidRPr="00C22C49" w:rsidRDefault="009218A6" w:rsidP="009218A6">
            <w:pPr>
              <w:pStyle w:val="Table"/>
              <w:rPr>
                <w:sz w:val="20"/>
                <w:szCs w:val="22"/>
                <w:lang w:val="uk-UA" w:eastAsia="uk-UA"/>
              </w:rPr>
            </w:pPr>
            <w:r w:rsidRPr="00C22C49">
              <w:rPr>
                <w:sz w:val="20"/>
                <w:szCs w:val="22"/>
                <w:lang w:val="uk-UA" w:eastAsia="uk-UA"/>
              </w:rPr>
              <w:t>0,097</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B" w14:textId="77777777" w:rsidR="009218A6" w:rsidRPr="00C22C49" w:rsidRDefault="009218A6" w:rsidP="009218A6">
            <w:pPr>
              <w:pStyle w:val="Table"/>
              <w:rPr>
                <w:sz w:val="20"/>
                <w:szCs w:val="22"/>
                <w:lang w:val="uk-UA" w:eastAsia="uk-UA"/>
              </w:rPr>
            </w:pPr>
            <w:r w:rsidRPr="00C22C49">
              <w:rPr>
                <w:sz w:val="20"/>
                <w:szCs w:val="22"/>
                <w:lang w:val="uk-UA" w:eastAsia="uk-UA"/>
              </w:rPr>
              <w:t>0,100</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C" w14:textId="77777777" w:rsidR="009218A6" w:rsidRPr="00C22C49" w:rsidRDefault="009218A6" w:rsidP="009218A6">
            <w:pPr>
              <w:pStyle w:val="Table"/>
              <w:rPr>
                <w:sz w:val="20"/>
                <w:szCs w:val="22"/>
                <w:lang w:val="uk-UA" w:eastAsia="uk-UA"/>
              </w:rPr>
            </w:pPr>
            <w:r w:rsidRPr="00C22C49">
              <w:rPr>
                <w:sz w:val="20"/>
                <w:szCs w:val="22"/>
                <w:lang w:val="uk-UA" w:eastAsia="uk-UA"/>
              </w:rPr>
              <w:t>0,105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D" w14:textId="77777777" w:rsidR="009218A6" w:rsidRPr="00C22C49" w:rsidRDefault="009218A6" w:rsidP="009218A6">
            <w:pPr>
              <w:pStyle w:val="Table"/>
              <w:rPr>
                <w:sz w:val="20"/>
                <w:szCs w:val="22"/>
                <w:lang w:val="uk-UA" w:eastAsia="uk-UA"/>
              </w:rPr>
            </w:pPr>
            <w:r w:rsidRPr="00C22C49">
              <w:rPr>
                <w:sz w:val="20"/>
                <w:szCs w:val="22"/>
                <w:lang w:val="uk-UA" w:eastAsia="uk-UA"/>
              </w:rPr>
              <w:t>0,108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E" w14:textId="77777777" w:rsidR="009218A6" w:rsidRPr="00C22C49" w:rsidRDefault="009218A6" w:rsidP="009218A6">
            <w:pPr>
              <w:pStyle w:val="Table"/>
              <w:rPr>
                <w:sz w:val="20"/>
                <w:szCs w:val="22"/>
                <w:lang w:val="uk-UA" w:eastAsia="uk-UA"/>
              </w:rPr>
            </w:pPr>
            <w:r w:rsidRPr="00C22C49">
              <w:rPr>
                <w:sz w:val="20"/>
                <w:szCs w:val="22"/>
                <w:lang w:val="uk-UA" w:eastAsia="uk-UA"/>
              </w:rPr>
              <w:t>0,111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5F" w14:textId="77777777" w:rsidR="009218A6" w:rsidRPr="00C22C49" w:rsidRDefault="009218A6" w:rsidP="009218A6">
            <w:pPr>
              <w:pStyle w:val="Table"/>
              <w:rPr>
                <w:sz w:val="20"/>
                <w:szCs w:val="22"/>
                <w:lang w:val="uk-UA" w:eastAsia="uk-UA"/>
              </w:rPr>
            </w:pPr>
            <w:r w:rsidRPr="00C22C49">
              <w:rPr>
                <w:sz w:val="20"/>
                <w:szCs w:val="22"/>
                <w:lang w:val="uk-UA" w:eastAsia="uk-UA"/>
              </w:rPr>
              <w:t>0,114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0" w14:textId="77777777" w:rsidR="009218A6" w:rsidRPr="00C22C49" w:rsidRDefault="009218A6" w:rsidP="009218A6">
            <w:pPr>
              <w:pStyle w:val="Table"/>
              <w:rPr>
                <w:sz w:val="20"/>
                <w:szCs w:val="22"/>
                <w:lang w:val="uk-UA" w:eastAsia="uk-UA"/>
              </w:rPr>
            </w:pPr>
            <w:r w:rsidRPr="00C22C49">
              <w:rPr>
                <w:sz w:val="20"/>
                <w:szCs w:val="22"/>
                <w:lang w:val="uk-UA" w:eastAsia="uk-UA"/>
              </w:rPr>
              <w:t>0,118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1" w14:textId="77777777" w:rsidR="009218A6" w:rsidRPr="00C22C49" w:rsidRDefault="009218A6" w:rsidP="009218A6">
            <w:pPr>
              <w:pStyle w:val="Table"/>
              <w:rPr>
                <w:sz w:val="20"/>
                <w:szCs w:val="22"/>
                <w:lang w:val="uk-UA" w:eastAsia="uk-UA"/>
              </w:rPr>
            </w:pPr>
            <w:r w:rsidRPr="00C22C49">
              <w:rPr>
                <w:sz w:val="20"/>
                <w:szCs w:val="22"/>
                <w:lang w:val="uk-UA" w:eastAsia="uk-UA"/>
              </w:rPr>
              <w:t>0,121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2" w14:textId="77777777" w:rsidR="009218A6" w:rsidRPr="00C22C49" w:rsidRDefault="009218A6" w:rsidP="009218A6">
            <w:pPr>
              <w:pStyle w:val="Table"/>
              <w:rPr>
                <w:sz w:val="20"/>
                <w:szCs w:val="22"/>
                <w:lang w:val="uk-UA" w:eastAsia="uk-UA"/>
              </w:rPr>
            </w:pPr>
            <w:r w:rsidRPr="00C22C49">
              <w:rPr>
                <w:sz w:val="20"/>
                <w:szCs w:val="22"/>
                <w:lang w:val="uk-UA" w:eastAsia="uk-UA"/>
              </w:rPr>
              <w:t>0,125</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3" w14:textId="77777777" w:rsidR="009218A6" w:rsidRPr="00C22C49" w:rsidRDefault="009218A6" w:rsidP="009218A6">
            <w:pPr>
              <w:pStyle w:val="Table"/>
              <w:rPr>
                <w:sz w:val="20"/>
                <w:szCs w:val="22"/>
                <w:lang w:val="uk-UA" w:eastAsia="uk-UA"/>
              </w:rPr>
            </w:pPr>
            <w:r w:rsidRPr="00C22C49">
              <w:rPr>
                <w:sz w:val="20"/>
                <w:szCs w:val="22"/>
                <w:lang w:val="uk-UA" w:eastAsia="uk-UA"/>
              </w:rPr>
              <w:t>0,128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4" w14:textId="77777777" w:rsidR="009218A6" w:rsidRPr="00C22C49" w:rsidRDefault="009218A6" w:rsidP="009218A6">
            <w:pPr>
              <w:pStyle w:val="Table"/>
              <w:rPr>
                <w:sz w:val="20"/>
                <w:szCs w:val="22"/>
                <w:lang w:val="uk-UA" w:eastAsia="uk-UA"/>
              </w:rPr>
            </w:pPr>
            <w:r w:rsidRPr="00C22C49">
              <w:rPr>
                <w:sz w:val="20"/>
                <w:szCs w:val="22"/>
                <w:lang w:val="uk-UA" w:eastAsia="uk-UA"/>
              </w:rPr>
              <w:t>0,132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5" w14:textId="77777777" w:rsidR="009218A6" w:rsidRPr="00C22C49" w:rsidRDefault="009218A6" w:rsidP="009218A6">
            <w:pPr>
              <w:pStyle w:val="Table"/>
              <w:rPr>
                <w:sz w:val="20"/>
                <w:szCs w:val="22"/>
                <w:lang w:val="uk-UA" w:eastAsia="uk-UA"/>
              </w:rPr>
            </w:pPr>
            <w:r w:rsidRPr="00C22C49">
              <w:rPr>
                <w:sz w:val="20"/>
                <w:szCs w:val="22"/>
                <w:lang w:val="uk-UA" w:eastAsia="uk-UA"/>
              </w:rPr>
              <w:t>0,136</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66" w14:textId="77777777" w:rsidR="009218A6" w:rsidRPr="00C22C49" w:rsidRDefault="009218A6" w:rsidP="009218A6">
            <w:pPr>
              <w:pStyle w:val="Table"/>
              <w:rPr>
                <w:sz w:val="20"/>
                <w:szCs w:val="22"/>
                <w:lang w:val="uk-UA" w:eastAsia="uk-UA"/>
              </w:rPr>
            </w:pPr>
            <w:r w:rsidRPr="00C22C49">
              <w:rPr>
                <w:sz w:val="20"/>
                <w:szCs w:val="22"/>
                <w:lang w:val="uk-UA" w:eastAsia="uk-UA"/>
              </w:rPr>
              <w:t>0,140</w:t>
            </w:r>
          </w:p>
        </w:tc>
      </w:tr>
      <w:tr w:rsidR="009218A6" w:rsidRPr="00C22C49" w14:paraId="0896BB76" w14:textId="77777777" w:rsidTr="00274CD9">
        <w:trPr>
          <w:trHeight w:val="528"/>
          <w:jc w:val="center"/>
        </w:trPr>
        <w:tc>
          <w:tcPr>
            <w:tcW w:w="6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B68" w14:textId="77777777" w:rsidR="009218A6" w:rsidRPr="00C22C49" w:rsidRDefault="009218A6" w:rsidP="009218A6">
            <w:pPr>
              <w:pStyle w:val="Table"/>
              <w:rPr>
                <w:sz w:val="20"/>
                <w:szCs w:val="22"/>
                <w:lang w:val="uk-UA" w:eastAsia="uk-UA"/>
              </w:rPr>
            </w:pPr>
            <w:r w:rsidRPr="00C22C49">
              <w:rPr>
                <w:sz w:val="20"/>
                <w:szCs w:val="22"/>
                <w:lang w:val="uk-UA" w:eastAsia="uk-UA"/>
              </w:rPr>
              <w:t>Динаміка, в % до 2022 р.</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9" w14:textId="77777777" w:rsidR="009218A6" w:rsidRPr="00C22C49" w:rsidRDefault="009218A6" w:rsidP="009218A6">
            <w:pPr>
              <w:pStyle w:val="Table"/>
              <w:rPr>
                <w:sz w:val="20"/>
                <w:szCs w:val="22"/>
                <w:lang w:val="uk-UA" w:eastAsia="uk-UA"/>
              </w:rPr>
            </w:pPr>
            <w:r w:rsidRPr="00C22C49">
              <w:rPr>
                <w:sz w:val="20"/>
                <w:szCs w:val="22"/>
                <w:lang w:val="uk-UA" w:eastAsia="uk-UA"/>
              </w:rPr>
              <w:t>133,3</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A" w14:textId="77777777" w:rsidR="009218A6" w:rsidRPr="00C22C49" w:rsidRDefault="009218A6" w:rsidP="009218A6">
            <w:pPr>
              <w:pStyle w:val="Table"/>
              <w:rPr>
                <w:sz w:val="20"/>
                <w:szCs w:val="22"/>
                <w:lang w:val="uk-UA" w:eastAsia="uk-UA"/>
              </w:rPr>
            </w:pPr>
            <w:r w:rsidRPr="00C22C49">
              <w:rPr>
                <w:sz w:val="20"/>
                <w:szCs w:val="22"/>
                <w:lang w:val="uk-UA" w:eastAsia="uk-UA"/>
              </w:rPr>
              <w:t>137,8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B" w14:textId="77777777" w:rsidR="009218A6" w:rsidRPr="00C22C49" w:rsidRDefault="009218A6" w:rsidP="009218A6">
            <w:pPr>
              <w:pStyle w:val="Table"/>
              <w:rPr>
                <w:sz w:val="20"/>
                <w:szCs w:val="22"/>
                <w:lang w:val="uk-UA" w:eastAsia="uk-UA"/>
              </w:rPr>
            </w:pPr>
            <w:r w:rsidRPr="00C22C49">
              <w:rPr>
                <w:sz w:val="20"/>
                <w:szCs w:val="22"/>
                <w:lang w:val="uk-UA" w:eastAsia="uk-UA"/>
              </w:rPr>
              <w:t>143,6</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C" w14:textId="77777777" w:rsidR="009218A6" w:rsidRPr="00C22C49" w:rsidRDefault="009218A6" w:rsidP="009218A6">
            <w:pPr>
              <w:pStyle w:val="Table"/>
              <w:rPr>
                <w:sz w:val="20"/>
                <w:szCs w:val="22"/>
                <w:lang w:val="uk-UA" w:eastAsia="uk-UA"/>
              </w:rPr>
            </w:pPr>
            <w:r w:rsidRPr="00C22C49">
              <w:rPr>
                <w:sz w:val="20"/>
                <w:szCs w:val="22"/>
                <w:lang w:val="uk-UA" w:eastAsia="uk-UA"/>
              </w:rPr>
              <w:t>147,8</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D" w14:textId="77777777" w:rsidR="009218A6" w:rsidRPr="00C22C49" w:rsidRDefault="009218A6" w:rsidP="009218A6">
            <w:pPr>
              <w:pStyle w:val="Table"/>
              <w:rPr>
                <w:sz w:val="20"/>
                <w:szCs w:val="22"/>
                <w:lang w:val="uk-UA" w:eastAsia="uk-UA"/>
              </w:rPr>
            </w:pPr>
            <w:r w:rsidRPr="00C22C49">
              <w:rPr>
                <w:sz w:val="20"/>
                <w:szCs w:val="22"/>
                <w:lang w:val="uk-UA" w:eastAsia="uk-UA"/>
              </w:rPr>
              <w:t>152,2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E" w14:textId="77777777" w:rsidR="009218A6" w:rsidRPr="00C22C49" w:rsidRDefault="009218A6" w:rsidP="009218A6">
            <w:pPr>
              <w:pStyle w:val="Table"/>
              <w:rPr>
                <w:sz w:val="20"/>
                <w:szCs w:val="22"/>
                <w:lang w:val="uk-UA" w:eastAsia="uk-UA"/>
              </w:rPr>
            </w:pPr>
            <w:r w:rsidRPr="00C22C49">
              <w:rPr>
                <w:sz w:val="20"/>
                <w:szCs w:val="22"/>
                <w:lang w:val="uk-UA" w:eastAsia="uk-UA"/>
              </w:rPr>
              <w:t>156,7</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6F" w14:textId="77777777" w:rsidR="009218A6" w:rsidRPr="00C22C49" w:rsidRDefault="009218A6" w:rsidP="009218A6">
            <w:pPr>
              <w:pStyle w:val="Table"/>
              <w:rPr>
                <w:sz w:val="20"/>
                <w:szCs w:val="22"/>
                <w:lang w:val="uk-UA" w:eastAsia="uk-UA"/>
              </w:rPr>
            </w:pPr>
            <w:r w:rsidRPr="00C22C49">
              <w:rPr>
                <w:sz w:val="20"/>
                <w:szCs w:val="22"/>
                <w:lang w:val="uk-UA" w:eastAsia="uk-UA"/>
              </w:rPr>
              <w:t>161,4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70" w14:textId="77777777" w:rsidR="009218A6" w:rsidRPr="00C22C49" w:rsidRDefault="009218A6" w:rsidP="009218A6">
            <w:pPr>
              <w:pStyle w:val="Table"/>
              <w:rPr>
                <w:sz w:val="20"/>
                <w:szCs w:val="22"/>
                <w:lang w:val="uk-UA" w:eastAsia="uk-UA"/>
              </w:rPr>
            </w:pPr>
            <w:r w:rsidRPr="00C22C49">
              <w:rPr>
                <w:sz w:val="20"/>
                <w:szCs w:val="22"/>
                <w:lang w:val="uk-UA" w:eastAsia="uk-UA"/>
              </w:rPr>
              <w:t>166,2</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71" w14:textId="77777777" w:rsidR="009218A6" w:rsidRPr="00C22C49" w:rsidRDefault="009218A6" w:rsidP="009218A6">
            <w:pPr>
              <w:pStyle w:val="Table"/>
              <w:rPr>
                <w:sz w:val="20"/>
                <w:szCs w:val="22"/>
                <w:lang w:val="uk-UA" w:eastAsia="uk-UA"/>
              </w:rPr>
            </w:pPr>
            <w:r w:rsidRPr="00C22C49">
              <w:rPr>
                <w:sz w:val="20"/>
                <w:szCs w:val="22"/>
                <w:lang w:val="uk-UA" w:eastAsia="uk-UA"/>
              </w:rPr>
              <w:t>171,1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72" w14:textId="77777777" w:rsidR="009218A6" w:rsidRPr="00C22C49" w:rsidRDefault="009218A6" w:rsidP="009218A6">
            <w:pPr>
              <w:pStyle w:val="Table"/>
              <w:rPr>
                <w:sz w:val="20"/>
                <w:szCs w:val="22"/>
                <w:lang w:val="uk-UA" w:eastAsia="uk-UA"/>
              </w:rPr>
            </w:pPr>
            <w:r w:rsidRPr="00C22C49">
              <w:rPr>
                <w:sz w:val="20"/>
                <w:szCs w:val="22"/>
                <w:lang w:val="uk-UA" w:eastAsia="uk-UA"/>
              </w:rPr>
              <w:t>176,1</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73" w14:textId="77777777" w:rsidR="009218A6" w:rsidRPr="00C22C49" w:rsidRDefault="009218A6" w:rsidP="009218A6">
            <w:pPr>
              <w:pStyle w:val="Table"/>
              <w:rPr>
                <w:sz w:val="20"/>
                <w:szCs w:val="22"/>
                <w:lang w:val="uk-UA" w:eastAsia="uk-UA"/>
              </w:rPr>
            </w:pPr>
            <w:r w:rsidRPr="00C22C49">
              <w:rPr>
                <w:sz w:val="20"/>
                <w:szCs w:val="22"/>
                <w:lang w:val="uk-UA" w:eastAsia="uk-UA"/>
              </w:rPr>
              <w:t>181,4</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896BB74" w14:textId="77777777" w:rsidR="009218A6" w:rsidRPr="00C22C49" w:rsidRDefault="009218A6" w:rsidP="009218A6">
            <w:pPr>
              <w:pStyle w:val="Table"/>
              <w:rPr>
                <w:sz w:val="20"/>
                <w:szCs w:val="22"/>
                <w:lang w:val="uk-UA" w:eastAsia="uk-UA"/>
              </w:rPr>
            </w:pPr>
            <w:r w:rsidRPr="00C22C49">
              <w:rPr>
                <w:sz w:val="20"/>
                <w:szCs w:val="22"/>
                <w:lang w:val="uk-UA" w:eastAsia="uk-UA"/>
              </w:rPr>
              <w:t>186,8</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896BB75" w14:textId="77777777" w:rsidR="009218A6" w:rsidRPr="00C22C49" w:rsidRDefault="009218A6" w:rsidP="009218A6">
            <w:pPr>
              <w:pStyle w:val="Table"/>
              <w:rPr>
                <w:sz w:val="20"/>
                <w:szCs w:val="22"/>
                <w:lang w:val="uk-UA" w:eastAsia="uk-UA"/>
              </w:rPr>
            </w:pPr>
            <w:r w:rsidRPr="00C22C49">
              <w:rPr>
                <w:sz w:val="20"/>
                <w:szCs w:val="22"/>
                <w:lang w:val="uk-UA" w:eastAsia="uk-UA"/>
              </w:rPr>
              <w:t>192,4</w:t>
            </w:r>
          </w:p>
        </w:tc>
      </w:tr>
    </w:tbl>
    <w:p w14:paraId="0896BB77" w14:textId="77777777" w:rsidR="00B34E44" w:rsidRPr="00C22C49" w:rsidRDefault="00B34E44" w:rsidP="005E4C42"/>
    <w:p w14:paraId="0896BB7A" w14:textId="77777777" w:rsidR="00C34999" w:rsidRPr="00C22C49" w:rsidRDefault="00420776" w:rsidP="00621A46">
      <w:pPr>
        <w:pStyle w:val="Heading5BOLDnumbered"/>
        <w:numPr>
          <w:ilvl w:val="0"/>
          <w:numId w:val="0"/>
        </w:numPr>
        <w:ind w:left="1287"/>
        <w:rPr>
          <w:rStyle w:val="affe"/>
          <w:iCs/>
          <w:lang w:val="uk-UA"/>
        </w:rPr>
      </w:pPr>
      <w:r w:rsidRPr="00C22C49">
        <w:rPr>
          <w:rStyle w:val="affe"/>
          <w:iCs/>
          <w:lang w:val="uk-UA"/>
        </w:rPr>
        <w:t>2.</w:t>
      </w:r>
      <w:r w:rsidR="00621A46" w:rsidRPr="00C22C49">
        <w:rPr>
          <w:rStyle w:val="affe"/>
          <w:iCs/>
          <w:lang w:val="uk-UA"/>
        </w:rPr>
        <w:t>1.</w:t>
      </w:r>
      <w:r w:rsidRPr="00C22C49">
        <w:rPr>
          <w:rStyle w:val="affe"/>
          <w:iCs/>
          <w:lang w:val="uk-UA"/>
        </w:rPr>
        <w:t>7.</w:t>
      </w:r>
      <w:r w:rsidR="00621A46" w:rsidRPr="00C22C49">
        <w:rPr>
          <w:rStyle w:val="affe"/>
          <w:iCs/>
          <w:lang w:val="uk-UA"/>
        </w:rPr>
        <w:t>2</w:t>
      </w:r>
      <w:r w:rsidR="0058773D" w:rsidRPr="00C22C49">
        <w:rPr>
          <w:rStyle w:val="affe"/>
          <w:lang w:val="uk-UA"/>
        </w:rPr>
        <w:t>.</w:t>
      </w:r>
      <w:r w:rsidR="00621A46" w:rsidRPr="00C22C49">
        <w:rPr>
          <w:rStyle w:val="affe"/>
          <w:iCs/>
          <w:lang w:val="uk-UA"/>
        </w:rPr>
        <w:t xml:space="preserve"> </w:t>
      </w:r>
      <w:r w:rsidR="00C34999" w:rsidRPr="00C22C49">
        <w:rPr>
          <w:rStyle w:val="affe"/>
          <w:lang w:val="uk-UA"/>
        </w:rPr>
        <w:t>Відходи батарей і акумуляторів</w:t>
      </w:r>
    </w:p>
    <w:p w14:paraId="0896BB7B" w14:textId="77777777" w:rsidR="00B34E44" w:rsidRPr="00C22C49" w:rsidRDefault="00B97D1E" w:rsidP="005E4C42">
      <w:r w:rsidRPr="00C22C49">
        <w:t>При розробці прогнозу утворення відходів батарей та акумуляторів в основу покладено фактичні їх обсяги, отримані як з офіційних статистичних даних, що охоплюють лише незначний відсоток утворення,  та матеріали досліджень та розрахунків з врахуванням досвіду суміжних країн ЄС.</w:t>
      </w:r>
    </w:p>
    <w:p w14:paraId="0896BB7C" w14:textId="12907386" w:rsidR="00C34999" w:rsidRPr="00C22C49" w:rsidRDefault="00E22C86" w:rsidP="00E22C86">
      <w:pPr>
        <w:pStyle w:val="ad"/>
        <w:rPr>
          <w:lang w:val="uk-UA"/>
        </w:rPr>
      </w:pPr>
      <w:bookmarkStart w:id="27" w:name="_Toc142262259"/>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12</w:t>
      </w:r>
      <w:r w:rsidR="005E0A06" w:rsidRPr="00C22C49">
        <w:rPr>
          <w:lang w:val="uk-UA"/>
        </w:rPr>
        <w:fldChar w:fldCharType="end"/>
      </w:r>
      <w:r w:rsidRPr="00C22C49">
        <w:rPr>
          <w:lang w:val="uk-UA"/>
        </w:rPr>
        <w:t xml:space="preserve">. </w:t>
      </w:r>
      <w:r w:rsidRPr="00C22C49">
        <w:rPr>
          <w:rFonts w:eastAsia="Calibri" w:cs="Times New Roman"/>
          <w:szCs w:val="24"/>
          <w:lang w:val="uk-UA" w:eastAsia="bg-BG"/>
        </w:rPr>
        <w:t>Прогноз утворення відходів батарей та акумуляторів (тис. т/рік)</w:t>
      </w:r>
      <w:bookmarkEnd w:id="27"/>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21"/>
        <w:gridCol w:w="621"/>
        <w:gridCol w:w="621"/>
        <w:gridCol w:w="621"/>
        <w:gridCol w:w="621"/>
        <w:gridCol w:w="621"/>
        <w:gridCol w:w="621"/>
        <w:gridCol w:w="621"/>
        <w:gridCol w:w="621"/>
        <w:gridCol w:w="621"/>
        <w:gridCol w:w="621"/>
        <w:gridCol w:w="621"/>
        <w:gridCol w:w="621"/>
      </w:tblGrid>
      <w:tr w:rsidR="00E22C86" w:rsidRPr="00C22C49" w14:paraId="0896BB8B" w14:textId="77777777" w:rsidTr="00274CD9">
        <w:trPr>
          <w:trHeight w:val="300"/>
        </w:trPr>
        <w:tc>
          <w:tcPr>
            <w:tcW w:w="915" w:type="pct"/>
            <w:shd w:val="clear" w:color="auto" w:fill="auto"/>
            <w:noWrap/>
            <w:vAlign w:val="center"/>
            <w:hideMark/>
          </w:tcPr>
          <w:p w14:paraId="0896BB7D"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7E"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2023</w:t>
            </w:r>
          </w:p>
        </w:tc>
        <w:tc>
          <w:tcPr>
            <w:tcW w:w="314" w:type="pct"/>
            <w:shd w:val="clear" w:color="auto" w:fill="auto"/>
            <w:vAlign w:val="center"/>
            <w:hideMark/>
          </w:tcPr>
          <w:p w14:paraId="0896BB7F"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2024</w:t>
            </w:r>
          </w:p>
        </w:tc>
        <w:tc>
          <w:tcPr>
            <w:tcW w:w="314" w:type="pct"/>
            <w:shd w:val="clear" w:color="auto" w:fill="auto"/>
            <w:vAlign w:val="center"/>
            <w:hideMark/>
          </w:tcPr>
          <w:p w14:paraId="0896BB80"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2025</w:t>
            </w:r>
          </w:p>
        </w:tc>
        <w:tc>
          <w:tcPr>
            <w:tcW w:w="314" w:type="pct"/>
            <w:shd w:val="clear" w:color="auto" w:fill="auto"/>
            <w:vAlign w:val="center"/>
            <w:hideMark/>
          </w:tcPr>
          <w:p w14:paraId="0896BB81"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2026</w:t>
            </w:r>
          </w:p>
        </w:tc>
        <w:tc>
          <w:tcPr>
            <w:tcW w:w="314" w:type="pct"/>
            <w:shd w:val="clear" w:color="auto" w:fill="auto"/>
            <w:vAlign w:val="center"/>
            <w:hideMark/>
          </w:tcPr>
          <w:p w14:paraId="0896BB82"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2027</w:t>
            </w:r>
          </w:p>
        </w:tc>
        <w:tc>
          <w:tcPr>
            <w:tcW w:w="314" w:type="pct"/>
            <w:shd w:val="clear" w:color="auto" w:fill="auto"/>
            <w:vAlign w:val="center"/>
            <w:hideMark/>
          </w:tcPr>
          <w:p w14:paraId="0896BB83"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2028</w:t>
            </w:r>
          </w:p>
        </w:tc>
        <w:tc>
          <w:tcPr>
            <w:tcW w:w="314" w:type="pct"/>
            <w:shd w:val="clear" w:color="auto" w:fill="auto"/>
            <w:vAlign w:val="center"/>
            <w:hideMark/>
          </w:tcPr>
          <w:p w14:paraId="0896BB84"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2029</w:t>
            </w:r>
          </w:p>
        </w:tc>
        <w:tc>
          <w:tcPr>
            <w:tcW w:w="314" w:type="pct"/>
            <w:shd w:val="clear" w:color="auto" w:fill="auto"/>
            <w:vAlign w:val="center"/>
            <w:hideMark/>
          </w:tcPr>
          <w:p w14:paraId="0896BB85"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2030</w:t>
            </w:r>
          </w:p>
        </w:tc>
        <w:tc>
          <w:tcPr>
            <w:tcW w:w="314" w:type="pct"/>
            <w:shd w:val="clear" w:color="auto" w:fill="auto"/>
            <w:vAlign w:val="center"/>
            <w:hideMark/>
          </w:tcPr>
          <w:p w14:paraId="0896BB86"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2031</w:t>
            </w:r>
          </w:p>
        </w:tc>
        <w:tc>
          <w:tcPr>
            <w:tcW w:w="314" w:type="pct"/>
            <w:shd w:val="clear" w:color="auto" w:fill="auto"/>
            <w:vAlign w:val="center"/>
            <w:hideMark/>
          </w:tcPr>
          <w:p w14:paraId="0896BB87"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2032</w:t>
            </w:r>
          </w:p>
        </w:tc>
        <w:tc>
          <w:tcPr>
            <w:tcW w:w="314" w:type="pct"/>
            <w:shd w:val="clear" w:color="auto" w:fill="auto"/>
            <w:vAlign w:val="center"/>
            <w:hideMark/>
          </w:tcPr>
          <w:p w14:paraId="0896BB88"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2033</w:t>
            </w:r>
          </w:p>
        </w:tc>
        <w:tc>
          <w:tcPr>
            <w:tcW w:w="314" w:type="pct"/>
            <w:shd w:val="clear" w:color="auto" w:fill="auto"/>
            <w:vAlign w:val="center"/>
            <w:hideMark/>
          </w:tcPr>
          <w:p w14:paraId="0896BB89"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2034</w:t>
            </w:r>
          </w:p>
        </w:tc>
        <w:tc>
          <w:tcPr>
            <w:tcW w:w="314" w:type="pct"/>
            <w:shd w:val="clear" w:color="auto" w:fill="auto"/>
            <w:vAlign w:val="center"/>
            <w:hideMark/>
          </w:tcPr>
          <w:p w14:paraId="0896BB8A" w14:textId="77777777" w:rsidR="00E22C86" w:rsidRPr="00C22C49" w:rsidRDefault="00E22C86" w:rsidP="00E22C86">
            <w:pPr>
              <w:pStyle w:val="Table"/>
              <w:rPr>
                <w:rFonts w:eastAsia="Calibri"/>
                <w:b/>
                <w:bCs/>
                <w:sz w:val="18"/>
                <w:szCs w:val="20"/>
                <w:lang w:val="uk-UA" w:eastAsia="bg-BG"/>
              </w:rPr>
            </w:pPr>
            <w:r w:rsidRPr="00C22C49">
              <w:rPr>
                <w:rFonts w:eastAsia="Calibri"/>
                <w:b/>
                <w:bCs/>
                <w:sz w:val="18"/>
                <w:szCs w:val="20"/>
                <w:lang w:val="uk-UA" w:eastAsia="bg-BG"/>
              </w:rPr>
              <w:t>2035</w:t>
            </w:r>
          </w:p>
        </w:tc>
      </w:tr>
      <w:tr w:rsidR="00E22C86" w:rsidRPr="00C22C49" w14:paraId="0896BB9A" w14:textId="77777777" w:rsidTr="00274CD9">
        <w:trPr>
          <w:trHeight w:val="300"/>
        </w:trPr>
        <w:tc>
          <w:tcPr>
            <w:tcW w:w="915" w:type="pct"/>
            <w:shd w:val="clear" w:color="auto" w:fill="auto"/>
            <w:noWrap/>
            <w:vAlign w:val="center"/>
            <w:hideMark/>
          </w:tcPr>
          <w:p w14:paraId="0896BB8C"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Всього</w:t>
            </w:r>
          </w:p>
        </w:tc>
        <w:tc>
          <w:tcPr>
            <w:tcW w:w="314" w:type="pct"/>
            <w:shd w:val="clear" w:color="auto" w:fill="auto"/>
            <w:vAlign w:val="center"/>
            <w:hideMark/>
          </w:tcPr>
          <w:p w14:paraId="0896BB8D"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303,4</w:t>
            </w:r>
          </w:p>
        </w:tc>
        <w:tc>
          <w:tcPr>
            <w:tcW w:w="314" w:type="pct"/>
            <w:shd w:val="clear" w:color="auto" w:fill="auto"/>
            <w:vAlign w:val="center"/>
            <w:hideMark/>
          </w:tcPr>
          <w:p w14:paraId="0896BB8E"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318,3</w:t>
            </w:r>
          </w:p>
        </w:tc>
        <w:tc>
          <w:tcPr>
            <w:tcW w:w="314" w:type="pct"/>
            <w:shd w:val="clear" w:color="auto" w:fill="auto"/>
            <w:vAlign w:val="center"/>
            <w:hideMark/>
          </w:tcPr>
          <w:p w14:paraId="0896BB8F"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327,7</w:t>
            </w:r>
          </w:p>
        </w:tc>
        <w:tc>
          <w:tcPr>
            <w:tcW w:w="314" w:type="pct"/>
            <w:shd w:val="clear" w:color="auto" w:fill="auto"/>
            <w:vAlign w:val="center"/>
            <w:hideMark/>
          </w:tcPr>
          <w:p w14:paraId="0896BB90"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337,4</w:t>
            </w:r>
          </w:p>
        </w:tc>
        <w:tc>
          <w:tcPr>
            <w:tcW w:w="314" w:type="pct"/>
            <w:shd w:val="clear" w:color="auto" w:fill="auto"/>
            <w:vAlign w:val="center"/>
            <w:hideMark/>
          </w:tcPr>
          <w:p w14:paraId="0896BB91"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347,2</w:t>
            </w:r>
          </w:p>
        </w:tc>
        <w:tc>
          <w:tcPr>
            <w:tcW w:w="314" w:type="pct"/>
            <w:shd w:val="clear" w:color="auto" w:fill="auto"/>
            <w:vAlign w:val="center"/>
            <w:hideMark/>
          </w:tcPr>
          <w:p w14:paraId="0896BB92"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354,0</w:t>
            </w:r>
          </w:p>
        </w:tc>
        <w:tc>
          <w:tcPr>
            <w:tcW w:w="314" w:type="pct"/>
            <w:shd w:val="clear" w:color="auto" w:fill="auto"/>
            <w:vAlign w:val="center"/>
            <w:hideMark/>
          </w:tcPr>
          <w:p w14:paraId="0896BB93"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357,5</w:t>
            </w:r>
          </w:p>
        </w:tc>
        <w:tc>
          <w:tcPr>
            <w:tcW w:w="314" w:type="pct"/>
            <w:shd w:val="clear" w:color="auto" w:fill="auto"/>
            <w:vAlign w:val="center"/>
            <w:hideMark/>
          </w:tcPr>
          <w:p w14:paraId="0896BB94"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359,3</w:t>
            </w:r>
          </w:p>
        </w:tc>
        <w:tc>
          <w:tcPr>
            <w:tcW w:w="314" w:type="pct"/>
            <w:shd w:val="clear" w:color="auto" w:fill="auto"/>
            <w:vAlign w:val="center"/>
            <w:hideMark/>
          </w:tcPr>
          <w:p w14:paraId="0896BB95"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361,1</w:t>
            </w:r>
          </w:p>
        </w:tc>
        <w:tc>
          <w:tcPr>
            <w:tcW w:w="314" w:type="pct"/>
            <w:shd w:val="clear" w:color="auto" w:fill="auto"/>
            <w:vAlign w:val="center"/>
            <w:hideMark/>
          </w:tcPr>
          <w:p w14:paraId="0896BB96"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363,0</w:t>
            </w:r>
          </w:p>
        </w:tc>
        <w:tc>
          <w:tcPr>
            <w:tcW w:w="314" w:type="pct"/>
            <w:shd w:val="clear" w:color="auto" w:fill="auto"/>
            <w:vAlign w:val="center"/>
            <w:hideMark/>
          </w:tcPr>
          <w:p w14:paraId="0896BB97"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364,8</w:t>
            </w:r>
          </w:p>
        </w:tc>
        <w:tc>
          <w:tcPr>
            <w:tcW w:w="314" w:type="pct"/>
            <w:shd w:val="clear" w:color="auto" w:fill="auto"/>
            <w:vAlign w:val="center"/>
            <w:hideMark/>
          </w:tcPr>
          <w:p w14:paraId="0896BB98"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366,6</w:t>
            </w:r>
          </w:p>
        </w:tc>
        <w:tc>
          <w:tcPr>
            <w:tcW w:w="314" w:type="pct"/>
            <w:shd w:val="clear" w:color="auto" w:fill="auto"/>
            <w:vAlign w:val="center"/>
            <w:hideMark/>
          </w:tcPr>
          <w:p w14:paraId="0896BB99"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368,5</w:t>
            </w:r>
          </w:p>
        </w:tc>
      </w:tr>
      <w:tr w:rsidR="00E22C86" w:rsidRPr="00C22C49" w14:paraId="0896BBA9" w14:textId="77777777" w:rsidTr="00274CD9">
        <w:trPr>
          <w:trHeight w:val="300"/>
        </w:trPr>
        <w:tc>
          <w:tcPr>
            <w:tcW w:w="915" w:type="pct"/>
            <w:shd w:val="clear" w:color="auto" w:fill="auto"/>
            <w:noWrap/>
            <w:vAlign w:val="center"/>
            <w:hideMark/>
          </w:tcPr>
          <w:p w14:paraId="0896BB9B"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xml:space="preserve">в тому числі </w:t>
            </w:r>
          </w:p>
        </w:tc>
        <w:tc>
          <w:tcPr>
            <w:tcW w:w="314" w:type="pct"/>
            <w:shd w:val="clear" w:color="auto" w:fill="auto"/>
            <w:vAlign w:val="center"/>
            <w:hideMark/>
          </w:tcPr>
          <w:p w14:paraId="0896BB9C"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9D"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9E"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9F"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0"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1"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2"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3"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4"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5"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6"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7"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c>
          <w:tcPr>
            <w:tcW w:w="314" w:type="pct"/>
            <w:shd w:val="clear" w:color="auto" w:fill="auto"/>
            <w:vAlign w:val="center"/>
            <w:hideMark/>
          </w:tcPr>
          <w:p w14:paraId="0896BBA8"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 </w:t>
            </w:r>
          </w:p>
        </w:tc>
      </w:tr>
      <w:tr w:rsidR="00E22C86" w:rsidRPr="00C22C49" w14:paraId="0896BBB8" w14:textId="77777777" w:rsidTr="00274CD9">
        <w:trPr>
          <w:trHeight w:val="300"/>
        </w:trPr>
        <w:tc>
          <w:tcPr>
            <w:tcW w:w="915" w:type="pct"/>
            <w:shd w:val="clear" w:color="auto" w:fill="auto"/>
            <w:vAlign w:val="center"/>
            <w:hideMark/>
          </w:tcPr>
          <w:p w14:paraId="0896BBAA"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Портативні батареї</w:t>
            </w:r>
          </w:p>
        </w:tc>
        <w:tc>
          <w:tcPr>
            <w:tcW w:w="314" w:type="pct"/>
            <w:shd w:val="clear" w:color="auto" w:fill="auto"/>
            <w:vAlign w:val="center"/>
            <w:hideMark/>
          </w:tcPr>
          <w:p w14:paraId="0896BBAB"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3,3</w:t>
            </w:r>
          </w:p>
        </w:tc>
        <w:tc>
          <w:tcPr>
            <w:tcW w:w="314" w:type="pct"/>
            <w:shd w:val="clear" w:color="auto" w:fill="auto"/>
            <w:vAlign w:val="center"/>
            <w:hideMark/>
          </w:tcPr>
          <w:p w14:paraId="0896BBAC"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w:t>
            </w:r>
          </w:p>
        </w:tc>
        <w:tc>
          <w:tcPr>
            <w:tcW w:w="314" w:type="pct"/>
            <w:shd w:val="clear" w:color="auto" w:fill="auto"/>
            <w:vAlign w:val="center"/>
            <w:hideMark/>
          </w:tcPr>
          <w:p w14:paraId="0896BBAD"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3,5</w:t>
            </w:r>
          </w:p>
        </w:tc>
        <w:tc>
          <w:tcPr>
            <w:tcW w:w="314" w:type="pct"/>
            <w:shd w:val="clear" w:color="auto" w:fill="auto"/>
            <w:vAlign w:val="center"/>
            <w:hideMark/>
          </w:tcPr>
          <w:p w14:paraId="0896BBAE"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3,5</w:t>
            </w:r>
          </w:p>
        </w:tc>
        <w:tc>
          <w:tcPr>
            <w:tcW w:w="314" w:type="pct"/>
            <w:shd w:val="clear" w:color="auto" w:fill="auto"/>
            <w:vAlign w:val="center"/>
            <w:hideMark/>
          </w:tcPr>
          <w:p w14:paraId="0896BBAF"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w:t>
            </w:r>
          </w:p>
        </w:tc>
        <w:tc>
          <w:tcPr>
            <w:tcW w:w="314" w:type="pct"/>
            <w:shd w:val="clear" w:color="auto" w:fill="auto"/>
            <w:vAlign w:val="center"/>
            <w:hideMark/>
          </w:tcPr>
          <w:p w14:paraId="0896BBB0"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w:t>
            </w:r>
          </w:p>
        </w:tc>
        <w:tc>
          <w:tcPr>
            <w:tcW w:w="314" w:type="pct"/>
            <w:shd w:val="clear" w:color="auto" w:fill="auto"/>
            <w:vAlign w:val="center"/>
            <w:hideMark/>
          </w:tcPr>
          <w:p w14:paraId="0896BBB1"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w:t>
            </w:r>
          </w:p>
        </w:tc>
        <w:tc>
          <w:tcPr>
            <w:tcW w:w="314" w:type="pct"/>
            <w:shd w:val="clear" w:color="auto" w:fill="auto"/>
            <w:vAlign w:val="center"/>
            <w:hideMark/>
          </w:tcPr>
          <w:p w14:paraId="0896BBB2"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3,6</w:t>
            </w:r>
          </w:p>
        </w:tc>
        <w:tc>
          <w:tcPr>
            <w:tcW w:w="314" w:type="pct"/>
            <w:shd w:val="clear" w:color="auto" w:fill="auto"/>
            <w:vAlign w:val="center"/>
            <w:hideMark/>
          </w:tcPr>
          <w:p w14:paraId="0896BBB3"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3,7</w:t>
            </w:r>
          </w:p>
        </w:tc>
        <w:tc>
          <w:tcPr>
            <w:tcW w:w="314" w:type="pct"/>
            <w:shd w:val="clear" w:color="auto" w:fill="auto"/>
            <w:vAlign w:val="center"/>
            <w:hideMark/>
          </w:tcPr>
          <w:p w14:paraId="0896BBB4"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3,7</w:t>
            </w:r>
          </w:p>
        </w:tc>
        <w:tc>
          <w:tcPr>
            <w:tcW w:w="314" w:type="pct"/>
            <w:shd w:val="clear" w:color="auto" w:fill="auto"/>
            <w:vAlign w:val="center"/>
            <w:hideMark/>
          </w:tcPr>
          <w:p w14:paraId="0896BBB5"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3,7</w:t>
            </w:r>
          </w:p>
        </w:tc>
        <w:tc>
          <w:tcPr>
            <w:tcW w:w="314" w:type="pct"/>
            <w:shd w:val="clear" w:color="auto" w:fill="auto"/>
            <w:vAlign w:val="center"/>
            <w:hideMark/>
          </w:tcPr>
          <w:p w14:paraId="0896BBB6"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3,8</w:t>
            </w:r>
          </w:p>
        </w:tc>
        <w:tc>
          <w:tcPr>
            <w:tcW w:w="314" w:type="pct"/>
            <w:shd w:val="clear" w:color="auto" w:fill="auto"/>
            <w:vAlign w:val="center"/>
            <w:hideMark/>
          </w:tcPr>
          <w:p w14:paraId="0896BBB7"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3,8</w:t>
            </w:r>
          </w:p>
        </w:tc>
      </w:tr>
      <w:tr w:rsidR="00E22C86" w:rsidRPr="00C22C49" w14:paraId="0896BBC7" w14:textId="77777777" w:rsidTr="00274CD9">
        <w:trPr>
          <w:trHeight w:val="300"/>
        </w:trPr>
        <w:tc>
          <w:tcPr>
            <w:tcW w:w="915" w:type="pct"/>
            <w:shd w:val="clear" w:color="auto" w:fill="auto"/>
            <w:vAlign w:val="center"/>
            <w:hideMark/>
          </w:tcPr>
          <w:p w14:paraId="0896BBB9"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Промислові батареї</w:t>
            </w:r>
          </w:p>
        </w:tc>
        <w:tc>
          <w:tcPr>
            <w:tcW w:w="314" w:type="pct"/>
            <w:shd w:val="clear" w:color="auto" w:fill="auto"/>
            <w:vAlign w:val="center"/>
            <w:hideMark/>
          </w:tcPr>
          <w:p w14:paraId="0896BBBA"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14,1</w:t>
            </w:r>
          </w:p>
        </w:tc>
        <w:tc>
          <w:tcPr>
            <w:tcW w:w="314" w:type="pct"/>
            <w:shd w:val="clear" w:color="auto" w:fill="auto"/>
            <w:vAlign w:val="center"/>
            <w:hideMark/>
          </w:tcPr>
          <w:p w14:paraId="0896BBBB"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14,6</w:t>
            </w:r>
          </w:p>
        </w:tc>
        <w:tc>
          <w:tcPr>
            <w:tcW w:w="314" w:type="pct"/>
            <w:shd w:val="clear" w:color="auto" w:fill="auto"/>
            <w:vAlign w:val="center"/>
            <w:hideMark/>
          </w:tcPr>
          <w:p w14:paraId="0896BBBC"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15,0</w:t>
            </w:r>
          </w:p>
        </w:tc>
        <w:tc>
          <w:tcPr>
            <w:tcW w:w="314" w:type="pct"/>
            <w:shd w:val="clear" w:color="auto" w:fill="auto"/>
            <w:vAlign w:val="center"/>
            <w:hideMark/>
          </w:tcPr>
          <w:p w14:paraId="0896BBBD"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15,3</w:t>
            </w:r>
          </w:p>
        </w:tc>
        <w:tc>
          <w:tcPr>
            <w:tcW w:w="314" w:type="pct"/>
            <w:shd w:val="clear" w:color="auto" w:fill="auto"/>
            <w:vAlign w:val="center"/>
            <w:hideMark/>
          </w:tcPr>
          <w:p w14:paraId="0896BBBE"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15,5</w:t>
            </w:r>
          </w:p>
        </w:tc>
        <w:tc>
          <w:tcPr>
            <w:tcW w:w="314" w:type="pct"/>
            <w:shd w:val="clear" w:color="auto" w:fill="auto"/>
            <w:vAlign w:val="center"/>
            <w:hideMark/>
          </w:tcPr>
          <w:p w14:paraId="0896BBBF"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15,7</w:t>
            </w:r>
          </w:p>
        </w:tc>
        <w:tc>
          <w:tcPr>
            <w:tcW w:w="314" w:type="pct"/>
            <w:shd w:val="clear" w:color="auto" w:fill="auto"/>
            <w:vAlign w:val="center"/>
            <w:hideMark/>
          </w:tcPr>
          <w:p w14:paraId="0896BBC0"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15,9</w:t>
            </w:r>
          </w:p>
        </w:tc>
        <w:tc>
          <w:tcPr>
            <w:tcW w:w="314" w:type="pct"/>
            <w:shd w:val="clear" w:color="auto" w:fill="auto"/>
            <w:vAlign w:val="center"/>
            <w:hideMark/>
          </w:tcPr>
          <w:p w14:paraId="0896BBC1"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16,0</w:t>
            </w:r>
          </w:p>
        </w:tc>
        <w:tc>
          <w:tcPr>
            <w:tcW w:w="314" w:type="pct"/>
            <w:shd w:val="clear" w:color="auto" w:fill="auto"/>
            <w:vAlign w:val="center"/>
            <w:hideMark/>
          </w:tcPr>
          <w:p w14:paraId="0896BBC2"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16,0</w:t>
            </w:r>
          </w:p>
        </w:tc>
        <w:tc>
          <w:tcPr>
            <w:tcW w:w="314" w:type="pct"/>
            <w:shd w:val="clear" w:color="auto" w:fill="auto"/>
            <w:vAlign w:val="center"/>
            <w:hideMark/>
          </w:tcPr>
          <w:p w14:paraId="0896BBC3"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16,1</w:t>
            </w:r>
          </w:p>
        </w:tc>
        <w:tc>
          <w:tcPr>
            <w:tcW w:w="314" w:type="pct"/>
            <w:shd w:val="clear" w:color="auto" w:fill="auto"/>
            <w:vAlign w:val="center"/>
            <w:hideMark/>
          </w:tcPr>
          <w:p w14:paraId="0896BBC4"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16,2</w:t>
            </w:r>
          </w:p>
        </w:tc>
        <w:tc>
          <w:tcPr>
            <w:tcW w:w="314" w:type="pct"/>
            <w:shd w:val="clear" w:color="auto" w:fill="auto"/>
            <w:vAlign w:val="center"/>
            <w:hideMark/>
          </w:tcPr>
          <w:p w14:paraId="0896BBC5"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16,3</w:t>
            </w:r>
          </w:p>
        </w:tc>
        <w:tc>
          <w:tcPr>
            <w:tcW w:w="314" w:type="pct"/>
            <w:shd w:val="clear" w:color="auto" w:fill="auto"/>
            <w:vAlign w:val="center"/>
            <w:hideMark/>
          </w:tcPr>
          <w:p w14:paraId="0896BBC6"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16,4</w:t>
            </w:r>
          </w:p>
        </w:tc>
      </w:tr>
      <w:tr w:rsidR="00E22C86" w:rsidRPr="00C22C49" w14:paraId="0896BBD6" w14:textId="77777777" w:rsidTr="00274CD9">
        <w:trPr>
          <w:trHeight w:val="300"/>
        </w:trPr>
        <w:tc>
          <w:tcPr>
            <w:tcW w:w="915" w:type="pct"/>
            <w:shd w:val="clear" w:color="auto" w:fill="auto"/>
            <w:vAlign w:val="center"/>
            <w:hideMark/>
          </w:tcPr>
          <w:p w14:paraId="0896BBC8"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Акумулятори</w:t>
            </w:r>
          </w:p>
        </w:tc>
        <w:tc>
          <w:tcPr>
            <w:tcW w:w="314" w:type="pct"/>
            <w:shd w:val="clear" w:color="auto" w:fill="auto"/>
            <w:vAlign w:val="center"/>
            <w:hideMark/>
          </w:tcPr>
          <w:p w14:paraId="0896BBC9"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286,0</w:t>
            </w:r>
          </w:p>
        </w:tc>
        <w:tc>
          <w:tcPr>
            <w:tcW w:w="314" w:type="pct"/>
            <w:shd w:val="clear" w:color="auto" w:fill="auto"/>
            <w:vAlign w:val="center"/>
            <w:hideMark/>
          </w:tcPr>
          <w:p w14:paraId="0896BBCA"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300,3</w:t>
            </w:r>
          </w:p>
        </w:tc>
        <w:tc>
          <w:tcPr>
            <w:tcW w:w="314" w:type="pct"/>
            <w:shd w:val="clear" w:color="auto" w:fill="auto"/>
            <w:vAlign w:val="center"/>
            <w:hideMark/>
          </w:tcPr>
          <w:p w14:paraId="0896BBCB"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309,3</w:t>
            </w:r>
          </w:p>
        </w:tc>
        <w:tc>
          <w:tcPr>
            <w:tcW w:w="314" w:type="pct"/>
            <w:shd w:val="clear" w:color="auto" w:fill="auto"/>
            <w:vAlign w:val="center"/>
            <w:hideMark/>
          </w:tcPr>
          <w:p w14:paraId="0896BBCC"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318,6</w:t>
            </w:r>
          </w:p>
        </w:tc>
        <w:tc>
          <w:tcPr>
            <w:tcW w:w="314" w:type="pct"/>
            <w:shd w:val="clear" w:color="auto" w:fill="auto"/>
            <w:vAlign w:val="center"/>
            <w:hideMark/>
          </w:tcPr>
          <w:p w14:paraId="0896BBCD"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328,1</w:t>
            </w:r>
          </w:p>
        </w:tc>
        <w:tc>
          <w:tcPr>
            <w:tcW w:w="314" w:type="pct"/>
            <w:shd w:val="clear" w:color="auto" w:fill="auto"/>
            <w:vAlign w:val="center"/>
            <w:hideMark/>
          </w:tcPr>
          <w:p w14:paraId="0896BBCE"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334,7</w:t>
            </w:r>
          </w:p>
        </w:tc>
        <w:tc>
          <w:tcPr>
            <w:tcW w:w="314" w:type="pct"/>
            <w:shd w:val="clear" w:color="auto" w:fill="auto"/>
            <w:vAlign w:val="center"/>
            <w:hideMark/>
          </w:tcPr>
          <w:p w14:paraId="0896BBCF"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338,1</w:t>
            </w:r>
          </w:p>
        </w:tc>
        <w:tc>
          <w:tcPr>
            <w:tcW w:w="314" w:type="pct"/>
            <w:shd w:val="clear" w:color="auto" w:fill="auto"/>
            <w:vAlign w:val="center"/>
            <w:hideMark/>
          </w:tcPr>
          <w:p w14:paraId="0896BBD0"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339,7</w:t>
            </w:r>
          </w:p>
        </w:tc>
        <w:tc>
          <w:tcPr>
            <w:tcW w:w="314" w:type="pct"/>
            <w:shd w:val="clear" w:color="auto" w:fill="auto"/>
            <w:vAlign w:val="center"/>
            <w:hideMark/>
          </w:tcPr>
          <w:p w14:paraId="0896BBD1"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341,4</w:t>
            </w:r>
          </w:p>
        </w:tc>
        <w:tc>
          <w:tcPr>
            <w:tcW w:w="314" w:type="pct"/>
            <w:shd w:val="clear" w:color="auto" w:fill="auto"/>
            <w:vAlign w:val="center"/>
            <w:hideMark/>
          </w:tcPr>
          <w:p w14:paraId="0896BBD2"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343,2</w:t>
            </w:r>
          </w:p>
        </w:tc>
        <w:tc>
          <w:tcPr>
            <w:tcW w:w="314" w:type="pct"/>
            <w:shd w:val="clear" w:color="auto" w:fill="auto"/>
            <w:vAlign w:val="center"/>
            <w:hideMark/>
          </w:tcPr>
          <w:p w14:paraId="0896BBD3"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344,9</w:t>
            </w:r>
          </w:p>
        </w:tc>
        <w:tc>
          <w:tcPr>
            <w:tcW w:w="314" w:type="pct"/>
            <w:shd w:val="clear" w:color="auto" w:fill="auto"/>
            <w:vAlign w:val="center"/>
            <w:hideMark/>
          </w:tcPr>
          <w:p w14:paraId="0896BBD4"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346,6</w:t>
            </w:r>
          </w:p>
        </w:tc>
        <w:tc>
          <w:tcPr>
            <w:tcW w:w="314" w:type="pct"/>
            <w:shd w:val="clear" w:color="auto" w:fill="auto"/>
            <w:vAlign w:val="center"/>
            <w:hideMark/>
          </w:tcPr>
          <w:p w14:paraId="0896BBD5" w14:textId="77777777" w:rsidR="00E22C86" w:rsidRPr="00C22C49" w:rsidRDefault="00E22C86" w:rsidP="00E22C86">
            <w:pPr>
              <w:pStyle w:val="Table"/>
              <w:rPr>
                <w:rFonts w:eastAsia="Calibri"/>
                <w:sz w:val="18"/>
                <w:szCs w:val="20"/>
                <w:lang w:val="uk-UA" w:eastAsia="bg-BG"/>
              </w:rPr>
            </w:pPr>
            <w:r w:rsidRPr="00C22C49">
              <w:rPr>
                <w:rFonts w:eastAsia="Calibri"/>
                <w:sz w:val="18"/>
                <w:szCs w:val="20"/>
                <w:lang w:val="uk-UA" w:eastAsia="bg-BG"/>
              </w:rPr>
              <w:t>348,3</w:t>
            </w:r>
          </w:p>
        </w:tc>
      </w:tr>
    </w:tbl>
    <w:p w14:paraId="0896BBD7" w14:textId="77777777" w:rsidR="002455ED" w:rsidRPr="00C22C49" w:rsidRDefault="001A6F31" w:rsidP="005E4C42">
      <w:r w:rsidRPr="00C22C49">
        <w:rPr>
          <w:rFonts w:eastAsia="Calibri" w:cs="Times New Roman"/>
          <w:sz w:val="20"/>
          <w:lang w:eastAsia="bg-BG"/>
        </w:rPr>
        <w:t>Динаміка  утворення відходів батарей та акумуляторів (в % до 2022 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21"/>
        <w:gridCol w:w="621"/>
        <w:gridCol w:w="621"/>
        <w:gridCol w:w="621"/>
        <w:gridCol w:w="621"/>
        <w:gridCol w:w="621"/>
        <w:gridCol w:w="621"/>
        <w:gridCol w:w="621"/>
        <w:gridCol w:w="621"/>
        <w:gridCol w:w="621"/>
        <w:gridCol w:w="621"/>
        <w:gridCol w:w="621"/>
        <w:gridCol w:w="621"/>
      </w:tblGrid>
      <w:tr w:rsidR="001A6F31" w:rsidRPr="00C22C49" w14:paraId="0896BBE6" w14:textId="77777777" w:rsidTr="00274CD9">
        <w:trPr>
          <w:trHeight w:val="288"/>
        </w:trPr>
        <w:tc>
          <w:tcPr>
            <w:tcW w:w="1809" w:type="dxa"/>
            <w:shd w:val="clear" w:color="auto" w:fill="auto"/>
            <w:noWrap/>
            <w:hideMark/>
          </w:tcPr>
          <w:p w14:paraId="0896BBD8"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D9"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2023</w:t>
            </w:r>
          </w:p>
        </w:tc>
        <w:tc>
          <w:tcPr>
            <w:tcW w:w="621" w:type="dxa"/>
            <w:shd w:val="clear" w:color="auto" w:fill="auto"/>
            <w:vAlign w:val="center"/>
            <w:hideMark/>
          </w:tcPr>
          <w:p w14:paraId="0896BBDA"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2024</w:t>
            </w:r>
          </w:p>
        </w:tc>
        <w:tc>
          <w:tcPr>
            <w:tcW w:w="621" w:type="dxa"/>
            <w:shd w:val="clear" w:color="auto" w:fill="auto"/>
            <w:vAlign w:val="center"/>
            <w:hideMark/>
          </w:tcPr>
          <w:p w14:paraId="0896BBDB"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2025</w:t>
            </w:r>
          </w:p>
        </w:tc>
        <w:tc>
          <w:tcPr>
            <w:tcW w:w="621" w:type="dxa"/>
            <w:shd w:val="clear" w:color="auto" w:fill="auto"/>
            <w:vAlign w:val="center"/>
            <w:hideMark/>
          </w:tcPr>
          <w:p w14:paraId="0896BBDC"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2026</w:t>
            </w:r>
          </w:p>
        </w:tc>
        <w:tc>
          <w:tcPr>
            <w:tcW w:w="621" w:type="dxa"/>
            <w:shd w:val="clear" w:color="auto" w:fill="auto"/>
            <w:vAlign w:val="center"/>
            <w:hideMark/>
          </w:tcPr>
          <w:p w14:paraId="0896BBDD"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2027</w:t>
            </w:r>
          </w:p>
        </w:tc>
        <w:tc>
          <w:tcPr>
            <w:tcW w:w="621" w:type="dxa"/>
            <w:shd w:val="clear" w:color="auto" w:fill="auto"/>
            <w:vAlign w:val="center"/>
            <w:hideMark/>
          </w:tcPr>
          <w:p w14:paraId="0896BBDE"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2028</w:t>
            </w:r>
          </w:p>
        </w:tc>
        <w:tc>
          <w:tcPr>
            <w:tcW w:w="621" w:type="dxa"/>
            <w:shd w:val="clear" w:color="auto" w:fill="auto"/>
            <w:vAlign w:val="center"/>
            <w:hideMark/>
          </w:tcPr>
          <w:p w14:paraId="0896BBDF"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2029</w:t>
            </w:r>
          </w:p>
        </w:tc>
        <w:tc>
          <w:tcPr>
            <w:tcW w:w="621" w:type="dxa"/>
            <w:shd w:val="clear" w:color="auto" w:fill="auto"/>
            <w:vAlign w:val="center"/>
            <w:hideMark/>
          </w:tcPr>
          <w:p w14:paraId="0896BBE0"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2030</w:t>
            </w:r>
          </w:p>
        </w:tc>
        <w:tc>
          <w:tcPr>
            <w:tcW w:w="621" w:type="dxa"/>
            <w:shd w:val="clear" w:color="auto" w:fill="auto"/>
            <w:vAlign w:val="center"/>
            <w:hideMark/>
          </w:tcPr>
          <w:p w14:paraId="0896BBE1"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2031</w:t>
            </w:r>
          </w:p>
        </w:tc>
        <w:tc>
          <w:tcPr>
            <w:tcW w:w="621" w:type="dxa"/>
            <w:shd w:val="clear" w:color="auto" w:fill="auto"/>
            <w:vAlign w:val="center"/>
            <w:hideMark/>
          </w:tcPr>
          <w:p w14:paraId="0896BBE2"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2032</w:t>
            </w:r>
          </w:p>
        </w:tc>
        <w:tc>
          <w:tcPr>
            <w:tcW w:w="621" w:type="dxa"/>
            <w:shd w:val="clear" w:color="auto" w:fill="auto"/>
            <w:vAlign w:val="center"/>
            <w:hideMark/>
          </w:tcPr>
          <w:p w14:paraId="0896BBE3"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2033</w:t>
            </w:r>
          </w:p>
        </w:tc>
        <w:tc>
          <w:tcPr>
            <w:tcW w:w="621" w:type="dxa"/>
            <w:shd w:val="clear" w:color="auto" w:fill="auto"/>
            <w:vAlign w:val="center"/>
            <w:hideMark/>
          </w:tcPr>
          <w:p w14:paraId="0896BBE4"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2034</w:t>
            </w:r>
          </w:p>
        </w:tc>
        <w:tc>
          <w:tcPr>
            <w:tcW w:w="621" w:type="dxa"/>
            <w:shd w:val="clear" w:color="auto" w:fill="auto"/>
            <w:vAlign w:val="center"/>
            <w:hideMark/>
          </w:tcPr>
          <w:p w14:paraId="0896BBE5" w14:textId="77777777" w:rsidR="001A6F31" w:rsidRPr="00C22C49" w:rsidRDefault="001A6F31" w:rsidP="001A6F31">
            <w:pPr>
              <w:pStyle w:val="Table"/>
              <w:rPr>
                <w:rFonts w:eastAsia="Calibri"/>
                <w:b/>
                <w:bCs/>
                <w:sz w:val="18"/>
                <w:szCs w:val="20"/>
                <w:lang w:val="uk-UA" w:eastAsia="bg-BG"/>
              </w:rPr>
            </w:pPr>
            <w:r w:rsidRPr="00C22C49">
              <w:rPr>
                <w:rFonts w:eastAsia="Calibri"/>
                <w:b/>
                <w:bCs/>
                <w:sz w:val="18"/>
                <w:szCs w:val="20"/>
                <w:lang w:val="uk-UA" w:eastAsia="bg-BG"/>
              </w:rPr>
              <w:t>2035</w:t>
            </w:r>
          </w:p>
        </w:tc>
      </w:tr>
      <w:tr w:rsidR="001A6F31" w:rsidRPr="00C22C49" w14:paraId="0896BBF5" w14:textId="77777777" w:rsidTr="00274CD9">
        <w:trPr>
          <w:trHeight w:val="288"/>
        </w:trPr>
        <w:tc>
          <w:tcPr>
            <w:tcW w:w="1809" w:type="dxa"/>
            <w:shd w:val="clear" w:color="auto" w:fill="auto"/>
            <w:noWrap/>
            <w:hideMark/>
          </w:tcPr>
          <w:p w14:paraId="0896BBE7"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Всього, %</w:t>
            </w:r>
          </w:p>
        </w:tc>
        <w:tc>
          <w:tcPr>
            <w:tcW w:w="621" w:type="dxa"/>
            <w:shd w:val="clear" w:color="auto" w:fill="auto"/>
            <w:vAlign w:val="center"/>
            <w:hideMark/>
          </w:tcPr>
          <w:p w14:paraId="0896BBE8"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110,3</w:t>
            </w:r>
          </w:p>
        </w:tc>
        <w:tc>
          <w:tcPr>
            <w:tcW w:w="621" w:type="dxa"/>
            <w:shd w:val="clear" w:color="auto" w:fill="auto"/>
            <w:vAlign w:val="center"/>
            <w:hideMark/>
          </w:tcPr>
          <w:p w14:paraId="0896BBE9"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115,7</w:t>
            </w:r>
          </w:p>
        </w:tc>
        <w:tc>
          <w:tcPr>
            <w:tcW w:w="621" w:type="dxa"/>
            <w:shd w:val="clear" w:color="auto" w:fill="auto"/>
            <w:vAlign w:val="center"/>
            <w:hideMark/>
          </w:tcPr>
          <w:p w14:paraId="0896BBEA"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119,2</w:t>
            </w:r>
          </w:p>
        </w:tc>
        <w:tc>
          <w:tcPr>
            <w:tcW w:w="621" w:type="dxa"/>
            <w:shd w:val="clear" w:color="auto" w:fill="auto"/>
            <w:vAlign w:val="center"/>
            <w:hideMark/>
          </w:tcPr>
          <w:p w14:paraId="0896BBEB"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122,7</w:t>
            </w:r>
          </w:p>
        </w:tc>
        <w:tc>
          <w:tcPr>
            <w:tcW w:w="621" w:type="dxa"/>
            <w:shd w:val="clear" w:color="auto" w:fill="auto"/>
            <w:vAlign w:val="center"/>
            <w:hideMark/>
          </w:tcPr>
          <w:p w14:paraId="0896BBEC"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126,3</w:t>
            </w:r>
          </w:p>
        </w:tc>
        <w:tc>
          <w:tcPr>
            <w:tcW w:w="621" w:type="dxa"/>
            <w:shd w:val="clear" w:color="auto" w:fill="auto"/>
            <w:vAlign w:val="center"/>
            <w:hideMark/>
          </w:tcPr>
          <w:p w14:paraId="0896BBED"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128,7</w:t>
            </w:r>
          </w:p>
        </w:tc>
        <w:tc>
          <w:tcPr>
            <w:tcW w:w="621" w:type="dxa"/>
            <w:shd w:val="clear" w:color="auto" w:fill="auto"/>
            <w:vAlign w:val="center"/>
            <w:hideMark/>
          </w:tcPr>
          <w:p w14:paraId="0896BBEE"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130,0</w:t>
            </w:r>
          </w:p>
        </w:tc>
        <w:tc>
          <w:tcPr>
            <w:tcW w:w="621" w:type="dxa"/>
            <w:shd w:val="clear" w:color="auto" w:fill="auto"/>
            <w:vAlign w:val="center"/>
            <w:hideMark/>
          </w:tcPr>
          <w:p w14:paraId="0896BBEF"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130,7</w:t>
            </w:r>
          </w:p>
        </w:tc>
        <w:tc>
          <w:tcPr>
            <w:tcW w:w="621" w:type="dxa"/>
            <w:shd w:val="clear" w:color="auto" w:fill="auto"/>
            <w:vAlign w:val="center"/>
            <w:hideMark/>
          </w:tcPr>
          <w:p w14:paraId="0896BBF0"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131,3</w:t>
            </w:r>
          </w:p>
        </w:tc>
        <w:tc>
          <w:tcPr>
            <w:tcW w:w="621" w:type="dxa"/>
            <w:shd w:val="clear" w:color="auto" w:fill="auto"/>
            <w:vAlign w:val="center"/>
            <w:hideMark/>
          </w:tcPr>
          <w:p w14:paraId="0896BBF1"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132,0</w:t>
            </w:r>
          </w:p>
        </w:tc>
        <w:tc>
          <w:tcPr>
            <w:tcW w:w="621" w:type="dxa"/>
            <w:shd w:val="clear" w:color="auto" w:fill="auto"/>
            <w:vAlign w:val="center"/>
            <w:hideMark/>
          </w:tcPr>
          <w:p w14:paraId="0896BBF2"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132,7</w:t>
            </w:r>
          </w:p>
        </w:tc>
        <w:tc>
          <w:tcPr>
            <w:tcW w:w="621" w:type="dxa"/>
            <w:shd w:val="clear" w:color="auto" w:fill="auto"/>
            <w:vAlign w:val="center"/>
            <w:hideMark/>
          </w:tcPr>
          <w:p w14:paraId="0896BBF3"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133,3</w:t>
            </w:r>
          </w:p>
        </w:tc>
        <w:tc>
          <w:tcPr>
            <w:tcW w:w="621" w:type="dxa"/>
            <w:shd w:val="clear" w:color="auto" w:fill="auto"/>
            <w:vAlign w:val="center"/>
            <w:hideMark/>
          </w:tcPr>
          <w:p w14:paraId="0896BBF4"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134,0</w:t>
            </w:r>
          </w:p>
        </w:tc>
      </w:tr>
      <w:tr w:rsidR="001A6F31" w:rsidRPr="00C22C49" w14:paraId="0896BC04" w14:textId="77777777" w:rsidTr="00274CD9">
        <w:trPr>
          <w:trHeight w:val="288"/>
        </w:trPr>
        <w:tc>
          <w:tcPr>
            <w:tcW w:w="1809" w:type="dxa"/>
            <w:shd w:val="clear" w:color="auto" w:fill="auto"/>
            <w:noWrap/>
            <w:hideMark/>
          </w:tcPr>
          <w:p w14:paraId="0896BBF6"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xml:space="preserve">в тому числі </w:t>
            </w:r>
          </w:p>
        </w:tc>
        <w:tc>
          <w:tcPr>
            <w:tcW w:w="621" w:type="dxa"/>
            <w:shd w:val="clear" w:color="auto" w:fill="auto"/>
            <w:vAlign w:val="center"/>
            <w:hideMark/>
          </w:tcPr>
          <w:p w14:paraId="0896BBF7"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8"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9"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A"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B"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C"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D"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E"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BFF"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C00"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C01"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C02"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c>
          <w:tcPr>
            <w:tcW w:w="621" w:type="dxa"/>
            <w:shd w:val="clear" w:color="auto" w:fill="auto"/>
            <w:vAlign w:val="center"/>
            <w:hideMark/>
          </w:tcPr>
          <w:p w14:paraId="0896BC03"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 </w:t>
            </w:r>
          </w:p>
        </w:tc>
      </w:tr>
      <w:tr w:rsidR="001A6F31" w:rsidRPr="00C22C49" w14:paraId="0896BC13" w14:textId="77777777" w:rsidTr="00274CD9">
        <w:trPr>
          <w:trHeight w:val="288"/>
        </w:trPr>
        <w:tc>
          <w:tcPr>
            <w:tcW w:w="1809" w:type="dxa"/>
            <w:shd w:val="clear" w:color="auto" w:fill="auto"/>
            <w:vAlign w:val="center"/>
            <w:hideMark/>
          </w:tcPr>
          <w:p w14:paraId="0896BC05"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Портативні батареї</w:t>
            </w:r>
          </w:p>
        </w:tc>
        <w:tc>
          <w:tcPr>
            <w:tcW w:w="621" w:type="dxa"/>
            <w:shd w:val="clear" w:color="auto" w:fill="auto"/>
            <w:vAlign w:val="center"/>
            <w:hideMark/>
          </w:tcPr>
          <w:p w14:paraId="0896BC06"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110,0</w:t>
            </w:r>
          </w:p>
        </w:tc>
        <w:tc>
          <w:tcPr>
            <w:tcW w:w="621" w:type="dxa"/>
            <w:shd w:val="clear" w:color="auto" w:fill="auto"/>
            <w:vAlign w:val="center"/>
            <w:hideMark/>
          </w:tcPr>
          <w:p w14:paraId="0896BC07"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112,8</w:t>
            </w:r>
          </w:p>
        </w:tc>
        <w:tc>
          <w:tcPr>
            <w:tcW w:w="621" w:type="dxa"/>
            <w:shd w:val="clear" w:color="auto" w:fill="auto"/>
            <w:vAlign w:val="center"/>
            <w:hideMark/>
          </w:tcPr>
          <w:p w14:paraId="0896BC08"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115,6</w:t>
            </w:r>
          </w:p>
        </w:tc>
        <w:tc>
          <w:tcPr>
            <w:tcW w:w="621" w:type="dxa"/>
            <w:shd w:val="clear" w:color="auto" w:fill="auto"/>
            <w:vAlign w:val="center"/>
            <w:hideMark/>
          </w:tcPr>
          <w:p w14:paraId="0896BC09"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117,3</w:t>
            </w:r>
          </w:p>
        </w:tc>
        <w:tc>
          <w:tcPr>
            <w:tcW w:w="621" w:type="dxa"/>
            <w:shd w:val="clear" w:color="auto" w:fill="auto"/>
            <w:vAlign w:val="center"/>
            <w:hideMark/>
          </w:tcPr>
          <w:p w14:paraId="0896BC0A"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119,1</w:t>
            </w:r>
          </w:p>
        </w:tc>
        <w:tc>
          <w:tcPr>
            <w:tcW w:w="621" w:type="dxa"/>
            <w:shd w:val="clear" w:color="auto" w:fill="auto"/>
            <w:vAlign w:val="center"/>
            <w:hideMark/>
          </w:tcPr>
          <w:p w14:paraId="0896BC0B"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119,7</w:t>
            </w:r>
          </w:p>
        </w:tc>
        <w:tc>
          <w:tcPr>
            <w:tcW w:w="621" w:type="dxa"/>
            <w:shd w:val="clear" w:color="auto" w:fill="auto"/>
            <w:vAlign w:val="center"/>
            <w:hideMark/>
          </w:tcPr>
          <w:p w14:paraId="0896BC0C"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119,7</w:t>
            </w:r>
          </w:p>
        </w:tc>
        <w:tc>
          <w:tcPr>
            <w:tcW w:w="621" w:type="dxa"/>
            <w:shd w:val="clear" w:color="auto" w:fill="auto"/>
            <w:vAlign w:val="center"/>
            <w:hideMark/>
          </w:tcPr>
          <w:p w14:paraId="0896BC0D"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120,9</w:t>
            </w:r>
          </w:p>
        </w:tc>
        <w:tc>
          <w:tcPr>
            <w:tcW w:w="621" w:type="dxa"/>
            <w:shd w:val="clear" w:color="auto" w:fill="auto"/>
            <w:vAlign w:val="center"/>
            <w:hideMark/>
          </w:tcPr>
          <w:p w14:paraId="0896BC0E"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122,1</w:t>
            </w:r>
          </w:p>
        </w:tc>
        <w:tc>
          <w:tcPr>
            <w:tcW w:w="621" w:type="dxa"/>
            <w:shd w:val="clear" w:color="auto" w:fill="auto"/>
            <w:vAlign w:val="center"/>
            <w:hideMark/>
          </w:tcPr>
          <w:p w14:paraId="0896BC0F"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123,3</w:t>
            </w:r>
          </w:p>
        </w:tc>
        <w:tc>
          <w:tcPr>
            <w:tcW w:w="621" w:type="dxa"/>
            <w:shd w:val="clear" w:color="auto" w:fill="auto"/>
            <w:vAlign w:val="center"/>
            <w:hideMark/>
          </w:tcPr>
          <w:p w14:paraId="0896BC10"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124,5</w:t>
            </w:r>
          </w:p>
        </w:tc>
        <w:tc>
          <w:tcPr>
            <w:tcW w:w="621" w:type="dxa"/>
            <w:shd w:val="clear" w:color="auto" w:fill="auto"/>
            <w:vAlign w:val="center"/>
            <w:hideMark/>
          </w:tcPr>
          <w:p w14:paraId="0896BC11"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125,8</w:t>
            </w:r>
          </w:p>
        </w:tc>
        <w:tc>
          <w:tcPr>
            <w:tcW w:w="621" w:type="dxa"/>
            <w:shd w:val="clear" w:color="auto" w:fill="auto"/>
            <w:vAlign w:val="center"/>
            <w:hideMark/>
          </w:tcPr>
          <w:p w14:paraId="0896BC12"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127,0</w:t>
            </w:r>
          </w:p>
        </w:tc>
      </w:tr>
      <w:tr w:rsidR="001A6F31" w:rsidRPr="00C22C49" w14:paraId="0896BC22" w14:textId="77777777" w:rsidTr="00274CD9">
        <w:trPr>
          <w:trHeight w:val="288"/>
        </w:trPr>
        <w:tc>
          <w:tcPr>
            <w:tcW w:w="1809" w:type="dxa"/>
            <w:shd w:val="clear" w:color="auto" w:fill="auto"/>
            <w:vAlign w:val="center"/>
            <w:hideMark/>
          </w:tcPr>
          <w:p w14:paraId="0896BC14"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Промислові батареї</w:t>
            </w:r>
          </w:p>
        </w:tc>
        <w:tc>
          <w:tcPr>
            <w:tcW w:w="621" w:type="dxa"/>
            <w:shd w:val="clear" w:color="auto" w:fill="auto"/>
            <w:vAlign w:val="center"/>
            <w:hideMark/>
          </w:tcPr>
          <w:p w14:paraId="0896BC15"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117,5</w:t>
            </w:r>
          </w:p>
        </w:tc>
        <w:tc>
          <w:tcPr>
            <w:tcW w:w="621" w:type="dxa"/>
            <w:shd w:val="clear" w:color="auto" w:fill="auto"/>
            <w:vAlign w:val="center"/>
            <w:hideMark/>
          </w:tcPr>
          <w:p w14:paraId="0896BC16"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121,6</w:t>
            </w:r>
          </w:p>
        </w:tc>
        <w:tc>
          <w:tcPr>
            <w:tcW w:w="621" w:type="dxa"/>
            <w:shd w:val="clear" w:color="auto" w:fill="auto"/>
            <w:vAlign w:val="center"/>
            <w:hideMark/>
          </w:tcPr>
          <w:p w14:paraId="0896BC17"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124,7</w:t>
            </w:r>
          </w:p>
        </w:tc>
        <w:tc>
          <w:tcPr>
            <w:tcW w:w="621" w:type="dxa"/>
            <w:shd w:val="clear" w:color="auto" w:fill="auto"/>
            <w:vAlign w:val="center"/>
            <w:hideMark/>
          </w:tcPr>
          <w:p w14:paraId="0896BC18"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127,8</w:t>
            </w:r>
          </w:p>
        </w:tc>
        <w:tc>
          <w:tcPr>
            <w:tcW w:w="621" w:type="dxa"/>
            <w:shd w:val="clear" w:color="auto" w:fill="auto"/>
            <w:vAlign w:val="center"/>
            <w:hideMark/>
          </w:tcPr>
          <w:p w14:paraId="0896BC19"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129,0</w:t>
            </w:r>
          </w:p>
        </w:tc>
        <w:tc>
          <w:tcPr>
            <w:tcW w:w="621" w:type="dxa"/>
            <w:shd w:val="clear" w:color="auto" w:fill="auto"/>
            <w:vAlign w:val="center"/>
            <w:hideMark/>
          </w:tcPr>
          <w:p w14:paraId="0896BC1A"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131,0</w:t>
            </w:r>
          </w:p>
        </w:tc>
        <w:tc>
          <w:tcPr>
            <w:tcW w:w="621" w:type="dxa"/>
            <w:shd w:val="clear" w:color="auto" w:fill="auto"/>
            <w:vAlign w:val="center"/>
            <w:hideMark/>
          </w:tcPr>
          <w:p w14:paraId="0896BC1B"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132,3</w:t>
            </w:r>
          </w:p>
        </w:tc>
        <w:tc>
          <w:tcPr>
            <w:tcW w:w="621" w:type="dxa"/>
            <w:shd w:val="clear" w:color="auto" w:fill="auto"/>
            <w:vAlign w:val="center"/>
            <w:hideMark/>
          </w:tcPr>
          <w:p w14:paraId="0896BC1C"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133,0</w:t>
            </w:r>
          </w:p>
        </w:tc>
        <w:tc>
          <w:tcPr>
            <w:tcW w:w="621" w:type="dxa"/>
            <w:shd w:val="clear" w:color="auto" w:fill="auto"/>
            <w:vAlign w:val="center"/>
            <w:hideMark/>
          </w:tcPr>
          <w:p w14:paraId="0896BC1D"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133,6</w:t>
            </w:r>
          </w:p>
        </w:tc>
        <w:tc>
          <w:tcPr>
            <w:tcW w:w="621" w:type="dxa"/>
            <w:shd w:val="clear" w:color="auto" w:fill="auto"/>
            <w:vAlign w:val="center"/>
            <w:hideMark/>
          </w:tcPr>
          <w:p w14:paraId="0896BC1E"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134,3</w:t>
            </w:r>
          </w:p>
        </w:tc>
        <w:tc>
          <w:tcPr>
            <w:tcW w:w="621" w:type="dxa"/>
            <w:shd w:val="clear" w:color="auto" w:fill="auto"/>
            <w:vAlign w:val="center"/>
            <w:hideMark/>
          </w:tcPr>
          <w:p w14:paraId="0896BC1F"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135,0</w:t>
            </w:r>
          </w:p>
        </w:tc>
        <w:tc>
          <w:tcPr>
            <w:tcW w:w="621" w:type="dxa"/>
            <w:shd w:val="clear" w:color="auto" w:fill="auto"/>
            <w:vAlign w:val="center"/>
            <w:hideMark/>
          </w:tcPr>
          <w:p w14:paraId="0896BC20"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135,6</w:t>
            </w:r>
          </w:p>
        </w:tc>
        <w:tc>
          <w:tcPr>
            <w:tcW w:w="621" w:type="dxa"/>
            <w:shd w:val="clear" w:color="auto" w:fill="auto"/>
            <w:vAlign w:val="center"/>
            <w:hideMark/>
          </w:tcPr>
          <w:p w14:paraId="0896BC21"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136,3</w:t>
            </w:r>
          </w:p>
        </w:tc>
      </w:tr>
      <w:tr w:rsidR="001A6F31" w:rsidRPr="00C22C49" w14:paraId="0896BC31" w14:textId="77777777" w:rsidTr="00274CD9">
        <w:trPr>
          <w:trHeight w:val="288"/>
        </w:trPr>
        <w:tc>
          <w:tcPr>
            <w:tcW w:w="1809" w:type="dxa"/>
            <w:shd w:val="clear" w:color="auto" w:fill="auto"/>
            <w:vAlign w:val="center"/>
            <w:hideMark/>
          </w:tcPr>
          <w:p w14:paraId="0896BC23"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Акумулятори</w:t>
            </w:r>
          </w:p>
        </w:tc>
        <w:tc>
          <w:tcPr>
            <w:tcW w:w="621" w:type="dxa"/>
            <w:shd w:val="clear" w:color="auto" w:fill="auto"/>
            <w:vAlign w:val="center"/>
            <w:hideMark/>
          </w:tcPr>
          <w:p w14:paraId="0896BC24"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110,0</w:t>
            </w:r>
          </w:p>
        </w:tc>
        <w:tc>
          <w:tcPr>
            <w:tcW w:w="621" w:type="dxa"/>
            <w:shd w:val="clear" w:color="auto" w:fill="auto"/>
            <w:vAlign w:val="center"/>
            <w:hideMark/>
          </w:tcPr>
          <w:p w14:paraId="0896BC25"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115,5</w:t>
            </w:r>
          </w:p>
        </w:tc>
        <w:tc>
          <w:tcPr>
            <w:tcW w:w="621" w:type="dxa"/>
            <w:shd w:val="clear" w:color="auto" w:fill="auto"/>
            <w:vAlign w:val="center"/>
            <w:hideMark/>
          </w:tcPr>
          <w:p w14:paraId="0896BC26"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119,0</w:t>
            </w:r>
          </w:p>
        </w:tc>
        <w:tc>
          <w:tcPr>
            <w:tcW w:w="621" w:type="dxa"/>
            <w:shd w:val="clear" w:color="auto" w:fill="auto"/>
            <w:vAlign w:val="center"/>
            <w:hideMark/>
          </w:tcPr>
          <w:p w14:paraId="0896BC27"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122,5</w:t>
            </w:r>
          </w:p>
        </w:tc>
        <w:tc>
          <w:tcPr>
            <w:tcW w:w="621" w:type="dxa"/>
            <w:shd w:val="clear" w:color="auto" w:fill="auto"/>
            <w:vAlign w:val="center"/>
            <w:hideMark/>
          </w:tcPr>
          <w:p w14:paraId="0896BC28"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126,2</w:t>
            </w:r>
          </w:p>
        </w:tc>
        <w:tc>
          <w:tcPr>
            <w:tcW w:w="621" w:type="dxa"/>
            <w:shd w:val="clear" w:color="auto" w:fill="auto"/>
            <w:vAlign w:val="center"/>
            <w:hideMark/>
          </w:tcPr>
          <w:p w14:paraId="0896BC29"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128,7</w:t>
            </w:r>
          </w:p>
        </w:tc>
        <w:tc>
          <w:tcPr>
            <w:tcW w:w="621" w:type="dxa"/>
            <w:shd w:val="clear" w:color="auto" w:fill="auto"/>
            <w:vAlign w:val="center"/>
            <w:hideMark/>
          </w:tcPr>
          <w:p w14:paraId="0896BC2A"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130,0</w:t>
            </w:r>
          </w:p>
        </w:tc>
        <w:tc>
          <w:tcPr>
            <w:tcW w:w="621" w:type="dxa"/>
            <w:shd w:val="clear" w:color="auto" w:fill="auto"/>
            <w:vAlign w:val="center"/>
            <w:hideMark/>
          </w:tcPr>
          <w:p w14:paraId="0896BC2B"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130,7</w:t>
            </w:r>
          </w:p>
        </w:tc>
        <w:tc>
          <w:tcPr>
            <w:tcW w:w="621" w:type="dxa"/>
            <w:shd w:val="clear" w:color="auto" w:fill="auto"/>
            <w:vAlign w:val="center"/>
            <w:hideMark/>
          </w:tcPr>
          <w:p w14:paraId="0896BC2C"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131,3</w:t>
            </w:r>
          </w:p>
        </w:tc>
        <w:tc>
          <w:tcPr>
            <w:tcW w:w="621" w:type="dxa"/>
            <w:shd w:val="clear" w:color="auto" w:fill="auto"/>
            <w:vAlign w:val="center"/>
            <w:hideMark/>
          </w:tcPr>
          <w:p w14:paraId="0896BC2D"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132,0</w:t>
            </w:r>
          </w:p>
        </w:tc>
        <w:tc>
          <w:tcPr>
            <w:tcW w:w="621" w:type="dxa"/>
            <w:shd w:val="clear" w:color="auto" w:fill="auto"/>
            <w:vAlign w:val="center"/>
            <w:hideMark/>
          </w:tcPr>
          <w:p w14:paraId="0896BC2E"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132,6</w:t>
            </w:r>
          </w:p>
        </w:tc>
        <w:tc>
          <w:tcPr>
            <w:tcW w:w="621" w:type="dxa"/>
            <w:shd w:val="clear" w:color="auto" w:fill="auto"/>
            <w:vAlign w:val="center"/>
            <w:hideMark/>
          </w:tcPr>
          <w:p w14:paraId="0896BC2F"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133,3</w:t>
            </w:r>
          </w:p>
        </w:tc>
        <w:tc>
          <w:tcPr>
            <w:tcW w:w="621" w:type="dxa"/>
            <w:shd w:val="clear" w:color="auto" w:fill="auto"/>
            <w:vAlign w:val="center"/>
            <w:hideMark/>
          </w:tcPr>
          <w:p w14:paraId="0896BC30" w14:textId="77777777" w:rsidR="001A6F31" w:rsidRPr="00C22C49" w:rsidRDefault="001A6F31" w:rsidP="001A6F31">
            <w:pPr>
              <w:pStyle w:val="Table"/>
              <w:rPr>
                <w:rFonts w:eastAsia="Calibri"/>
                <w:sz w:val="18"/>
                <w:szCs w:val="20"/>
                <w:lang w:val="uk-UA" w:eastAsia="bg-BG"/>
              </w:rPr>
            </w:pPr>
            <w:r w:rsidRPr="00C22C49">
              <w:rPr>
                <w:rFonts w:eastAsia="Calibri"/>
                <w:sz w:val="18"/>
                <w:szCs w:val="20"/>
                <w:lang w:val="uk-UA" w:eastAsia="bg-BG"/>
              </w:rPr>
              <w:t>134,0</w:t>
            </w:r>
          </w:p>
        </w:tc>
      </w:tr>
    </w:tbl>
    <w:p w14:paraId="0896BC33" w14:textId="5DB1975C" w:rsidR="003F2568" w:rsidRPr="00C22C49" w:rsidRDefault="003F2568" w:rsidP="005E4C42"/>
    <w:p w14:paraId="0896BC35" w14:textId="77777777" w:rsidR="003F2568" w:rsidRPr="00C22C49" w:rsidRDefault="00653F11" w:rsidP="005E4C42">
      <w:r w:rsidRPr="00C22C49">
        <w:t>Передбачається тенденція зростання фактичних обсягів даного виду відходів, що ставить вимогу введення системи розширеної відповідальності виробників  та експортерів батарей та акумуляторів, створення системи управління, забезпечення високого ступеня рециклінгу і повернення в економічний обіг вторинної сировини, зменшення видалення необроблених відходів батарей та акумуляторів.</w:t>
      </w:r>
    </w:p>
    <w:p w14:paraId="0896BC36" w14:textId="77777777" w:rsidR="00621A46" w:rsidRPr="00C22C49" w:rsidRDefault="00621A46" w:rsidP="005E4C42"/>
    <w:p w14:paraId="0896BC37" w14:textId="77777777" w:rsidR="005E4C42" w:rsidRPr="00C22C49" w:rsidRDefault="00621A46" w:rsidP="00621A46">
      <w:pPr>
        <w:pStyle w:val="Heading5BOLDnumbered"/>
        <w:numPr>
          <w:ilvl w:val="0"/>
          <w:numId w:val="0"/>
        </w:numPr>
        <w:ind w:left="1287" w:hanging="360"/>
        <w:rPr>
          <w:rStyle w:val="affe"/>
          <w:iCs/>
          <w:lang w:val="uk-UA"/>
        </w:rPr>
      </w:pPr>
      <w:r w:rsidRPr="00C22C49">
        <w:rPr>
          <w:rStyle w:val="affe"/>
          <w:lang w:val="uk-UA"/>
        </w:rPr>
        <w:t>2.1.7.</w:t>
      </w:r>
      <w:r w:rsidRPr="00C22C49">
        <w:rPr>
          <w:rStyle w:val="affe"/>
          <w:iCs/>
          <w:lang w:val="uk-UA"/>
        </w:rPr>
        <w:t>3</w:t>
      </w:r>
      <w:r w:rsidRPr="00C22C49">
        <w:rPr>
          <w:rStyle w:val="affe"/>
          <w:lang w:val="uk-UA"/>
        </w:rPr>
        <w:t>.</w:t>
      </w:r>
      <w:r w:rsidRPr="00C22C49">
        <w:rPr>
          <w:rStyle w:val="affe"/>
          <w:iCs/>
          <w:lang w:val="uk-UA"/>
        </w:rPr>
        <w:t xml:space="preserve"> </w:t>
      </w:r>
      <w:r w:rsidR="005E4C42" w:rsidRPr="00C22C49">
        <w:rPr>
          <w:rStyle w:val="affe"/>
          <w:lang w:val="uk-UA"/>
        </w:rPr>
        <w:t>Відходи електричного та електронного обладнання</w:t>
      </w:r>
    </w:p>
    <w:p w14:paraId="0896BC38" w14:textId="77777777" w:rsidR="00832873" w:rsidRPr="00C22C49" w:rsidRDefault="00832873" w:rsidP="00832873">
      <w:pPr>
        <w:rPr>
          <w:rStyle w:val="affe"/>
          <w:b/>
          <w:bCs/>
        </w:rPr>
      </w:pPr>
    </w:p>
    <w:p w14:paraId="0896BC39" w14:textId="0815B952" w:rsidR="00EB7F95" w:rsidRPr="00C22C49" w:rsidRDefault="00EB7F95" w:rsidP="00EB7F95">
      <w:pPr>
        <w:pStyle w:val="ad"/>
        <w:rPr>
          <w:sz w:val="36"/>
          <w:szCs w:val="28"/>
          <w:lang w:val="uk-UA"/>
        </w:rPr>
      </w:pPr>
      <w:bookmarkStart w:id="28" w:name="_Toc142262260"/>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13</w:t>
      </w:r>
      <w:r w:rsidR="005E0A06" w:rsidRPr="00C22C49">
        <w:rPr>
          <w:lang w:val="uk-UA"/>
        </w:rPr>
        <w:fldChar w:fldCharType="end"/>
      </w:r>
      <w:r w:rsidRPr="00C22C49">
        <w:rPr>
          <w:lang w:val="uk-UA"/>
        </w:rPr>
        <w:t xml:space="preserve">. </w:t>
      </w:r>
      <w:r w:rsidRPr="00C22C49">
        <w:rPr>
          <w:szCs w:val="28"/>
          <w:lang w:val="uk-UA"/>
        </w:rPr>
        <w:t>Прогноз утворення відходів електричного та електронного обладнання, (тис.т)</w:t>
      </w:r>
      <w:bookmarkEnd w:id="28"/>
    </w:p>
    <w:tbl>
      <w:tblPr>
        <w:tblW w:w="9638" w:type="dxa"/>
        <w:jc w:val="center"/>
        <w:tblLayout w:type="fixed"/>
        <w:tblLook w:val="04A0" w:firstRow="1" w:lastRow="0" w:firstColumn="1" w:lastColumn="0" w:noHBand="0" w:noVBand="1"/>
      </w:tblPr>
      <w:tblGrid>
        <w:gridCol w:w="1526"/>
        <w:gridCol w:w="624"/>
        <w:gridCol w:w="624"/>
        <w:gridCol w:w="624"/>
        <w:gridCol w:w="624"/>
        <w:gridCol w:w="624"/>
        <w:gridCol w:w="624"/>
        <w:gridCol w:w="624"/>
        <w:gridCol w:w="624"/>
        <w:gridCol w:w="624"/>
        <w:gridCol w:w="624"/>
        <w:gridCol w:w="624"/>
        <w:gridCol w:w="624"/>
        <w:gridCol w:w="624"/>
      </w:tblGrid>
      <w:tr w:rsidR="00274CD9" w:rsidRPr="00C22C49" w14:paraId="0896BC48" w14:textId="77777777" w:rsidTr="00274CD9">
        <w:trPr>
          <w:trHeight w:val="312"/>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6BC3A" w14:textId="77777777" w:rsidR="00EB7F95" w:rsidRPr="00C22C49" w:rsidRDefault="00EB7F95" w:rsidP="00EB7F95">
            <w:pPr>
              <w:pStyle w:val="Table"/>
              <w:rPr>
                <w:sz w:val="18"/>
                <w:szCs w:val="20"/>
                <w:lang w:val="uk-UA"/>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3B" w14:textId="77777777" w:rsidR="00EB7F95" w:rsidRPr="00C22C49" w:rsidRDefault="00EB7F95" w:rsidP="00EB7F95">
            <w:pPr>
              <w:pStyle w:val="Table"/>
              <w:rPr>
                <w:b/>
                <w:bCs/>
                <w:sz w:val="18"/>
                <w:szCs w:val="20"/>
                <w:lang w:val="uk-UA"/>
              </w:rPr>
            </w:pPr>
            <w:r w:rsidRPr="00C22C49">
              <w:rPr>
                <w:b/>
                <w:bCs/>
                <w:sz w:val="18"/>
                <w:szCs w:val="20"/>
                <w:lang w:val="uk-UA"/>
              </w:rPr>
              <w:t>2023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3C" w14:textId="77777777" w:rsidR="00EB7F95" w:rsidRPr="00C22C49" w:rsidRDefault="00EB7F95" w:rsidP="00EB7F95">
            <w:pPr>
              <w:pStyle w:val="Table"/>
              <w:rPr>
                <w:b/>
                <w:bCs/>
                <w:sz w:val="18"/>
                <w:szCs w:val="20"/>
                <w:lang w:val="uk-UA"/>
              </w:rPr>
            </w:pPr>
            <w:r w:rsidRPr="00C22C49">
              <w:rPr>
                <w:b/>
                <w:bCs/>
                <w:sz w:val="18"/>
                <w:szCs w:val="20"/>
                <w:lang w:val="uk-UA"/>
              </w:rPr>
              <w:t>2024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3D" w14:textId="77777777" w:rsidR="00EB7F95" w:rsidRPr="00C22C49" w:rsidRDefault="00EB7F95" w:rsidP="00EB7F95">
            <w:pPr>
              <w:pStyle w:val="Table"/>
              <w:rPr>
                <w:b/>
                <w:bCs/>
                <w:sz w:val="18"/>
                <w:szCs w:val="20"/>
                <w:lang w:val="uk-UA"/>
              </w:rPr>
            </w:pPr>
            <w:r w:rsidRPr="00C22C49">
              <w:rPr>
                <w:b/>
                <w:bCs/>
                <w:sz w:val="18"/>
                <w:szCs w:val="20"/>
                <w:lang w:val="uk-UA"/>
              </w:rPr>
              <w:t>2025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3E" w14:textId="77777777" w:rsidR="00EB7F95" w:rsidRPr="00C22C49" w:rsidRDefault="00EB7F95" w:rsidP="00EB7F95">
            <w:pPr>
              <w:pStyle w:val="Table"/>
              <w:rPr>
                <w:b/>
                <w:bCs/>
                <w:sz w:val="18"/>
                <w:szCs w:val="20"/>
                <w:lang w:val="uk-UA"/>
              </w:rPr>
            </w:pPr>
            <w:r w:rsidRPr="00C22C49">
              <w:rPr>
                <w:b/>
                <w:bCs/>
                <w:sz w:val="18"/>
                <w:szCs w:val="20"/>
                <w:lang w:val="uk-UA"/>
              </w:rPr>
              <w:t>2026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3F" w14:textId="77777777" w:rsidR="00EB7F95" w:rsidRPr="00C22C49" w:rsidRDefault="00EB7F95" w:rsidP="00EB7F95">
            <w:pPr>
              <w:pStyle w:val="Table"/>
              <w:rPr>
                <w:b/>
                <w:bCs/>
                <w:sz w:val="18"/>
                <w:szCs w:val="20"/>
                <w:lang w:val="uk-UA"/>
              </w:rPr>
            </w:pPr>
            <w:r w:rsidRPr="00C22C49">
              <w:rPr>
                <w:b/>
                <w:bCs/>
                <w:sz w:val="18"/>
                <w:szCs w:val="20"/>
                <w:lang w:val="uk-UA"/>
              </w:rPr>
              <w:t>2027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0" w14:textId="77777777" w:rsidR="00EB7F95" w:rsidRPr="00C22C49" w:rsidRDefault="00EB7F95" w:rsidP="00EB7F95">
            <w:pPr>
              <w:pStyle w:val="Table"/>
              <w:rPr>
                <w:b/>
                <w:bCs/>
                <w:sz w:val="18"/>
                <w:szCs w:val="20"/>
                <w:lang w:val="uk-UA"/>
              </w:rPr>
            </w:pPr>
            <w:r w:rsidRPr="00C22C49">
              <w:rPr>
                <w:b/>
                <w:bCs/>
                <w:sz w:val="18"/>
                <w:szCs w:val="20"/>
                <w:lang w:val="uk-UA"/>
              </w:rPr>
              <w:t>2028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1" w14:textId="77777777" w:rsidR="00EB7F95" w:rsidRPr="00C22C49" w:rsidRDefault="00EB7F95" w:rsidP="00EB7F95">
            <w:pPr>
              <w:pStyle w:val="Table"/>
              <w:rPr>
                <w:b/>
                <w:bCs/>
                <w:sz w:val="18"/>
                <w:szCs w:val="20"/>
                <w:lang w:val="uk-UA"/>
              </w:rPr>
            </w:pPr>
            <w:r w:rsidRPr="00C22C49">
              <w:rPr>
                <w:b/>
                <w:bCs/>
                <w:sz w:val="18"/>
                <w:szCs w:val="20"/>
                <w:lang w:val="uk-UA"/>
              </w:rPr>
              <w:t>2029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2" w14:textId="77777777" w:rsidR="00EB7F95" w:rsidRPr="00C22C49" w:rsidRDefault="00EB7F95" w:rsidP="00EB7F95">
            <w:pPr>
              <w:pStyle w:val="Table"/>
              <w:rPr>
                <w:b/>
                <w:bCs/>
                <w:sz w:val="18"/>
                <w:szCs w:val="20"/>
                <w:lang w:val="uk-UA"/>
              </w:rPr>
            </w:pPr>
            <w:r w:rsidRPr="00C22C49">
              <w:rPr>
                <w:b/>
                <w:bCs/>
                <w:sz w:val="18"/>
                <w:szCs w:val="20"/>
                <w:lang w:val="uk-UA"/>
              </w:rPr>
              <w:t>2030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3" w14:textId="77777777" w:rsidR="00EB7F95" w:rsidRPr="00C22C49" w:rsidRDefault="00EB7F95" w:rsidP="00EB7F95">
            <w:pPr>
              <w:pStyle w:val="Table"/>
              <w:rPr>
                <w:b/>
                <w:bCs/>
                <w:sz w:val="18"/>
                <w:szCs w:val="20"/>
                <w:lang w:val="uk-UA"/>
              </w:rPr>
            </w:pPr>
            <w:r w:rsidRPr="00C22C49">
              <w:rPr>
                <w:b/>
                <w:bCs/>
                <w:sz w:val="18"/>
                <w:szCs w:val="20"/>
                <w:lang w:val="uk-UA"/>
              </w:rPr>
              <w:t>2031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4" w14:textId="77777777" w:rsidR="00EB7F95" w:rsidRPr="00C22C49" w:rsidRDefault="00EB7F95" w:rsidP="00EB7F95">
            <w:pPr>
              <w:pStyle w:val="Table"/>
              <w:rPr>
                <w:b/>
                <w:bCs/>
                <w:sz w:val="18"/>
                <w:szCs w:val="20"/>
                <w:lang w:val="uk-UA"/>
              </w:rPr>
            </w:pPr>
            <w:r w:rsidRPr="00C22C49">
              <w:rPr>
                <w:b/>
                <w:bCs/>
                <w:sz w:val="18"/>
                <w:szCs w:val="20"/>
                <w:lang w:val="uk-UA"/>
              </w:rPr>
              <w:t>2032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5" w14:textId="77777777" w:rsidR="00EB7F95" w:rsidRPr="00C22C49" w:rsidRDefault="00EB7F95" w:rsidP="00EB7F95">
            <w:pPr>
              <w:pStyle w:val="Table"/>
              <w:rPr>
                <w:b/>
                <w:bCs/>
                <w:sz w:val="18"/>
                <w:szCs w:val="20"/>
                <w:lang w:val="uk-UA"/>
              </w:rPr>
            </w:pPr>
            <w:r w:rsidRPr="00C22C49">
              <w:rPr>
                <w:b/>
                <w:bCs/>
                <w:sz w:val="18"/>
                <w:szCs w:val="20"/>
                <w:lang w:val="uk-UA"/>
              </w:rPr>
              <w:t>2033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6" w14:textId="77777777" w:rsidR="00EB7F95" w:rsidRPr="00C22C49" w:rsidRDefault="00EB7F95" w:rsidP="00EB7F95">
            <w:pPr>
              <w:pStyle w:val="Table"/>
              <w:rPr>
                <w:b/>
                <w:bCs/>
                <w:sz w:val="18"/>
                <w:szCs w:val="20"/>
                <w:lang w:val="uk-UA"/>
              </w:rPr>
            </w:pPr>
            <w:r w:rsidRPr="00C22C49">
              <w:rPr>
                <w:b/>
                <w:bCs/>
                <w:sz w:val="18"/>
                <w:szCs w:val="20"/>
                <w:lang w:val="uk-UA"/>
              </w:rPr>
              <w:t>2034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896BC47" w14:textId="77777777" w:rsidR="00EB7F95" w:rsidRPr="00C22C49" w:rsidRDefault="00EB7F95" w:rsidP="00EB7F95">
            <w:pPr>
              <w:pStyle w:val="Table"/>
              <w:rPr>
                <w:b/>
                <w:bCs/>
                <w:sz w:val="18"/>
                <w:szCs w:val="20"/>
                <w:lang w:val="uk-UA"/>
              </w:rPr>
            </w:pPr>
            <w:r w:rsidRPr="00C22C49">
              <w:rPr>
                <w:b/>
                <w:bCs/>
                <w:sz w:val="18"/>
                <w:szCs w:val="20"/>
                <w:lang w:val="uk-UA"/>
              </w:rPr>
              <w:t>2035</w:t>
            </w:r>
          </w:p>
        </w:tc>
      </w:tr>
      <w:tr w:rsidR="00274CD9" w:rsidRPr="00C22C49" w14:paraId="0896BC57"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49" w14:textId="77777777" w:rsidR="00EB7F95" w:rsidRPr="00C22C49" w:rsidRDefault="00EB7F95" w:rsidP="00EB7F95">
            <w:pPr>
              <w:pStyle w:val="Table"/>
              <w:rPr>
                <w:sz w:val="18"/>
                <w:szCs w:val="20"/>
                <w:lang w:val="uk-UA"/>
              </w:rPr>
            </w:pPr>
            <w:r w:rsidRPr="00C22C49">
              <w:rPr>
                <w:sz w:val="18"/>
                <w:szCs w:val="20"/>
                <w:lang w:val="uk-UA"/>
              </w:rPr>
              <w:t>Усього на ринку ЕЕО</w:t>
            </w:r>
          </w:p>
        </w:tc>
        <w:tc>
          <w:tcPr>
            <w:tcW w:w="624" w:type="dxa"/>
            <w:tcBorders>
              <w:top w:val="nil"/>
              <w:left w:val="nil"/>
              <w:bottom w:val="single" w:sz="4" w:space="0" w:color="auto"/>
              <w:right w:val="single" w:sz="4" w:space="0" w:color="auto"/>
            </w:tcBorders>
            <w:shd w:val="clear" w:color="auto" w:fill="auto"/>
            <w:noWrap/>
            <w:vAlign w:val="bottom"/>
            <w:hideMark/>
          </w:tcPr>
          <w:p w14:paraId="0896BC4A" w14:textId="77777777" w:rsidR="00EB7F95" w:rsidRPr="00C22C49" w:rsidRDefault="00EB7F95" w:rsidP="00EB7F95">
            <w:pPr>
              <w:pStyle w:val="Table"/>
              <w:rPr>
                <w:sz w:val="18"/>
                <w:szCs w:val="20"/>
                <w:lang w:val="uk-UA"/>
              </w:rPr>
            </w:pPr>
            <w:r w:rsidRPr="00C22C49">
              <w:rPr>
                <w:sz w:val="18"/>
                <w:szCs w:val="20"/>
                <w:lang w:val="uk-UA"/>
              </w:rPr>
              <w:t>318,9</w:t>
            </w:r>
          </w:p>
        </w:tc>
        <w:tc>
          <w:tcPr>
            <w:tcW w:w="624" w:type="dxa"/>
            <w:tcBorders>
              <w:top w:val="nil"/>
              <w:left w:val="nil"/>
              <w:bottom w:val="single" w:sz="4" w:space="0" w:color="auto"/>
              <w:right w:val="single" w:sz="4" w:space="0" w:color="auto"/>
            </w:tcBorders>
            <w:shd w:val="clear" w:color="auto" w:fill="auto"/>
            <w:noWrap/>
            <w:vAlign w:val="bottom"/>
            <w:hideMark/>
          </w:tcPr>
          <w:p w14:paraId="0896BC4B" w14:textId="77777777" w:rsidR="00EB7F95" w:rsidRPr="00C22C49" w:rsidRDefault="00EB7F95" w:rsidP="00EB7F95">
            <w:pPr>
              <w:pStyle w:val="Table"/>
              <w:rPr>
                <w:sz w:val="18"/>
                <w:szCs w:val="20"/>
                <w:lang w:val="uk-UA"/>
              </w:rPr>
            </w:pPr>
            <w:r w:rsidRPr="00C22C49">
              <w:rPr>
                <w:sz w:val="18"/>
                <w:szCs w:val="20"/>
                <w:lang w:val="uk-UA"/>
              </w:rPr>
              <w:t>320,8</w:t>
            </w:r>
          </w:p>
        </w:tc>
        <w:tc>
          <w:tcPr>
            <w:tcW w:w="624" w:type="dxa"/>
            <w:tcBorders>
              <w:top w:val="nil"/>
              <w:left w:val="nil"/>
              <w:bottom w:val="single" w:sz="4" w:space="0" w:color="auto"/>
              <w:right w:val="single" w:sz="4" w:space="0" w:color="auto"/>
            </w:tcBorders>
            <w:shd w:val="clear" w:color="auto" w:fill="auto"/>
            <w:noWrap/>
            <w:vAlign w:val="bottom"/>
            <w:hideMark/>
          </w:tcPr>
          <w:p w14:paraId="0896BC4C" w14:textId="77777777" w:rsidR="00EB7F95" w:rsidRPr="00C22C49" w:rsidRDefault="00EB7F95" w:rsidP="00EB7F95">
            <w:pPr>
              <w:pStyle w:val="Table"/>
              <w:rPr>
                <w:sz w:val="18"/>
                <w:szCs w:val="20"/>
                <w:lang w:val="uk-UA"/>
              </w:rPr>
            </w:pPr>
            <w:r w:rsidRPr="00C22C49">
              <w:rPr>
                <w:sz w:val="18"/>
                <w:szCs w:val="20"/>
                <w:lang w:val="uk-UA"/>
              </w:rPr>
              <w:t>332,4</w:t>
            </w:r>
          </w:p>
        </w:tc>
        <w:tc>
          <w:tcPr>
            <w:tcW w:w="624" w:type="dxa"/>
            <w:tcBorders>
              <w:top w:val="nil"/>
              <w:left w:val="nil"/>
              <w:bottom w:val="single" w:sz="4" w:space="0" w:color="auto"/>
              <w:right w:val="single" w:sz="4" w:space="0" w:color="auto"/>
            </w:tcBorders>
            <w:shd w:val="clear" w:color="auto" w:fill="auto"/>
            <w:noWrap/>
            <w:vAlign w:val="bottom"/>
            <w:hideMark/>
          </w:tcPr>
          <w:p w14:paraId="0896BC4D" w14:textId="77777777" w:rsidR="00EB7F95" w:rsidRPr="00C22C49" w:rsidRDefault="00EB7F95" w:rsidP="00EB7F95">
            <w:pPr>
              <w:pStyle w:val="Table"/>
              <w:rPr>
                <w:sz w:val="18"/>
                <w:szCs w:val="20"/>
                <w:lang w:val="uk-UA"/>
              </w:rPr>
            </w:pPr>
            <w:r w:rsidRPr="00C22C49">
              <w:rPr>
                <w:sz w:val="18"/>
                <w:szCs w:val="20"/>
                <w:lang w:val="uk-UA"/>
              </w:rPr>
              <w:t>343,2</w:t>
            </w:r>
          </w:p>
        </w:tc>
        <w:tc>
          <w:tcPr>
            <w:tcW w:w="624" w:type="dxa"/>
            <w:tcBorders>
              <w:top w:val="nil"/>
              <w:left w:val="nil"/>
              <w:bottom w:val="single" w:sz="4" w:space="0" w:color="auto"/>
              <w:right w:val="single" w:sz="4" w:space="0" w:color="auto"/>
            </w:tcBorders>
            <w:shd w:val="clear" w:color="auto" w:fill="auto"/>
            <w:noWrap/>
            <w:vAlign w:val="bottom"/>
            <w:hideMark/>
          </w:tcPr>
          <w:p w14:paraId="0896BC4E" w14:textId="77777777" w:rsidR="00EB7F95" w:rsidRPr="00C22C49" w:rsidRDefault="00EB7F95" w:rsidP="00EB7F95">
            <w:pPr>
              <w:pStyle w:val="Table"/>
              <w:rPr>
                <w:sz w:val="18"/>
                <w:szCs w:val="20"/>
                <w:lang w:val="uk-UA"/>
              </w:rPr>
            </w:pPr>
            <w:r w:rsidRPr="00C22C49">
              <w:rPr>
                <w:sz w:val="18"/>
                <w:szCs w:val="20"/>
                <w:lang w:val="uk-UA"/>
              </w:rPr>
              <w:t>353,1</w:t>
            </w:r>
          </w:p>
        </w:tc>
        <w:tc>
          <w:tcPr>
            <w:tcW w:w="624" w:type="dxa"/>
            <w:tcBorders>
              <w:top w:val="nil"/>
              <w:left w:val="nil"/>
              <w:bottom w:val="single" w:sz="4" w:space="0" w:color="auto"/>
              <w:right w:val="single" w:sz="4" w:space="0" w:color="auto"/>
            </w:tcBorders>
            <w:shd w:val="clear" w:color="auto" w:fill="auto"/>
            <w:noWrap/>
            <w:vAlign w:val="bottom"/>
            <w:hideMark/>
          </w:tcPr>
          <w:p w14:paraId="0896BC4F" w14:textId="77777777" w:rsidR="00EB7F95" w:rsidRPr="00C22C49" w:rsidRDefault="00EB7F95" w:rsidP="00EB7F95">
            <w:pPr>
              <w:pStyle w:val="Table"/>
              <w:rPr>
                <w:sz w:val="18"/>
                <w:szCs w:val="20"/>
                <w:lang w:val="uk-UA"/>
              </w:rPr>
            </w:pPr>
            <w:r w:rsidRPr="00C22C49">
              <w:rPr>
                <w:sz w:val="18"/>
                <w:szCs w:val="20"/>
                <w:lang w:val="uk-UA"/>
              </w:rPr>
              <w:t>362,2</w:t>
            </w:r>
          </w:p>
        </w:tc>
        <w:tc>
          <w:tcPr>
            <w:tcW w:w="624" w:type="dxa"/>
            <w:tcBorders>
              <w:top w:val="nil"/>
              <w:left w:val="nil"/>
              <w:bottom w:val="single" w:sz="4" w:space="0" w:color="auto"/>
              <w:right w:val="single" w:sz="4" w:space="0" w:color="auto"/>
            </w:tcBorders>
            <w:shd w:val="clear" w:color="auto" w:fill="auto"/>
            <w:noWrap/>
            <w:vAlign w:val="bottom"/>
            <w:hideMark/>
          </w:tcPr>
          <w:p w14:paraId="0896BC50" w14:textId="77777777" w:rsidR="00EB7F95" w:rsidRPr="00C22C49" w:rsidRDefault="00EB7F95" w:rsidP="00EB7F95">
            <w:pPr>
              <w:pStyle w:val="Table"/>
              <w:rPr>
                <w:sz w:val="18"/>
                <w:szCs w:val="20"/>
                <w:lang w:val="uk-UA"/>
              </w:rPr>
            </w:pPr>
            <w:r w:rsidRPr="00C22C49">
              <w:rPr>
                <w:sz w:val="18"/>
                <w:szCs w:val="20"/>
                <w:lang w:val="uk-UA"/>
              </w:rPr>
              <w:t>370,6</w:t>
            </w:r>
          </w:p>
        </w:tc>
        <w:tc>
          <w:tcPr>
            <w:tcW w:w="624" w:type="dxa"/>
            <w:tcBorders>
              <w:top w:val="nil"/>
              <w:left w:val="nil"/>
              <w:bottom w:val="single" w:sz="4" w:space="0" w:color="auto"/>
              <w:right w:val="single" w:sz="4" w:space="0" w:color="auto"/>
            </w:tcBorders>
            <w:shd w:val="clear" w:color="auto" w:fill="auto"/>
            <w:noWrap/>
            <w:vAlign w:val="bottom"/>
            <w:hideMark/>
          </w:tcPr>
          <w:p w14:paraId="0896BC51" w14:textId="77777777" w:rsidR="00EB7F95" w:rsidRPr="00C22C49" w:rsidRDefault="00EB7F95" w:rsidP="00EB7F95">
            <w:pPr>
              <w:pStyle w:val="Table"/>
              <w:rPr>
                <w:sz w:val="18"/>
                <w:szCs w:val="20"/>
                <w:lang w:val="uk-UA"/>
              </w:rPr>
            </w:pPr>
            <w:r w:rsidRPr="00C22C49">
              <w:rPr>
                <w:sz w:val="18"/>
                <w:szCs w:val="20"/>
                <w:lang w:val="uk-UA"/>
              </w:rPr>
              <w:t>378,3</w:t>
            </w:r>
          </w:p>
        </w:tc>
        <w:tc>
          <w:tcPr>
            <w:tcW w:w="624" w:type="dxa"/>
            <w:tcBorders>
              <w:top w:val="nil"/>
              <w:left w:val="nil"/>
              <w:bottom w:val="single" w:sz="4" w:space="0" w:color="auto"/>
              <w:right w:val="single" w:sz="4" w:space="0" w:color="auto"/>
            </w:tcBorders>
            <w:shd w:val="clear" w:color="auto" w:fill="auto"/>
            <w:noWrap/>
            <w:vAlign w:val="bottom"/>
            <w:hideMark/>
          </w:tcPr>
          <w:p w14:paraId="0896BC52" w14:textId="77777777" w:rsidR="00EB7F95" w:rsidRPr="00C22C49" w:rsidRDefault="00EB7F95" w:rsidP="00EB7F95">
            <w:pPr>
              <w:pStyle w:val="Table"/>
              <w:rPr>
                <w:sz w:val="18"/>
                <w:szCs w:val="20"/>
                <w:lang w:val="uk-UA"/>
              </w:rPr>
            </w:pPr>
            <w:r w:rsidRPr="00C22C49">
              <w:rPr>
                <w:sz w:val="18"/>
                <w:szCs w:val="20"/>
                <w:lang w:val="uk-UA"/>
              </w:rPr>
              <w:t>385,2</w:t>
            </w:r>
          </w:p>
        </w:tc>
        <w:tc>
          <w:tcPr>
            <w:tcW w:w="624" w:type="dxa"/>
            <w:tcBorders>
              <w:top w:val="nil"/>
              <w:left w:val="nil"/>
              <w:bottom w:val="single" w:sz="4" w:space="0" w:color="auto"/>
              <w:right w:val="single" w:sz="4" w:space="0" w:color="auto"/>
            </w:tcBorders>
            <w:shd w:val="clear" w:color="auto" w:fill="auto"/>
            <w:noWrap/>
            <w:vAlign w:val="bottom"/>
            <w:hideMark/>
          </w:tcPr>
          <w:p w14:paraId="0896BC53" w14:textId="77777777" w:rsidR="00EB7F95" w:rsidRPr="00C22C49" w:rsidRDefault="00EB7F95" w:rsidP="00EB7F95">
            <w:pPr>
              <w:pStyle w:val="Table"/>
              <w:rPr>
                <w:sz w:val="18"/>
                <w:szCs w:val="20"/>
                <w:lang w:val="uk-UA"/>
              </w:rPr>
            </w:pPr>
            <w:r w:rsidRPr="00C22C49">
              <w:rPr>
                <w:sz w:val="18"/>
                <w:szCs w:val="20"/>
                <w:lang w:val="uk-UA"/>
              </w:rPr>
              <w:t>391,5</w:t>
            </w:r>
          </w:p>
        </w:tc>
        <w:tc>
          <w:tcPr>
            <w:tcW w:w="624" w:type="dxa"/>
            <w:tcBorders>
              <w:top w:val="nil"/>
              <w:left w:val="nil"/>
              <w:bottom w:val="single" w:sz="4" w:space="0" w:color="auto"/>
              <w:right w:val="single" w:sz="4" w:space="0" w:color="auto"/>
            </w:tcBorders>
            <w:shd w:val="clear" w:color="auto" w:fill="auto"/>
            <w:noWrap/>
            <w:vAlign w:val="bottom"/>
            <w:hideMark/>
          </w:tcPr>
          <w:p w14:paraId="0896BC54" w14:textId="77777777" w:rsidR="00EB7F95" w:rsidRPr="00C22C49" w:rsidRDefault="00EB7F95" w:rsidP="00EB7F95">
            <w:pPr>
              <w:pStyle w:val="Table"/>
              <w:rPr>
                <w:sz w:val="18"/>
                <w:szCs w:val="20"/>
                <w:lang w:val="uk-UA"/>
              </w:rPr>
            </w:pPr>
            <w:r w:rsidRPr="00C22C49">
              <w:rPr>
                <w:sz w:val="18"/>
                <w:szCs w:val="20"/>
                <w:lang w:val="uk-UA"/>
              </w:rPr>
              <w:t>397,2</w:t>
            </w:r>
          </w:p>
        </w:tc>
        <w:tc>
          <w:tcPr>
            <w:tcW w:w="624" w:type="dxa"/>
            <w:tcBorders>
              <w:top w:val="nil"/>
              <w:left w:val="nil"/>
              <w:bottom w:val="single" w:sz="4" w:space="0" w:color="auto"/>
              <w:right w:val="single" w:sz="4" w:space="0" w:color="auto"/>
            </w:tcBorders>
            <w:shd w:val="clear" w:color="auto" w:fill="auto"/>
            <w:noWrap/>
            <w:vAlign w:val="bottom"/>
            <w:hideMark/>
          </w:tcPr>
          <w:p w14:paraId="0896BC55" w14:textId="77777777" w:rsidR="00EB7F95" w:rsidRPr="00C22C49" w:rsidRDefault="00EB7F95" w:rsidP="00EB7F95">
            <w:pPr>
              <w:pStyle w:val="Table"/>
              <w:rPr>
                <w:sz w:val="18"/>
                <w:szCs w:val="20"/>
                <w:lang w:val="uk-UA"/>
              </w:rPr>
            </w:pPr>
            <w:r w:rsidRPr="00C22C49">
              <w:rPr>
                <w:sz w:val="18"/>
                <w:szCs w:val="20"/>
                <w:lang w:val="uk-UA"/>
              </w:rPr>
              <w:t>402,2</w:t>
            </w:r>
          </w:p>
        </w:tc>
        <w:tc>
          <w:tcPr>
            <w:tcW w:w="624" w:type="dxa"/>
            <w:tcBorders>
              <w:top w:val="nil"/>
              <w:left w:val="nil"/>
              <w:bottom w:val="single" w:sz="4" w:space="0" w:color="auto"/>
              <w:right w:val="single" w:sz="4" w:space="0" w:color="auto"/>
            </w:tcBorders>
            <w:shd w:val="clear" w:color="auto" w:fill="auto"/>
            <w:noWrap/>
            <w:vAlign w:val="bottom"/>
            <w:hideMark/>
          </w:tcPr>
          <w:p w14:paraId="0896BC56" w14:textId="77777777" w:rsidR="00EB7F95" w:rsidRPr="00C22C49" w:rsidRDefault="00EB7F95" w:rsidP="00EB7F95">
            <w:pPr>
              <w:pStyle w:val="Table"/>
              <w:rPr>
                <w:sz w:val="18"/>
                <w:szCs w:val="20"/>
                <w:lang w:val="uk-UA"/>
              </w:rPr>
            </w:pPr>
            <w:r w:rsidRPr="00C22C49">
              <w:rPr>
                <w:sz w:val="18"/>
                <w:szCs w:val="20"/>
                <w:lang w:val="uk-UA"/>
              </w:rPr>
              <w:t>406,7</w:t>
            </w:r>
          </w:p>
        </w:tc>
      </w:tr>
      <w:tr w:rsidR="00274CD9" w:rsidRPr="00C22C49" w14:paraId="0896BC66"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58" w14:textId="77777777" w:rsidR="00EB7F95" w:rsidRPr="00C22C49" w:rsidRDefault="00EB7F95" w:rsidP="00EB7F95">
            <w:pPr>
              <w:pStyle w:val="Table"/>
              <w:rPr>
                <w:sz w:val="18"/>
                <w:szCs w:val="20"/>
                <w:lang w:val="uk-UA"/>
              </w:rPr>
            </w:pPr>
            <w:r w:rsidRPr="00C22C49">
              <w:rPr>
                <w:sz w:val="18"/>
                <w:szCs w:val="20"/>
                <w:lang w:val="uk-UA"/>
              </w:rPr>
              <w:t>в розрахунку на особу, кг/рік</w:t>
            </w:r>
          </w:p>
        </w:tc>
        <w:tc>
          <w:tcPr>
            <w:tcW w:w="624" w:type="dxa"/>
            <w:tcBorders>
              <w:top w:val="nil"/>
              <w:left w:val="nil"/>
              <w:bottom w:val="single" w:sz="4" w:space="0" w:color="auto"/>
              <w:right w:val="single" w:sz="4" w:space="0" w:color="auto"/>
            </w:tcBorders>
            <w:shd w:val="clear" w:color="auto" w:fill="auto"/>
            <w:noWrap/>
            <w:vAlign w:val="bottom"/>
            <w:hideMark/>
          </w:tcPr>
          <w:p w14:paraId="0896BC59" w14:textId="77777777" w:rsidR="00EB7F95" w:rsidRPr="00C22C49" w:rsidRDefault="00EB7F95" w:rsidP="00EB7F95">
            <w:pPr>
              <w:pStyle w:val="Table"/>
              <w:rPr>
                <w:sz w:val="18"/>
                <w:szCs w:val="20"/>
                <w:lang w:val="uk-UA"/>
              </w:rPr>
            </w:pPr>
            <w:r w:rsidRPr="00C22C49">
              <w:rPr>
                <w:sz w:val="18"/>
                <w:szCs w:val="20"/>
                <w:lang w:val="uk-UA"/>
              </w:rPr>
              <w:t>8,7</w:t>
            </w:r>
          </w:p>
        </w:tc>
        <w:tc>
          <w:tcPr>
            <w:tcW w:w="624" w:type="dxa"/>
            <w:tcBorders>
              <w:top w:val="nil"/>
              <w:left w:val="nil"/>
              <w:bottom w:val="single" w:sz="4" w:space="0" w:color="auto"/>
              <w:right w:val="single" w:sz="4" w:space="0" w:color="auto"/>
            </w:tcBorders>
            <w:shd w:val="clear" w:color="auto" w:fill="auto"/>
            <w:noWrap/>
            <w:vAlign w:val="bottom"/>
            <w:hideMark/>
          </w:tcPr>
          <w:p w14:paraId="0896BC5A" w14:textId="77777777" w:rsidR="00EB7F95" w:rsidRPr="00C22C49" w:rsidRDefault="00EB7F95" w:rsidP="00EB7F95">
            <w:pPr>
              <w:pStyle w:val="Table"/>
              <w:rPr>
                <w:sz w:val="18"/>
                <w:szCs w:val="20"/>
                <w:lang w:val="uk-UA"/>
              </w:rPr>
            </w:pPr>
            <w:r w:rsidRPr="00C22C49">
              <w:rPr>
                <w:sz w:val="18"/>
                <w:szCs w:val="20"/>
                <w:lang w:val="uk-UA"/>
              </w:rPr>
              <w:t>9,3</w:t>
            </w:r>
          </w:p>
        </w:tc>
        <w:tc>
          <w:tcPr>
            <w:tcW w:w="624" w:type="dxa"/>
            <w:tcBorders>
              <w:top w:val="nil"/>
              <w:left w:val="nil"/>
              <w:bottom w:val="single" w:sz="4" w:space="0" w:color="auto"/>
              <w:right w:val="single" w:sz="4" w:space="0" w:color="auto"/>
            </w:tcBorders>
            <w:shd w:val="clear" w:color="auto" w:fill="auto"/>
            <w:noWrap/>
            <w:vAlign w:val="bottom"/>
            <w:hideMark/>
          </w:tcPr>
          <w:p w14:paraId="0896BC5B" w14:textId="77777777" w:rsidR="00EB7F95" w:rsidRPr="00C22C49" w:rsidRDefault="00EB7F95" w:rsidP="00EB7F95">
            <w:pPr>
              <w:pStyle w:val="Table"/>
              <w:rPr>
                <w:sz w:val="18"/>
                <w:szCs w:val="20"/>
                <w:lang w:val="uk-UA"/>
              </w:rPr>
            </w:pPr>
            <w:r w:rsidRPr="00C22C49">
              <w:rPr>
                <w:sz w:val="18"/>
                <w:szCs w:val="20"/>
                <w:lang w:val="uk-UA"/>
              </w:rPr>
              <w:t>9,9</w:t>
            </w:r>
          </w:p>
        </w:tc>
        <w:tc>
          <w:tcPr>
            <w:tcW w:w="624" w:type="dxa"/>
            <w:tcBorders>
              <w:top w:val="nil"/>
              <w:left w:val="nil"/>
              <w:bottom w:val="single" w:sz="4" w:space="0" w:color="auto"/>
              <w:right w:val="single" w:sz="4" w:space="0" w:color="auto"/>
            </w:tcBorders>
            <w:shd w:val="clear" w:color="auto" w:fill="auto"/>
            <w:noWrap/>
            <w:vAlign w:val="bottom"/>
            <w:hideMark/>
          </w:tcPr>
          <w:p w14:paraId="0896BC5C" w14:textId="77777777" w:rsidR="00EB7F95" w:rsidRPr="00C22C49" w:rsidRDefault="00EB7F95" w:rsidP="00EB7F95">
            <w:pPr>
              <w:pStyle w:val="Table"/>
              <w:rPr>
                <w:sz w:val="18"/>
                <w:szCs w:val="20"/>
                <w:lang w:val="uk-UA"/>
              </w:rPr>
            </w:pPr>
            <w:r w:rsidRPr="00C22C49">
              <w:rPr>
                <w:sz w:val="18"/>
                <w:szCs w:val="20"/>
                <w:lang w:val="uk-UA"/>
              </w:rPr>
              <w:t>10,5</w:t>
            </w:r>
          </w:p>
        </w:tc>
        <w:tc>
          <w:tcPr>
            <w:tcW w:w="624" w:type="dxa"/>
            <w:tcBorders>
              <w:top w:val="nil"/>
              <w:left w:val="nil"/>
              <w:bottom w:val="single" w:sz="4" w:space="0" w:color="auto"/>
              <w:right w:val="single" w:sz="4" w:space="0" w:color="auto"/>
            </w:tcBorders>
            <w:shd w:val="clear" w:color="auto" w:fill="auto"/>
            <w:noWrap/>
            <w:vAlign w:val="bottom"/>
            <w:hideMark/>
          </w:tcPr>
          <w:p w14:paraId="0896BC5D" w14:textId="77777777" w:rsidR="00EB7F95" w:rsidRPr="00C22C49" w:rsidRDefault="00EB7F95" w:rsidP="00EB7F95">
            <w:pPr>
              <w:pStyle w:val="Table"/>
              <w:rPr>
                <w:sz w:val="18"/>
                <w:szCs w:val="20"/>
                <w:lang w:val="uk-UA"/>
              </w:rPr>
            </w:pPr>
            <w:r w:rsidRPr="00C22C49">
              <w:rPr>
                <w:sz w:val="18"/>
                <w:szCs w:val="20"/>
                <w:lang w:val="uk-UA"/>
              </w:rPr>
              <w:t>11,1</w:t>
            </w:r>
          </w:p>
        </w:tc>
        <w:tc>
          <w:tcPr>
            <w:tcW w:w="624" w:type="dxa"/>
            <w:tcBorders>
              <w:top w:val="nil"/>
              <w:left w:val="nil"/>
              <w:bottom w:val="single" w:sz="4" w:space="0" w:color="auto"/>
              <w:right w:val="single" w:sz="4" w:space="0" w:color="auto"/>
            </w:tcBorders>
            <w:shd w:val="clear" w:color="auto" w:fill="auto"/>
            <w:noWrap/>
            <w:vAlign w:val="bottom"/>
            <w:hideMark/>
          </w:tcPr>
          <w:p w14:paraId="0896BC5E" w14:textId="77777777" w:rsidR="00EB7F95" w:rsidRPr="00C22C49" w:rsidRDefault="00EB7F95" w:rsidP="00EB7F95">
            <w:pPr>
              <w:pStyle w:val="Table"/>
              <w:rPr>
                <w:sz w:val="18"/>
                <w:szCs w:val="20"/>
                <w:lang w:val="uk-UA"/>
              </w:rPr>
            </w:pPr>
            <w:r w:rsidRPr="00C22C49">
              <w:rPr>
                <w:sz w:val="18"/>
                <w:szCs w:val="20"/>
                <w:lang w:val="uk-UA"/>
              </w:rPr>
              <w:t>11,7</w:t>
            </w:r>
          </w:p>
        </w:tc>
        <w:tc>
          <w:tcPr>
            <w:tcW w:w="624" w:type="dxa"/>
            <w:tcBorders>
              <w:top w:val="nil"/>
              <w:left w:val="nil"/>
              <w:bottom w:val="single" w:sz="4" w:space="0" w:color="auto"/>
              <w:right w:val="single" w:sz="4" w:space="0" w:color="auto"/>
            </w:tcBorders>
            <w:shd w:val="clear" w:color="auto" w:fill="auto"/>
            <w:noWrap/>
            <w:vAlign w:val="bottom"/>
            <w:hideMark/>
          </w:tcPr>
          <w:p w14:paraId="0896BC5F" w14:textId="77777777" w:rsidR="00EB7F95" w:rsidRPr="00C22C49" w:rsidRDefault="00EB7F95" w:rsidP="00EB7F95">
            <w:pPr>
              <w:pStyle w:val="Table"/>
              <w:rPr>
                <w:sz w:val="18"/>
                <w:szCs w:val="20"/>
                <w:lang w:val="uk-UA"/>
              </w:rPr>
            </w:pPr>
            <w:r w:rsidRPr="00C22C49">
              <w:rPr>
                <w:sz w:val="18"/>
                <w:szCs w:val="20"/>
                <w:lang w:val="uk-UA"/>
              </w:rPr>
              <w:t>12,3</w:t>
            </w:r>
          </w:p>
        </w:tc>
        <w:tc>
          <w:tcPr>
            <w:tcW w:w="624" w:type="dxa"/>
            <w:tcBorders>
              <w:top w:val="nil"/>
              <w:left w:val="nil"/>
              <w:bottom w:val="single" w:sz="4" w:space="0" w:color="auto"/>
              <w:right w:val="single" w:sz="4" w:space="0" w:color="auto"/>
            </w:tcBorders>
            <w:shd w:val="clear" w:color="auto" w:fill="auto"/>
            <w:noWrap/>
            <w:vAlign w:val="bottom"/>
            <w:hideMark/>
          </w:tcPr>
          <w:p w14:paraId="0896BC60" w14:textId="77777777" w:rsidR="00EB7F95" w:rsidRPr="00C22C49" w:rsidRDefault="00EB7F95" w:rsidP="00EB7F95">
            <w:pPr>
              <w:pStyle w:val="Table"/>
              <w:rPr>
                <w:sz w:val="18"/>
                <w:szCs w:val="20"/>
                <w:lang w:val="uk-UA"/>
              </w:rPr>
            </w:pPr>
            <w:r w:rsidRPr="00C22C49">
              <w:rPr>
                <w:sz w:val="18"/>
                <w:szCs w:val="20"/>
                <w:lang w:val="uk-UA"/>
              </w:rPr>
              <w:t>12,9</w:t>
            </w:r>
          </w:p>
        </w:tc>
        <w:tc>
          <w:tcPr>
            <w:tcW w:w="624" w:type="dxa"/>
            <w:tcBorders>
              <w:top w:val="nil"/>
              <w:left w:val="nil"/>
              <w:bottom w:val="single" w:sz="4" w:space="0" w:color="auto"/>
              <w:right w:val="single" w:sz="4" w:space="0" w:color="auto"/>
            </w:tcBorders>
            <w:shd w:val="clear" w:color="auto" w:fill="auto"/>
            <w:noWrap/>
            <w:vAlign w:val="bottom"/>
            <w:hideMark/>
          </w:tcPr>
          <w:p w14:paraId="0896BC61" w14:textId="77777777" w:rsidR="00EB7F95" w:rsidRPr="00C22C49" w:rsidRDefault="00EB7F95" w:rsidP="00EB7F95">
            <w:pPr>
              <w:pStyle w:val="Table"/>
              <w:rPr>
                <w:sz w:val="18"/>
                <w:szCs w:val="20"/>
                <w:lang w:val="uk-UA"/>
              </w:rPr>
            </w:pPr>
            <w:r w:rsidRPr="00C22C49">
              <w:rPr>
                <w:sz w:val="18"/>
                <w:szCs w:val="20"/>
                <w:lang w:val="uk-UA"/>
              </w:rPr>
              <w:t>13,5</w:t>
            </w:r>
          </w:p>
        </w:tc>
        <w:tc>
          <w:tcPr>
            <w:tcW w:w="624" w:type="dxa"/>
            <w:tcBorders>
              <w:top w:val="nil"/>
              <w:left w:val="nil"/>
              <w:bottom w:val="single" w:sz="4" w:space="0" w:color="auto"/>
              <w:right w:val="single" w:sz="4" w:space="0" w:color="auto"/>
            </w:tcBorders>
            <w:shd w:val="clear" w:color="auto" w:fill="auto"/>
            <w:noWrap/>
            <w:vAlign w:val="bottom"/>
            <w:hideMark/>
          </w:tcPr>
          <w:p w14:paraId="0896BC62" w14:textId="77777777" w:rsidR="00EB7F95" w:rsidRPr="00C22C49" w:rsidRDefault="00EB7F95" w:rsidP="00EB7F95">
            <w:pPr>
              <w:pStyle w:val="Table"/>
              <w:rPr>
                <w:sz w:val="18"/>
                <w:szCs w:val="20"/>
                <w:lang w:val="uk-UA"/>
              </w:rPr>
            </w:pPr>
            <w:r w:rsidRPr="00C22C49">
              <w:rPr>
                <w:sz w:val="18"/>
                <w:szCs w:val="20"/>
                <w:lang w:val="uk-UA"/>
              </w:rPr>
              <w:t>14,1</w:t>
            </w:r>
          </w:p>
        </w:tc>
        <w:tc>
          <w:tcPr>
            <w:tcW w:w="624" w:type="dxa"/>
            <w:tcBorders>
              <w:top w:val="nil"/>
              <w:left w:val="nil"/>
              <w:bottom w:val="single" w:sz="4" w:space="0" w:color="auto"/>
              <w:right w:val="single" w:sz="4" w:space="0" w:color="auto"/>
            </w:tcBorders>
            <w:shd w:val="clear" w:color="auto" w:fill="auto"/>
            <w:noWrap/>
            <w:vAlign w:val="bottom"/>
            <w:hideMark/>
          </w:tcPr>
          <w:p w14:paraId="0896BC63" w14:textId="77777777" w:rsidR="00EB7F95" w:rsidRPr="00C22C49" w:rsidRDefault="00EB7F95" w:rsidP="00EB7F95">
            <w:pPr>
              <w:pStyle w:val="Table"/>
              <w:rPr>
                <w:sz w:val="18"/>
                <w:szCs w:val="20"/>
                <w:lang w:val="uk-UA"/>
              </w:rPr>
            </w:pPr>
            <w:r w:rsidRPr="00C22C49">
              <w:rPr>
                <w:sz w:val="18"/>
                <w:szCs w:val="20"/>
                <w:lang w:val="uk-UA"/>
              </w:rPr>
              <w:t>14,7</w:t>
            </w:r>
          </w:p>
        </w:tc>
        <w:tc>
          <w:tcPr>
            <w:tcW w:w="624" w:type="dxa"/>
            <w:tcBorders>
              <w:top w:val="nil"/>
              <w:left w:val="nil"/>
              <w:bottom w:val="single" w:sz="4" w:space="0" w:color="auto"/>
              <w:right w:val="single" w:sz="4" w:space="0" w:color="auto"/>
            </w:tcBorders>
            <w:shd w:val="clear" w:color="auto" w:fill="auto"/>
            <w:noWrap/>
            <w:vAlign w:val="bottom"/>
            <w:hideMark/>
          </w:tcPr>
          <w:p w14:paraId="0896BC64" w14:textId="77777777" w:rsidR="00EB7F95" w:rsidRPr="00C22C49" w:rsidRDefault="00EB7F95" w:rsidP="00EB7F95">
            <w:pPr>
              <w:pStyle w:val="Table"/>
              <w:rPr>
                <w:sz w:val="18"/>
                <w:szCs w:val="20"/>
                <w:lang w:val="uk-UA"/>
              </w:rPr>
            </w:pPr>
            <w:r w:rsidRPr="00C22C49">
              <w:rPr>
                <w:sz w:val="18"/>
                <w:szCs w:val="20"/>
                <w:lang w:val="uk-UA"/>
              </w:rPr>
              <w:t>15,3</w:t>
            </w:r>
          </w:p>
        </w:tc>
        <w:tc>
          <w:tcPr>
            <w:tcW w:w="624" w:type="dxa"/>
            <w:tcBorders>
              <w:top w:val="nil"/>
              <w:left w:val="nil"/>
              <w:bottom w:val="single" w:sz="4" w:space="0" w:color="auto"/>
              <w:right w:val="single" w:sz="4" w:space="0" w:color="auto"/>
            </w:tcBorders>
            <w:shd w:val="clear" w:color="auto" w:fill="auto"/>
            <w:noWrap/>
            <w:vAlign w:val="bottom"/>
            <w:hideMark/>
          </w:tcPr>
          <w:p w14:paraId="0896BC65" w14:textId="77777777" w:rsidR="00EB7F95" w:rsidRPr="00C22C49" w:rsidRDefault="00EB7F95" w:rsidP="00EB7F95">
            <w:pPr>
              <w:pStyle w:val="Table"/>
              <w:rPr>
                <w:sz w:val="18"/>
                <w:szCs w:val="20"/>
                <w:lang w:val="uk-UA"/>
              </w:rPr>
            </w:pPr>
            <w:r w:rsidRPr="00C22C49">
              <w:rPr>
                <w:sz w:val="18"/>
                <w:szCs w:val="20"/>
                <w:lang w:val="uk-UA"/>
              </w:rPr>
              <w:t>15,9</w:t>
            </w:r>
          </w:p>
        </w:tc>
      </w:tr>
      <w:tr w:rsidR="00274CD9" w:rsidRPr="00C22C49" w14:paraId="0896BC75"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67" w14:textId="77777777" w:rsidR="00EB7F95" w:rsidRPr="00C22C49" w:rsidRDefault="00EB7F95" w:rsidP="00EB7F95">
            <w:pPr>
              <w:pStyle w:val="Table"/>
              <w:rPr>
                <w:sz w:val="18"/>
                <w:szCs w:val="20"/>
                <w:lang w:val="uk-UA"/>
              </w:rPr>
            </w:pPr>
            <w:r w:rsidRPr="00C22C49">
              <w:rPr>
                <w:sz w:val="18"/>
                <w:szCs w:val="20"/>
                <w:lang w:val="uk-UA"/>
              </w:rPr>
              <w:t>Динаміка, в % до 2022 р.</w:t>
            </w:r>
          </w:p>
        </w:tc>
        <w:tc>
          <w:tcPr>
            <w:tcW w:w="624" w:type="dxa"/>
            <w:tcBorders>
              <w:top w:val="nil"/>
              <w:left w:val="nil"/>
              <w:bottom w:val="single" w:sz="4" w:space="0" w:color="auto"/>
              <w:right w:val="single" w:sz="4" w:space="0" w:color="auto"/>
            </w:tcBorders>
            <w:shd w:val="clear" w:color="auto" w:fill="auto"/>
            <w:noWrap/>
            <w:vAlign w:val="bottom"/>
            <w:hideMark/>
          </w:tcPr>
          <w:p w14:paraId="0896BC68" w14:textId="77777777" w:rsidR="00EB7F95" w:rsidRPr="00C22C49" w:rsidRDefault="00EB7F95" w:rsidP="00EB7F95">
            <w:pPr>
              <w:pStyle w:val="Table"/>
              <w:rPr>
                <w:sz w:val="18"/>
                <w:szCs w:val="20"/>
                <w:lang w:val="uk-UA"/>
              </w:rPr>
            </w:pPr>
            <w:r w:rsidRPr="00C22C49">
              <w:rPr>
                <w:sz w:val="18"/>
                <w:szCs w:val="20"/>
                <w:lang w:val="uk-UA"/>
              </w:rPr>
              <w:t>100,0</w:t>
            </w:r>
          </w:p>
        </w:tc>
        <w:tc>
          <w:tcPr>
            <w:tcW w:w="624" w:type="dxa"/>
            <w:tcBorders>
              <w:top w:val="nil"/>
              <w:left w:val="nil"/>
              <w:bottom w:val="single" w:sz="4" w:space="0" w:color="auto"/>
              <w:right w:val="single" w:sz="4" w:space="0" w:color="auto"/>
            </w:tcBorders>
            <w:shd w:val="clear" w:color="auto" w:fill="auto"/>
            <w:noWrap/>
            <w:vAlign w:val="bottom"/>
            <w:hideMark/>
          </w:tcPr>
          <w:p w14:paraId="0896BC69" w14:textId="77777777" w:rsidR="00EB7F95" w:rsidRPr="00C22C49" w:rsidRDefault="00EB7F95" w:rsidP="00EB7F95">
            <w:pPr>
              <w:pStyle w:val="Table"/>
              <w:rPr>
                <w:sz w:val="18"/>
                <w:szCs w:val="20"/>
                <w:lang w:val="uk-UA"/>
              </w:rPr>
            </w:pPr>
            <w:r w:rsidRPr="00C22C49">
              <w:rPr>
                <w:sz w:val="18"/>
                <w:szCs w:val="20"/>
                <w:lang w:val="uk-UA"/>
              </w:rPr>
              <w:t>106,9</w:t>
            </w:r>
          </w:p>
        </w:tc>
        <w:tc>
          <w:tcPr>
            <w:tcW w:w="624" w:type="dxa"/>
            <w:tcBorders>
              <w:top w:val="nil"/>
              <w:left w:val="nil"/>
              <w:bottom w:val="single" w:sz="4" w:space="0" w:color="auto"/>
              <w:right w:val="single" w:sz="4" w:space="0" w:color="auto"/>
            </w:tcBorders>
            <w:shd w:val="clear" w:color="auto" w:fill="auto"/>
            <w:noWrap/>
            <w:vAlign w:val="bottom"/>
            <w:hideMark/>
          </w:tcPr>
          <w:p w14:paraId="0896BC6A" w14:textId="77777777" w:rsidR="00EB7F95" w:rsidRPr="00C22C49" w:rsidRDefault="00EB7F95" w:rsidP="00EB7F95">
            <w:pPr>
              <w:pStyle w:val="Table"/>
              <w:rPr>
                <w:sz w:val="18"/>
                <w:szCs w:val="20"/>
                <w:lang w:val="uk-UA"/>
              </w:rPr>
            </w:pPr>
            <w:r w:rsidRPr="00C22C49">
              <w:rPr>
                <w:sz w:val="18"/>
                <w:szCs w:val="20"/>
                <w:lang w:val="uk-UA"/>
              </w:rPr>
              <w:t>113,8</w:t>
            </w:r>
          </w:p>
        </w:tc>
        <w:tc>
          <w:tcPr>
            <w:tcW w:w="624" w:type="dxa"/>
            <w:tcBorders>
              <w:top w:val="nil"/>
              <w:left w:val="nil"/>
              <w:bottom w:val="single" w:sz="4" w:space="0" w:color="auto"/>
              <w:right w:val="single" w:sz="4" w:space="0" w:color="auto"/>
            </w:tcBorders>
            <w:shd w:val="clear" w:color="auto" w:fill="auto"/>
            <w:noWrap/>
            <w:vAlign w:val="bottom"/>
            <w:hideMark/>
          </w:tcPr>
          <w:p w14:paraId="0896BC6B" w14:textId="77777777" w:rsidR="00EB7F95" w:rsidRPr="00C22C49" w:rsidRDefault="00EB7F95" w:rsidP="00EB7F95">
            <w:pPr>
              <w:pStyle w:val="Table"/>
              <w:rPr>
                <w:sz w:val="18"/>
                <w:szCs w:val="20"/>
                <w:lang w:val="uk-UA"/>
              </w:rPr>
            </w:pPr>
            <w:r w:rsidRPr="00C22C49">
              <w:rPr>
                <w:sz w:val="18"/>
                <w:szCs w:val="20"/>
                <w:lang w:val="uk-UA"/>
              </w:rPr>
              <w:t>120,7</w:t>
            </w:r>
          </w:p>
        </w:tc>
        <w:tc>
          <w:tcPr>
            <w:tcW w:w="624" w:type="dxa"/>
            <w:tcBorders>
              <w:top w:val="nil"/>
              <w:left w:val="nil"/>
              <w:bottom w:val="single" w:sz="4" w:space="0" w:color="auto"/>
              <w:right w:val="single" w:sz="4" w:space="0" w:color="auto"/>
            </w:tcBorders>
            <w:shd w:val="clear" w:color="auto" w:fill="auto"/>
            <w:noWrap/>
            <w:vAlign w:val="bottom"/>
            <w:hideMark/>
          </w:tcPr>
          <w:p w14:paraId="0896BC6C" w14:textId="77777777" w:rsidR="00EB7F95" w:rsidRPr="00C22C49" w:rsidRDefault="00EB7F95" w:rsidP="00EB7F95">
            <w:pPr>
              <w:pStyle w:val="Table"/>
              <w:rPr>
                <w:sz w:val="18"/>
                <w:szCs w:val="20"/>
                <w:lang w:val="uk-UA"/>
              </w:rPr>
            </w:pPr>
            <w:r w:rsidRPr="00C22C49">
              <w:rPr>
                <w:sz w:val="18"/>
                <w:szCs w:val="20"/>
                <w:lang w:val="uk-UA"/>
              </w:rPr>
              <w:t>127,6</w:t>
            </w:r>
          </w:p>
        </w:tc>
        <w:tc>
          <w:tcPr>
            <w:tcW w:w="624" w:type="dxa"/>
            <w:tcBorders>
              <w:top w:val="nil"/>
              <w:left w:val="nil"/>
              <w:bottom w:val="single" w:sz="4" w:space="0" w:color="auto"/>
              <w:right w:val="single" w:sz="4" w:space="0" w:color="auto"/>
            </w:tcBorders>
            <w:shd w:val="clear" w:color="auto" w:fill="auto"/>
            <w:noWrap/>
            <w:vAlign w:val="bottom"/>
            <w:hideMark/>
          </w:tcPr>
          <w:p w14:paraId="0896BC6D" w14:textId="77777777" w:rsidR="00EB7F95" w:rsidRPr="00C22C49" w:rsidRDefault="00EB7F95" w:rsidP="00EB7F95">
            <w:pPr>
              <w:pStyle w:val="Table"/>
              <w:rPr>
                <w:sz w:val="18"/>
                <w:szCs w:val="20"/>
                <w:lang w:val="uk-UA"/>
              </w:rPr>
            </w:pPr>
            <w:r w:rsidRPr="00C22C49">
              <w:rPr>
                <w:sz w:val="18"/>
                <w:szCs w:val="20"/>
                <w:lang w:val="uk-UA"/>
              </w:rPr>
              <w:t>134,5</w:t>
            </w:r>
          </w:p>
        </w:tc>
        <w:tc>
          <w:tcPr>
            <w:tcW w:w="624" w:type="dxa"/>
            <w:tcBorders>
              <w:top w:val="nil"/>
              <w:left w:val="nil"/>
              <w:bottom w:val="single" w:sz="4" w:space="0" w:color="auto"/>
              <w:right w:val="single" w:sz="4" w:space="0" w:color="auto"/>
            </w:tcBorders>
            <w:shd w:val="clear" w:color="auto" w:fill="auto"/>
            <w:noWrap/>
            <w:vAlign w:val="bottom"/>
            <w:hideMark/>
          </w:tcPr>
          <w:p w14:paraId="0896BC6E" w14:textId="77777777" w:rsidR="00EB7F95" w:rsidRPr="00C22C49" w:rsidRDefault="00EB7F95" w:rsidP="00EB7F95">
            <w:pPr>
              <w:pStyle w:val="Table"/>
              <w:rPr>
                <w:sz w:val="18"/>
                <w:szCs w:val="20"/>
                <w:lang w:val="uk-UA"/>
              </w:rPr>
            </w:pPr>
            <w:r w:rsidRPr="00C22C49">
              <w:rPr>
                <w:sz w:val="18"/>
                <w:szCs w:val="20"/>
                <w:lang w:val="uk-UA"/>
              </w:rPr>
              <w:t>141,4</w:t>
            </w:r>
          </w:p>
        </w:tc>
        <w:tc>
          <w:tcPr>
            <w:tcW w:w="624" w:type="dxa"/>
            <w:tcBorders>
              <w:top w:val="nil"/>
              <w:left w:val="nil"/>
              <w:bottom w:val="single" w:sz="4" w:space="0" w:color="auto"/>
              <w:right w:val="single" w:sz="4" w:space="0" w:color="auto"/>
            </w:tcBorders>
            <w:shd w:val="clear" w:color="auto" w:fill="auto"/>
            <w:noWrap/>
            <w:vAlign w:val="bottom"/>
            <w:hideMark/>
          </w:tcPr>
          <w:p w14:paraId="0896BC6F" w14:textId="77777777" w:rsidR="00EB7F95" w:rsidRPr="00C22C49" w:rsidRDefault="00EB7F95" w:rsidP="00EB7F95">
            <w:pPr>
              <w:pStyle w:val="Table"/>
              <w:rPr>
                <w:sz w:val="18"/>
                <w:szCs w:val="20"/>
                <w:lang w:val="uk-UA"/>
              </w:rPr>
            </w:pPr>
            <w:r w:rsidRPr="00C22C49">
              <w:rPr>
                <w:sz w:val="18"/>
                <w:szCs w:val="20"/>
                <w:lang w:val="uk-UA"/>
              </w:rPr>
              <w:t>148,3</w:t>
            </w:r>
          </w:p>
        </w:tc>
        <w:tc>
          <w:tcPr>
            <w:tcW w:w="624" w:type="dxa"/>
            <w:tcBorders>
              <w:top w:val="nil"/>
              <w:left w:val="nil"/>
              <w:bottom w:val="single" w:sz="4" w:space="0" w:color="auto"/>
              <w:right w:val="single" w:sz="4" w:space="0" w:color="auto"/>
            </w:tcBorders>
            <w:shd w:val="clear" w:color="auto" w:fill="auto"/>
            <w:noWrap/>
            <w:vAlign w:val="bottom"/>
            <w:hideMark/>
          </w:tcPr>
          <w:p w14:paraId="0896BC70" w14:textId="77777777" w:rsidR="00EB7F95" w:rsidRPr="00C22C49" w:rsidRDefault="00EB7F95" w:rsidP="00EB7F95">
            <w:pPr>
              <w:pStyle w:val="Table"/>
              <w:rPr>
                <w:sz w:val="18"/>
                <w:szCs w:val="20"/>
                <w:lang w:val="uk-UA"/>
              </w:rPr>
            </w:pPr>
            <w:r w:rsidRPr="00C22C49">
              <w:rPr>
                <w:sz w:val="18"/>
                <w:szCs w:val="20"/>
                <w:lang w:val="uk-UA"/>
              </w:rPr>
              <w:t>155,2</w:t>
            </w:r>
          </w:p>
        </w:tc>
        <w:tc>
          <w:tcPr>
            <w:tcW w:w="624" w:type="dxa"/>
            <w:tcBorders>
              <w:top w:val="nil"/>
              <w:left w:val="nil"/>
              <w:bottom w:val="single" w:sz="4" w:space="0" w:color="auto"/>
              <w:right w:val="single" w:sz="4" w:space="0" w:color="auto"/>
            </w:tcBorders>
            <w:shd w:val="clear" w:color="auto" w:fill="auto"/>
            <w:noWrap/>
            <w:vAlign w:val="bottom"/>
            <w:hideMark/>
          </w:tcPr>
          <w:p w14:paraId="0896BC71" w14:textId="77777777" w:rsidR="00EB7F95" w:rsidRPr="00C22C49" w:rsidRDefault="00EB7F95" w:rsidP="00EB7F95">
            <w:pPr>
              <w:pStyle w:val="Table"/>
              <w:rPr>
                <w:sz w:val="18"/>
                <w:szCs w:val="20"/>
                <w:lang w:val="uk-UA"/>
              </w:rPr>
            </w:pPr>
            <w:r w:rsidRPr="00C22C49">
              <w:rPr>
                <w:sz w:val="18"/>
                <w:szCs w:val="20"/>
                <w:lang w:val="uk-UA"/>
              </w:rPr>
              <w:t>162,1</w:t>
            </w:r>
          </w:p>
        </w:tc>
        <w:tc>
          <w:tcPr>
            <w:tcW w:w="624" w:type="dxa"/>
            <w:tcBorders>
              <w:top w:val="nil"/>
              <w:left w:val="nil"/>
              <w:bottom w:val="single" w:sz="4" w:space="0" w:color="auto"/>
              <w:right w:val="single" w:sz="4" w:space="0" w:color="auto"/>
            </w:tcBorders>
            <w:shd w:val="clear" w:color="auto" w:fill="auto"/>
            <w:noWrap/>
            <w:vAlign w:val="bottom"/>
            <w:hideMark/>
          </w:tcPr>
          <w:p w14:paraId="0896BC72" w14:textId="77777777" w:rsidR="00EB7F95" w:rsidRPr="00C22C49" w:rsidRDefault="00EB7F95" w:rsidP="00EB7F95">
            <w:pPr>
              <w:pStyle w:val="Table"/>
              <w:rPr>
                <w:sz w:val="18"/>
                <w:szCs w:val="20"/>
                <w:lang w:val="uk-UA"/>
              </w:rPr>
            </w:pPr>
            <w:r w:rsidRPr="00C22C49">
              <w:rPr>
                <w:sz w:val="18"/>
                <w:szCs w:val="20"/>
                <w:lang w:val="uk-UA"/>
              </w:rPr>
              <w:t>169,0</w:t>
            </w:r>
          </w:p>
        </w:tc>
        <w:tc>
          <w:tcPr>
            <w:tcW w:w="624" w:type="dxa"/>
            <w:tcBorders>
              <w:top w:val="nil"/>
              <w:left w:val="nil"/>
              <w:bottom w:val="single" w:sz="4" w:space="0" w:color="auto"/>
              <w:right w:val="single" w:sz="4" w:space="0" w:color="auto"/>
            </w:tcBorders>
            <w:shd w:val="clear" w:color="auto" w:fill="auto"/>
            <w:noWrap/>
            <w:vAlign w:val="bottom"/>
            <w:hideMark/>
          </w:tcPr>
          <w:p w14:paraId="0896BC73" w14:textId="77777777" w:rsidR="00EB7F95" w:rsidRPr="00C22C49" w:rsidRDefault="00EB7F95" w:rsidP="00EB7F95">
            <w:pPr>
              <w:pStyle w:val="Table"/>
              <w:rPr>
                <w:sz w:val="18"/>
                <w:szCs w:val="20"/>
                <w:lang w:val="uk-UA"/>
              </w:rPr>
            </w:pPr>
            <w:r w:rsidRPr="00C22C49">
              <w:rPr>
                <w:sz w:val="18"/>
                <w:szCs w:val="20"/>
                <w:lang w:val="uk-UA"/>
              </w:rPr>
              <w:t>175,9</w:t>
            </w:r>
          </w:p>
        </w:tc>
        <w:tc>
          <w:tcPr>
            <w:tcW w:w="624" w:type="dxa"/>
            <w:tcBorders>
              <w:top w:val="nil"/>
              <w:left w:val="nil"/>
              <w:bottom w:val="single" w:sz="4" w:space="0" w:color="auto"/>
              <w:right w:val="single" w:sz="4" w:space="0" w:color="auto"/>
            </w:tcBorders>
            <w:shd w:val="clear" w:color="auto" w:fill="auto"/>
            <w:noWrap/>
            <w:vAlign w:val="bottom"/>
            <w:hideMark/>
          </w:tcPr>
          <w:p w14:paraId="0896BC74" w14:textId="77777777" w:rsidR="00EB7F95" w:rsidRPr="00C22C49" w:rsidRDefault="00EB7F95" w:rsidP="00EB7F95">
            <w:pPr>
              <w:pStyle w:val="Table"/>
              <w:rPr>
                <w:sz w:val="18"/>
                <w:szCs w:val="20"/>
                <w:lang w:val="uk-UA"/>
              </w:rPr>
            </w:pPr>
            <w:r w:rsidRPr="00C22C49">
              <w:rPr>
                <w:sz w:val="18"/>
                <w:szCs w:val="20"/>
                <w:lang w:val="uk-UA"/>
              </w:rPr>
              <w:t>182,8</w:t>
            </w:r>
          </w:p>
        </w:tc>
      </w:tr>
      <w:tr w:rsidR="00274CD9" w:rsidRPr="00C22C49" w14:paraId="0896BC84"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76" w14:textId="77777777" w:rsidR="00EB7F95" w:rsidRPr="00C22C49" w:rsidRDefault="00EB7F95" w:rsidP="00EB7F95">
            <w:pPr>
              <w:pStyle w:val="Table"/>
              <w:rPr>
                <w:sz w:val="18"/>
                <w:szCs w:val="20"/>
                <w:lang w:val="uk-UA"/>
              </w:rPr>
            </w:pPr>
            <w:r w:rsidRPr="00C22C49">
              <w:rPr>
                <w:sz w:val="18"/>
                <w:szCs w:val="20"/>
                <w:lang w:val="uk-UA"/>
              </w:rPr>
              <w:t>у тому числі</w:t>
            </w:r>
          </w:p>
        </w:tc>
        <w:tc>
          <w:tcPr>
            <w:tcW w:w="624" w:type="dxa"/>
            <w:tcBorders>
              <w:top w:val="nil"/>
              <w:left w:val="nil"/>
              <w:bottom w:val="single" w:sz="4" w:space="0" w:color="auto"/>
              <w:right w:val="single" w:sz="4" w:space="0" w:color="auto"/>
            </w:tcBorders>
            <w:shd w:val="clear" w:color="auto" w:fill="auto"/>
            <w:noWrap/>
            <w:vAlign w:val="bottom"/>
          </w:tcPr>
          <w:p w14:paraId="0896BC77"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8"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9"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A"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B"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C"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D"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E"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7F"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80"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81"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82" w14:textId="77777777" w:rsidR="00EB7F95" w:rsidRPr="00C22C49" w:rsidRDefault="00EB7F95" w:rsidP="00EB7F95">
            <w:pPr>
              <w:pStyle w:val="Table"/>
              <w:rPr>
                <w:sz w:val="18"/>
                <w:szCs w:val="20"/>
                <w:lang w:val="uk-UA"/>
              </w:rPr>
            </w:pPr>
          </w:p>
        </w:tc>
        <w:tc>
          <w:tcPr>
            <w:tcW w:w="624" w:type="dxa"/>
            <w:tcBorders>
              <w:top w:val="nil"/>
              <w:left w:val="nil"/>
              <w:bottom w:val="single" w:sz="4" w:space="0" w:color="auto"/>
              <w:right w:val="single" w:sz="4" w:space="0" w:color="auto"/>
            </w:tcBorders>
            <w:shd w:val="clear" w:color="auto" w:fill="auto"/>
            <w:noWrap/>
            <w:vAlign w:val="bottom"/>
          </w:tcPr>
          <w:p w14:paraId="0896BC83" w14:textId="77777777" w:rsidR="00EB7F95" w:rsidRPr="00C22C49" w:rsidRDefault="00EB7F95" w:rsidP="00EB7F95">
            <w:pPr>
              <w:pStyle w:val="Table"/>
              <w:rPr>
                <w:sz w:val="18"/>
                <w:szCs w:val="20"/>
                <w:lang w:val="uk-UA"/>
              </w:rPr>
            </w:pPr>
          </w:p>
        </w:tc>
      </w:tr>
      <w:tr w:rsidR="00274CD9" w:rsidRPr="00C22C49" w14:paraId="0896BC93"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85" w14:textId="77777777" w:rsidR="00EB7F95" w:rsidRPr="00C22C49" w:rsidRDefault="00EB7F95" w:rsidP="00EB7F95">
            <w:pPr>
              <w:pStyle w:val="Table"/>
              <w:rPr>
                <w:sz w:val="18"/>
                <w:szCs w:val="20"/>
                <w:lang w:val="uk-UA"/>
              </w:rPr>
            </w:pPr>
            <w:r w:rsidRPr="00C22C49">
              <w:rPr>
                <w:sz w:val="18"/>
                <w:szCs w:val="20"/>
                <w:lang w:val="uk-UA"/>
              </w:rPr>
              <w:t>утворено ВЕЕО</w:t>
            </w:r>
          </w:p>
        </w:tc>
        <w:tc>
          <w:tcPr>
            <w:tcW w:w="624" w:type="dxa"/>
            <w:tcBorders>
              <w:top w:val="nil"/>
              <w:left w:val="nil"/>
              <w:bottom w:val="single" w:sz="4" w:space="0" w:color="auto"/>
              <w:right w:val="single" w:sz="4" w:space="0" w:color="auto"/>
            </w:tcBorders>
            <w:shd w:val="clear" w:color="auto" w:fill="auto"/>
            <w:noWrap/>
            <w:vAlign w:val="bottom"/>
            <w:hideMark/>
          </w:tcPr>
          <w:p w14:paraId="0896BC86" w14:textId="77777777" w:rsidR="00EB7F95" w:rsidRPr="00C22C49" w:rsidRDefault="00EB7F95" w:rsidP="00EB7F95">
            <w:pPr>
              <w:pStyle w:val="Table"/>
              <w:rPr>
                <w:sz w:val="18"/>
                <w:szCs w:val="20"/>
                <w:lang w:val="uk-UA"/>
              </w:rPr>
            </w:pPr>
            <w:r w:rsidRPr="00C22C49">
              <w:rPr>
                <w:sz w:val="18"/>
                <w:szCs w:val="20"/>
                <w:lang w:val="uk-UA"/>
              </w:rPr>
              <w:t>265,7</w:t>
            </w:r>
          </w:p>
        </w:tc>
        <w:tc>
          <w:tcPr>
            <w:tcW w:w="624" w:type="dxa"/>
            <w:tcBorders>
              <w:top w:val="nil"/>
              <w:left w:val="nil"/>
              <w:bottom w:val="single" w:sz="4" w:space="0" w:color="auto"/>
              <w:right w:val="single" w:sz="4" w:space="0" w:color="auto"/>
            </w:tcBorders>
            <w:shd w:val="clear" w:color="auto" w:fill="auto"/>
            <w:noWrap/>
            <w:vAlign w:val="bottom"/>
            <w:hideMark/>
          </w:tcPr>
          <w:p w14:paraId="0896BC87" w14:textId="77777777" w:rsidR="00EB7F95" w:rsidRPr="00C22C49" w:rsidRDefault="00EB7F95" w:rsidP="00EB7F95">
            <w:pPr>
              <w:pStyle w:val="Table"/>
              <w:rPr>
                <w:sz w:val="18"/>
                <w:szCs w:val="20"/>
                <w:lang w:val="uk-UA"/>
              </w:rPr>
            </w:pPr>
            <w:r w:rsidRPr="00C22C49">
              <w:rPr>
                <w:sz w:val="18"/>
                <w:szCs w:val="20"/>
                <w:lang w:val="uk-UA"/>
              </w:rPr>
              <w:t>263,9</w:t>
            </w:r>
          </w:p>
        </w:tc>
        <w:tc>
          <w:tcPr>
            <w:tcW w:w="624" w:type="dxa"/>
            <w:tcBorders>
              <w:top w:val="nil"/>
              <w:left w:val="nil"/>
              <w:bottom w:val="single" w:sz="4" w:space="0" w:color="auto"/>
              <w:right w:val="single" w:sz="4" w:space="0" w:color="auto"/>
            </w:tcBorders>
            <w:shd w:val="clear" w:color="auto" w:fill="auto"/>
            <w:noWrap/>
            <w:vAlign w:val="bottom"/>
            <w:hideMark/>
          </w:tcPr>
          <w:p w14:paraId="0896BC88" w14:textId="77777777" w:rsidR="00EB7F95" w:rsidRPr="00C22C49" w:rsidRDefault="00EB7F95" w:rsidP="00EB7F95">
            <w:pPr>
              <w:pStyle w:val="Table"/>
              <w:rPr>
                <w:sz w:val="18"/>
                <w:szCs w:val="20"/>
                <w:lang w:val="uk-UA"/>
              </w:rPr>
            </w:pPr>
            <w:r w:rsidRPr="00C22C49">
              <w:rPr>
                <w:sz w:val="18"/>
                <w:szCs w:val="20"/>
                <w:lang w:val="uk-UA"/>
              </w:rPr>
              <w:t>261,9</w:t>
            </w:r>
          </w:p>
        </w:tc>
        <w:tc>
          <w:tcPr>
            <w:tcW w:w="624" w:type="dxa"/>
            <w:tcBorders>
              <w:top w:val="nil"/>
              <w:left w:val="nil"/>
              <w:bottom w:val="single" w:sz="4" w:space="0" w:color="auto"/>
              <w:right w:val="single" w:sz="4" w:space="0" w:color="auto"/>
            </w:tcBorders>
            <w:shd w:val="clear" w:color="auto" w:fill="auto"/>
            <w:noWrap/>
            <w:vAlign w:val="bottom"/>
            <w:hideMark/>
          </w:tcPr>
          <w:p w14:paraId="0896BC89" w14:textId="77777777" w:rsidR="00EB7F95" w:rsidRPr="00C22C49" w:rsidRDefault="00EB7F95" w:rsidP="00EB7F95">
            <w:pPr>
              <w:pStyle w:val="Table"/>
              <w:rPr>
                <w:sz w:val="18"/>
                <w:szCs w:val="20"/>
                <w:lang w:val="uk-UA"/>
              </w:rPr>
            </w:pPr>
            <w:r w:rsidRPr="00C22C49">
              <w:rPr>
                <w:sz w:val="18"/>
                <w:szCs w:val="20"/>
                <w:lang w:val="uk-UA"/>
              </w:rPr>
              <w:t>259,8</w:t>
            </w:r>
          </w:p>
        </w:tc>
        <w:tc>
          <w:tcPr>
            <w:tcW w:w="624" w:type="dxa"/>
            <w:tcBorders>
              <w:top w:val="nil"/>
              <w:left w:val="nil"/>
              <w:bottom w:val="single" w:sz="4" w:space="0" w:color="auto"/>
              <w:right w:val="single" w:sz="4" w:space="0" w:color="auto"/>
            </w:tcBorders>
            <w:shd w:val="clear" w:color="auto" w:fill="auto"/>
            <w:noWrap/>
            <w:vAlign w:val="bottom"/>
            <w:hideMark/>
          </w:tcPr>
          <w:p w14:paraId="0896BC8A" w14:textId="77777777" w:rsidR="00EB7F95" w:rsidRPr="00C22C49" w:rsidRDefault="00EB7F95" w:rsidP="00EB7F95">
            <w:pPr>
              <w:pStyle w:val="Table"/>
              <w:rPr>
                <w:sz w:val="18"/>
                <w:szCs w:val="20"/>
                <w:lang w:val="uk-UA"/>
              </w:rPr>
            </w:pPr>
            <w:r w:rsidRPr="00C22C49">
              <w:rPr>
                <w:sz w:val="18"/>
                <w:szCs w:val="20"/>
                <w:lang w:val="uk-UA"/>
              </w:rPr>
              <w:t>257,7</w:t>
            </w:r>
          </w:p>
        </w:tc>
        <w:tc>
          <w:tcPr>
            <w:tcW w:w="624" w:type="dxa"/>
            <w:tcBorders>
              <w:top w:val="nil"/>
              <w:left w:val="nil"/>
              <w:bottom w:val="single" w:sz="4" w:space="0" w:color="auto"/>
              <w:right w:val="single" w:sz="4" w:space="0" w:color="auto"/>
            </w:tcBorders>
            <w:shd w:val="clear" w:color="auto" w:fill="auto"/>
            <w:noWrap/>
            <w:vAlign w:val="bottom"/>
            <w:hideMark/>
          </w:tcPr>
          <w:p w14:paraId="0896BC8B" w14:textId="77777777" w:rsidR="00EB7F95" w:rsidRPr="00C22C49" w:rsidRDefault="00EB7F95" w:rsidP="00EB7F95">
            <w:pPr>
              <w:pStyle w:val="Table"/>
              <w:rPr>
                <w:sz w:val="18"/>
                <w:szCs w:val="20"/>
                <w:lang w:val="uk-UA"/>
              </w:rPr>
            </w:pPr>
            <w:r w:rsidRPr="00C22C49">
              <w:rPr>
                <w:sz w:val="18"/>
                <w:szCs w:val="20"/>
                <w:lang w:val="uk-UA"/>
              </w:rPr>
              <w:t>255,4</w:t>
            </w:r>
          </w:p>
        </w:tc>
        <w:tc>
          <w:tcPr>
            <w:tcW w:w="624" w:type="dxa"/>
            <w:tcBorders>
              <w:top w:val="nil"/>
              <w:left w:val="nil"/>
              <w:bottom w:val="single" w:sz="4" w:space="0" w:color="auto"/>
              <w:right w:val="single" w:sz="4" w:space="0" w:color="auto"/>
            </w:tcBorders>
            <w:shd w:val="clear" w:color="auto" w:fill="auto"/>
            <w:noWrap/>
            <w:vAlign w:val="bottom"/>
            <w:hideMark/>
          </w:tcPr>
          <w:p w14:paraId="0896BC8C" w14:textId="77777777" w:rsidR="00EB7F95" w:rsidRPr="00C22C49" w:rsidRDefault="00EB7F95" w:rsidP="00EB7F95">
            <w:pPr>
              <w:pStyle w:val="Table"/>
              <w:rPr>
                <w:sz w:val="18"/>
                <w:szCs w:val="20"/>
                <w:lang w:val="uk-UA"/>
              </w:rPr>
            </w:pPr>
            <w:r w:rsidRPr="00C22C49">
              <w:rPr>
                <w:sz w:val="18"/>
                <w:szCs w:val="20"/>
                <w:lang w:val="uk-UA"/>
              </w:rPr>
              <w:t>253,1</w:t>
            </w:r>
          </w:p>
        </w:tc>
        <w:tc>
          <w:tcPr>
            <w:tcW w:w="624" w:type="dxa"/>
            <w:tcBorders>
              <w:top w:val="nil"/>
              <w:left w:val="nil"/>
              <w:bottom w:val="single" w:sz="4" w:space="0" w:color="auto"/>
              <w:right w:val="single" w:sz="4" w:space="0" w:color="auto"/>
            </w:tcBorders>
            <w:shd w:val="clear" w:color="auto" w:fill="auto"/>
            <w:noWrap/>
            <w:vAlign w:val="bottom"/>
            <w:hideMark/>
          </w:tcPr>
          <w:p w14:paraId="0896BC8D" w14:textId="77777777" w:rsidR="00EB7F95" w:rsidRPr="00C22C49" w:rsidRDefault="00EB7F95" w:rsidP="00EB7F95">
            <w:pPr>
              <w:pStyle w:val="Table"/>
              <w:rPr>
                <w:sz w:val="18"/>
                <w:szCs w:val="20"/>
                <w:lang w:val="uk-UA"/>
              </w:rPr>
            </w:pPr>
            <w:r w:rsidRPr="00C22C49">
              <w:rPr>
                <w:sz w:val="18"/>
                <w:szCs w:val="20"/>
                <w:lang w:val="uk-UA"/>
              </w:rPr>
              <w:t>250,7</w:t>
            </w:r>
          </w:p>
        </w:tc>
        <w:tc>
          <w:tcPr>
            <w:tcW w:w="624" w:type="dxa"/>
            <w:tcBorders>
              <w:top w:val="nil"/>
              <w:left w:val="nil"/>
              <w:bottom w:val="single" w:sz="4" w:space="0" w:color="auto"/>
              <w:right w:val="single" w:sz="4" w:space="0" w:color="auto"/>
            </w:tcBorders>
            <w:shd w:val="clear" w:color="auto" w:fill="auto"/>
            <w:noWrap/>
            <w:vAlign w:val="bottom"/>
            <w:hideMark/>
          </w:tcPr>
          <w:p w14:paraId="0896BC8E" w14:textId="77777777" w:rsidR="00EB7F95" w:rsidRPr="00C22C49" w:rsidRDefault="00EB7F95" w:rsidP="00EB7F95">
            <w:pPr>
              <w:pStyle w:val="Table"/>
              <w:rPr>
                <w:sz w:val="18"/>
                <w:szCs w:val="20"/>
                <w:lang w:val="uk-UA"/>
              </w:rPr>
            </w:pPr>
            <w:r w:rsidRPr="00C22C49">
              <w:rPr>
                <w:sz w:val="18"/>
                <w:szCs w:val="20"/>
                <w:lang w:val="uk-UA"/>
              </w:rPr>
              <w:t>248,3</w:t>
            </w:r>
          </w:p>
        </w:tc>
        <w:tc>
          <w:tcPr>
            <w:tcW w:w="624" w:type="dxa"/>
            <w:tcBorders>
              <w:top w:val="nil"/>
              <w:left w:val="nil"/>
              <w:bottom w:val="single" w:sz="4" w:space="0" w:color="auto"/>
              <w:right w:val="single" w:sz="4" w:space="0" w:color="auto"/>
            </w:tcBorders>
            <w:shd w:val="clear" w:color="auto" w:fill="auto"/>
            <w:noWrap/>
            <w:vAlign w:val="bottom"/>
            <w:hideMark/>
          </w:tcPr>
          <w:p w14:paraId="0896BC8F" w14:textId="77777777" w:rsidR="00EB7F95" w:rsidRPr="00C22C49" w:rsidRDefault="00EB7F95" w:rsidP="00EB7F95">
            <w:pPr>
              <w:pStyle w:val="Table"/>
              <w:rPr>
                <w:sz w:val="18"/>
                <w:szCs w:val="20"/>
                <w:lang w:val="uk-UA"/>
              </w:rPr>
            </w:pPr>
            <w:r w:rsidRPr="00C22C49">
              <w:rPr>
                <w:sz w:val="18"/>
                <w:szCs w:val="20"/>
                <w:lang w:val="uk-UA"/>
              </w:rPr>
              <w:t>245,7</w:t>
            </w:r>
          </w:p>
        </w:tc>
        <w:tc>
          <w:tcPr>
            <w:tcW w:w="624" w:type="dxa"/>
            <w:tcBorders>
              <w:top w:val="nil"/>
              <w:left w:val="nil"/>
              <w:bottom w:val="single" w:sz="4" w:space="0" w:color="auto"/>
              <w:right w:val="single" w:sz="4" w:space="0" w:color="auto"/>
            </w:tcBorders>
            <w:shd w:val="clear" w:color="auto" w:fill="auto"/>
            <w:noWrap/>
            <w:vAlign w:val="bottom"/>
            <w:hideMark/>
          </w:tcPr>
          <w:p w14:paraId="0896BC90" w14:textId="77777777" w:rsidR="00EB7F95" w:rsidRPr="00C22C49" w:rsidRDefault="00EB7F95" w:rsidP="00EB7F95">
            <w:pPr>
              <w:pStyle w:val="Table"/>
              <w:rPr>
                <w:sz w:val="18"/>
                <w:szCs w:val="20"/>
                <w:lang w:val="uk-UA"/>
              </w:rPr>
            </w:pPr>
            <w:r w:rsidRPr="00C22C49">
              <w:rPr>
                <w:sz w:val="18"/>
                <w:szCs w:val="20"/>
                <w:lang w:val="uk-UA"/>
              </w:rPr>
              <w:t>243,2</w:t>
            </w:r>
          </w:p>
        </w:tc>
        <w:tc>
          <w:tcPr>
            <w:tcW w:w="624" w:type="dxa"/>
            <w:tcBorders>
              <w:top w:val="nil"/>
              <w:left w:val="nil"/>
              <w:bottom w:val="single" w:sz="4" w:space="0" w:color="auto"/>
              <w:right w:val="single" w:sz="4" w:space="0" w:color="auto"/>
            </w:tcBorders>
            <w:shd w:val="clear" w:color="auto" w:fill="auto"/>
            <w:noWrap/>
            <w:vAlign w:val="bottom"/>
            <w:hideMark/>
          </w:tcPr>
          <w:p w14:paraId="0896BC91" w14:textId="77777777" w:rsidR="00EB7F95" w:rsidRPr="00C22C49" w:rsidRDefault="00EB7F95" w:rsidP="00EB7F95">
            <w:pPr>
              <w:pStyle w:val="Table"/>
              <w:rPr>
                <w:sz w:val="18"/>
                <w:szCs w:val="20"/>
                <w:lang w:val="uk-UA"/>
              </w:rPr>
            </w:pPr>
            <w:r w:rsidRPr="00C22C49">
              <w:rPr>
                <w:sz w:val="18"/>
                <w:szCs w:val="20"/>
                <w:lang w:val="uk-UA"/>
              </w:rPr>
              <w:t>240,5</w:t>
            </w:r>
          </w:p>
        </w:tc>
        <w:tc>
          <w:tcPr>
            <w:tcW w:w="624" w:type="dxa"/>
            <w:tcBorders>
              <w:top w:val="nil"/>
              <w:left w:val="nil"/>
              <w:bottom w:val="single" w:sz="4" w:space="0" w:color="auto"/>
              <w:right w:val="single" w:sz="4" w:space="0" w:color="auto"/>
            </w:tcBorders>
            <w:shd w:val="clear" w:color="auto" w:fill="auto"/>
            <w:noWrap/>
            <w:vAlign w:val="bottom"/>
            <w:hideMark/>
          </w:tcPr>
          <w:p w14:paraId="0896BC92" w14:textId="77777777" w:rsidR="00EB7F95" w:rsidRPr="00C22C49" w:rsidRDefault="00EB7F95" w:rsidP="00EB7F95">
            <w:pPr>
              <w:pStyle w:val="Table"/>
              <w:rPr>
                <w:sz w:val="18"/>
                <w:szCs w:val="20"/>
                <w:lang w:val="uk-UA"/>
              </w:rPr>
            </w:pPr>
            <w:r w:rsidRPr="00C22C49">
              <w:rPr>
                <w:sz w:val="18"/>
                <w:szCs w:val="20"/>
                <w:lang w:val="uk-UA"/>
              </w:rPr>
              <w:t>237,9</w:t>
            </w:r>
          </w:p>
        </w:tc>
      </w:tr>
      <w:tr w:rsidR="00274CD9" w:rsidRPr="00C22C49" w14:paraId="0896BCA2"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94" w14:textId="77777777" w:rsidR="00EB7F95" w:rsidRPr="00C22C49" w:rsidRDefault="00EB7F95" w:rsidP="00EB7F95">
            <w:pPr>
              <w:pStyle w:val="Table"/>
              <w:rPr>
                <w:sz w:val="18"/>
                <w:szCs w:val="20"/>
                <w:lang w:val="uk-UA"/>
              </w:rPr>
            </w:pPr>
            <w:r w:rsidRPr="00C22C49">
              <w:rPr>
                <w:sz w:val="18"/>
                <w:szCs w:val="20"/>
                <w:lang w:val="uk-UA"/>
              </w:rPr>
              <w:t>в розрахунку на особу, кг/рік</w:t>
            </w:r>
          </w:p>
        </w:tc>
        <w:tc>
          <w:tcPr>
            <w:tcW w:w="624" w:type="dxa"/>
            <w:tcBorders>
              <w:top w:val="nil"/>
              <w:left w:val="nil"/>
              <w:bottom w:val="single" w:sz="4" w:space="0" w:color="auto"/>
              <w:right w:val="single" w:sz="4" w:space="0" w:color="auto"/>
            </w:tcBorders>
            <w:shd w:val="clear" w:color="auto" w:fill="auto"/>
            <w:noWrap/>
            <w:vAlign w:val="bottom"/>
            <w:hideMark/>
          </w:tcPr>
          <w:p w14:paraId="0896BC95" w14:textId="77777777" w:rsidR="00EB7F95" w:rsidRPr="00C22C49" w:rsidRDefault="00EB7F95" w:rsidP="00EB7F95">
            <w:pPr>
              <w:pStyle w:val="Table"/>
              <w:rPr>
                <w:sz w:val="18"/>
                <w:szCs w:val="20"/>
                <w:lang w:val="uk-UA"/>
              </w:rPr>
            </w:pPr>
            <w:r w:rsidRPr="00C22C49">
              <w:rPr>
                <w:sz w:val="18"/>
                <w:szCs w:val="20"/>
                <w:lang w:val="uk-UA"/>
              </w:rPr>
              <w:t>7,5</w:t>
            </w:r>
          </w:p>
        </w:tc>
        <w:tc>
          <w:tcPr>
            <w:tcW w:w="624" w:type="dxa"/>
            <w:tcBorders>
              <w:top w:val="nil"/>
              <w:left w:val="nil"/>
              <w:bottom w:val="single" w:sz="4" w:space="0" w:color="auto"/>
              <w:right w:val="single" w:sz="4" w:space="0" w:color="auto"/>
            </w:tcBorders>
            <w:shd w:val="clear" w:color="auto" w:fill="auto"/>
            <w:noWrap/>
            <w:vAlign w:val="bottom"/>
            <w:hideMark/>
          </w:tcPr>
          <w:p w14:paraId="0896BC96" w14:textId="77777777" w:rsidR="00EB7F95" w:rsidRPr="00C22C49" w:rsidRDefault="00EB7F95" w:rsidP="00EB7F95">
            <w:pPr>
              <w:pStyle w:val="Table"/>
              <w:rPr>
                <w:sz w:val="18"/>
                <w:szCs w:val="20"/>
                <w:lang w:val="uk-UA"/>
              </w:rPr>
            </w:pPr>
            <w:r w:rsidRPr="00C22C49">
              <w:rPr>
                <w:sz w:val="18"/>
                <w:szCs w:val="20"/>
                <w:lang w:val="uk-UA"/>
              </w:rPr>
              <w:t>7,7</w:t>
            </w:r>
          </w:p>
        </w:tc>
        <w:tc>
          <w:tcPr>
            <w:tcW w:w="624" w:type="dxa"/>
            <w:tcBorders>
              <w:top w:val="nil"/>
              <w:left w:val="nil"/>
              <w:bottom w:val="single" w:sz="4" w:space="0" w:color="auto"/>
              <w:right w:val="single" w:sz="4" w:space="0" w:color="auto"/>
            </w:tcBorders>
            <w:shd w:val="clear" w:color="auto" w:fill="auto"/>
            <w:noWrap/>
            <w:vAlign w:val="bottom"/>
            <w:hideMark/>
          </w:tcPr>
          <w:p w14:paraId="0896BC97" w14:textId="77777777" w:rsidR="00EB7F95" w:rsidRPr="00C22C49" w:rsidRDefault="00EB7F95" w:rsidP="00EB7F95">
            <w:pPr>
              <w:pStyle w:val="Table"/>
              <w:rPr>
                <w:sz w:val="18"/>
                <w:szCs w:val="20"/>
                <w:lang w:val="uk-UA"/>
              </w:rPr>
            </w:pPr>
            <w:r w:rsidRPr="00C22C49">
              <w:rPr>
                <w:sz w:val="18"/>
                <w:szCs w:val="20"/>
                <w:lang w:val="uk-UA"/>
              </w:rPr>
              <w:t>7,8</w:t>
            </w:r>
          </w:p>
        </w:tc>
        <w:tc>
          <w:tcPr>
            <w:tcW w:w="624" w:type="dxa"/>
            <w:tcBorders>
              <w:top w:val="nil"/>
              <w:left w:val="nil"/>
              <w:bottom w:val="single" w:sz="4" w:space="0" w:color="auto"/>
              <w:right w:val="single" w:sz="4" w:space="0" w:color="auto"/>
            </w:tcBorders>
            <w:shd w:val="clear" w:color="auto" w:fill="auto"/>
            <w:noWrap/>
            <w:vAlign w:val="bottom"/>
            <w:hideMark/>
          </w:tcPr>
          <w:p w14:paraId="0896BC98" w14:textId="77777777" w:rsidR="00EB7F95" w:rsidRPr="00C22C49" w:rsidRDefault="00EB7F95" w:rsidP="00EB7F95">
            <w:pPr>
              <w:pStyle w:val="Table"/>
              <w:rPr>
                <w:sz w:val="18"/>
                <w:szCs w:val="20"/>
                <w:lang w:val="uk-UA"/>
              </w:rPr>
            </w:pPr>
            <w:r w:rsidRPr="00C22C49">
              <w:rPr>
                <w:sz w:val="18"/>
                <w:szCs w:val="20"/>
                <w:lang w:val="uk-UA"/>
              </w:rPr>
              <w:t>8,0</w:t>
            </w:r>
          </w:p>
        </w:tc>
        <w:tc>
          <w:tcPr>
            <w:tcW w:w="624" w:type="dxa"/>
            <w:tcBorders>
              <w:top w:val="nil"/>
              <w:left w:val="nil"/>
              <w:bottom w:val="single" w:sz="4" w:space="0" w:color="auto"/>
              <w:right w:val="single" w:sz="4" w:space="0" w:color="auto"/>
            </w:tcBorders>
            <w:shd w:val="clear" w:color="auto" w:fill="auto"/>
            <w:noWrap/>
            <w:vAlign w:val="bottom"/>
            <w:hideMark/>
          </w:tcPr>
          <w:p w14:paraId="0896BC99" w14:textId="77777777" w:rsidR="00EB7F95" w:rsidRPr="00C22C49" w:rsidRDefault="00EB7F95" w:rsidP="00EB7F95">
            <w:pPr>
              <w:pStyle w:val="Table"/>
              <w:rPr>
                <w:sz w:val="18"/>
                <w:szCs w:val="20"/>
                <w:lang w:val="uk-UA"/>
              </w:rPr>
            </w:pPr>
            <w:r w:rsidRPr="00C22C49">
              <w:rPr>
                <w:sz w:val="18"/>
                <w:szCs w:val="20"/>
                <w:lang w:val="uk-UA"/>
              </w:rPr>
              <w:t>8,1</w:t>
            </w:r>
          </w:p>
        </w:tc>
        <w:tc>
          <w:tcPr>
            <w:tcW w:w="624" w:type="dxa"/>
            <w:tcBorders>
              <w:top w:val="nil"/>
              <w:left w:val="nil"/>
              <w:bottom w:val="single" w:sz="4" w:space="0" w:color="auto"/>
              <w:right w:val="single" w:sz="4" w:space="0" w:color="auto"/>
            </w:tcBorders>
            <w:shd w:val="clear" w:color="auto" w:fill="auto"/>
            <w:noWrap/>
            <w:vAlign w:val="bottom"/>
            <w:hideMark/>
          </w:tcPr>
          <w:p w14:paraId="0896BC9A" w14:textId="77777777" w:rsidR="00EB7F95" w:rsidRPr="00C22C49" w:rsidRDefault="00EB7F95" w:rsidP="00EB7F95">
            <w:pPr>
              <w:pStyle w:val="Table"/>
              <w:rPr>
                <w:sz w:val="18"/>
                <w:szCs w:val="20"/>
                <w:lang w:val="uk-UA"/>
              </w:rPr>
            </w:pPr>
            <w:r w:rsidRPr="00C22C49">
              <w:rPr>
                <w:sz w:val="18"/>
                <w:szCs w:val="20"/>
                <w:lang w:val="uk-UA"/>
              </w:rPr>
              <w:t>8,3</w:t>
            </w:r>
          </w:p>
        </w:tc>
        <w:tc>
          <w:tcPr>
            <w:tcW w:w="624" w:type="dxa"/>
            <w:tcBorders>
              <w:top w:val="nil"/>
              <w:left w:val="nil"/>
              <w:bottom w:val="single" w:sz="4" w:space="0" w:color="auto"/>
              <w:right w:val="single" w:sz="4" w:space="0" w:color="auto"/>
            </w:tcBorders>
            <w:shd w:val="clear" w:color="auto" w:fill="auto"/>
            <w:noWrap/>
            <w:vAlign w:val="bottom"/>
            <w:hideMark/>
          </w:tcPr>
          <w:p w14:paraId="0896BC9B" w14:textId="77777777" w:rsidR="00EB7F95" w:rsidRPr="00C22C49" w:rsidRDefault="00EB7F95" w:rsidP="00EB7F95">
            <w:pPr>
              <w:pStyle w:val="Table"/>
              <w:rPr>
                <w:sz w:val="18"/>
                <w:szCs w:val="20"/>
                <w:lang w:val="uk-UA"/>
              </w:rPr>
            </w:pPr>
            <w:r w:rsidRPr="00C22C49">
              <w:rPr>
                <w:sz w:val="18"/>
                <w:szCs w:val="20"/>
                <w:lang w:val="uk-UA"/>
              </w:rPr>
              <w:t>8,4</w:t>
            </w:r>
          </w:p>
        </w:tc>
        <w:tc>
          <w:tcPr>
            <w:tcW w:w="624" w:type="dxa"/>
            <w:tcBorders>
              <w:top w:val="nil"/>
              <w:left w:val="nil"/>
              <w:bottom w:val="single" w:sz="4" w:space="0" w:color="auto"/>
              <w:right w:val="single" w:sz="4" w:space="0" w:color="auto"/>
            </w:tcBorders>
            <w:shd w:val="clear" w:color="auto" w:fill="auto"/>
            <w:noWrap/>
            <w:vAlign w:val="bottom"/>
            <w:hideMark/>
          </w:tcPr>
          <w:p w14:paraId="0896BC9C" w14:textId="77777777" w:rsidR="00EB7F95" w:rsidRPr="00C22C49" w:rsidRDefault="00EB7F95" w:rsidP="00EB7F95">
            <w:pPr>
              <w:pStyle w:val="Table"/>
              <w:rPr>
                <w:sz w:val="18"/>
                <w:szCs w:val="20"/>
                <w:lang w:val="uk-UA"/>
              </w:rPr>
            </w:pPr>
            <w:r w:rsidRPr="00C22C49">
              <w:rPr>
                <w:sz w:val="18"/>
                <w:szCs w:val="20"/>
                <w:lang w:val="uk-UA"/>
              </w:rPr>
              <w:t>8,6</w:t>
            </w:r>
          </w:p>
        </w:tc>
        <w:tc>
          <w:tcPr>
            <w:tcW w:w="624" w:type="dxa"/>
            <w:tcBorders>
              <w:top w:val="nil"/>
              <w:left w:val="nil"/>
              <w:bottom w:val="single" w:sz="4" w:space="0" w:color="auto"/>
              <w:right w:val="single" w:sz="4" w:space="0" w:color="auto"/>
            </w:tcBorders>
            <w:shd w:val="clear" w:color="auto" w:fill="auto"/>
            <w:noWrap/>
            <w:vAlign w:val="bottom"/>
            <w:hideMark/>
          </w:tcPr>
          <w:p w14:paraId="0896BC9D" w14:textId="77777777" w:rsidR="00EB7F95" w:rsidRPr="00C22C49" w:rsidRDefault="00EB7F95" w:rsidP="00EB7F95">
            <w:pPr>
              <w:pStyle w:val="Table"/>
              <w:rPr>
                <w:sz w:val="18"/>
                <w:szCs w:val="20"/>
                <w:lang w:val="uk-UA"/>
              </w:rPr>
            </w:pPr>
            <w:r w:rsidRPr="00C22C49">
              <w:rPr>
                <w:sz w:val="18"/>
                <w:szCs w:val="20"/>
                <w:lang w:val="uk-UA"/>
              </w:rPr>
              <w:t>8,7</w:t>
            </w:r>
          </w:p>
        </w:tc>
        <w:tc>
          <w:tcPr>
            <w:tcW w:w="624" w:type="dxa"/>
            <w:tcBorders>
              <w:top w:val="nil"/>
              <w:left w:val="nil"/>
              <w:bottom w:val="single" w:sz="4" w:space="0" w:color="auto"/>
              <w:right w:val="single" w:sz="4" w:space="0" w:color="auto"/>
            </w:tcBorders>
            <w:shd w:val="clear" w:color="auto" w:fill="auto"/>
            <w:noWrap/>
            <w:vAlign w:val="bottom"/>
            <w:hideMark/>
          </w:tcPr>
          <w:p w14:paraId="0896BC9E" w14:textId="77777777" w:rsidR="00EB7F95" w:rsidRPr="00C22C49" w:rsidRDefault="00EB7F95" w:rsidP="00EB7F95">
            <w:pPr>
              <w:pStyle w:val="Table"/>
              <w:rPr>
                <w:sz w:val="18"/>
                <w:szCs w:val="20"/>
                <w:lang w:val="uk-UA"/>
              </w:rPr>
            </w:pPr>
            <w:r w:rsidRPr="00C22C49">
              <w:rPr>
                <w:sz w:val="18"/>
                <w:szCs w:val="20"/>
                <w:lang w:val="uk-UA"/>
              </w:rPr>
              <w:t>8,9</w:t>
            </w:r>
          </w:p>
        </w:tc>
        <w:tc>
          <w:tcPr>
            <w:tcW w:w="624" w:type="dxa"/>
            <w:tcBorders>
              <w:top w:val="nil"/>
              <w:left w:val="nil"/>
              <w:bottom w:val="single" w:sz="4" w:space="0" w:color="auto"/>
              <w:right w:val="single" w:sz="4" w:space="0" w:color="auto"/>
            </w:tcBorders>
            <w:shd w:val="clear" w:color="auto" w:fill="auto"/>
            <w:noWrap/>
            <w:vAlign w:val="bottom"/>
            <w:hideMark/>
          </w:tcPr>
          <w:p w14:paraId="0896BC9F" w14:textId="77777777" w:rsidR="00EB7F95" w:rsidRPr="00C22C49" w:rsidRDefault="00EB7F95" w:rsidP="00EB7F95">
            <w:pPr>
              <w:pStyle w:val="Table"/>
              <w:rPr>
                <w:sz w:val="18"/>
                <w:szCs w:val="20"/>
                <w:lang w:val="uk-UA"/>
              </w:rPr>
            </w:pPr>
            <w:r w:rsidRPr="00C22C49">
              <w:rPr>
                <w:sz w:val="18"/>
                <w:szCs w:val="20"/>
                <w:lang w:val="uk-UA"/>
              </w:rPr>
              <w:t>9,0</w:t>
            </w:r>
          </w:p>
        </w:tc>
        <w:tc>
          <w:tcPr>
            <w:tcW w:w="624" w:type="dxa"/>
            <w:tcBorders>
              <w:top w:val="nil"/>
              <w:left w:val="nil"/>
              <w:bottom w:val="single" w:sz="4" w:space="0" w:color="auto"/>
              <w:right w:val="single" w:sz="4" w:space="0" w:color="auto"/>
            </w:tcBorders>
            <w:shd w:val="clear" w:color="auto" w:fill="auto"/>
            <w:noWrap/>
            <w:vAlign w:val="bottom"/>
            <w:hideMark/>
          </w:tcPr>
          <w:p w14:paraId="0896BCA0" w14:textId="77777777" w:rsidR="00EB7F95" w:rsidRPr="00C22C49" w:rsidRDefault="00EB7F95" w:rsidP="00EB7F95">
            <w:pPr>
              <w:pStyle w:val="Table"/>
              <w:rPr>
                <w:sz w:val="18"/>
                <w:szCs w:val="20"/>
                <w:lang w:val="uk-UA"/>
              </w:rPr>
            </w:pPr>
            <w:r w:rsidRPr="00C22C49">
              <w:rPr>
                <w:sz w:val="18"/>
                <w:szCs w:val="20"/>
                <w:lang w:val="uk-UA"/>
              </w:rPr>
              <w:t>9,2</w:t>
            </w:r>
          </w:p>
        </w:tc>
        <w:tc>
          <w:tcPr>
            <w:tcW w:w="624" w:type="dxa"/>
            <w:tcBorders>
              <w:top w:val="nil"/>
              <w:left w:val="nil"/>
              <w:bottom w:val="single" w:sz="4" w:space="0" w:color="auto"/>
              <w:right w:val="single" w:sz="4" w:space="0" w:color="auto"/>
            </w:tcBorders>
            <w:shd w:val="clear" w:color="auto" w:fill="auto"/>
            <w:noWrap/>
            <w:vAlign w:val="bottom"/>
            <w:hideMark/>
          </w:tcPr>
          <w:p w14:paraId="0896BCA1" w14:textId="77777777" w:rsidR="00EB7F95" w:rsidRPr="00C22C49" w:rsidRDefault="00EB7F95" w:rsidP="00EB7F95">
            <w:pPr>
              <w:pStyle w:val="Table"/>
              <w:rPr>
                <w:sz w:val="18"/>
                <w:szCs w:val="20"/>
                <w:lang w:val="uk-UA"/>
              </w:rPr>
            </w:pPr>
            <w:r w:rsidRPr="00C22C49">
              <w:rPr>
                <w:sz w:val="18"/>
                <w:szCs w:val="20"/>
                <w:lang w:val="uk-UA"/>
              </w:rPr>
              <w:t>9,3</w:t>
            </w:r>
          </w:p>
        </w:tc>
      </w:tr>
      <w:tr w:rsidR="00274CD9" w:rsidRPr="00C22C49" w14:paraId="0896BCB1" w14:textId="77777777" w:rsidTr="00274CD9">
        <w:trPr>
          <w:trHeight w:val="312"/>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0896BCA3" w14:textId="77777777" w:rsidR="00EB7F95" w:rsidRPr="00C22C49" w:rsidRDefault="00EB7F95" w:rsidP="00EB7F95">
            <w:pPr>
              <w:pStyle w:val="Table"/>
              <w:rPr>
                <w:sz w:val="18"/>
                <w:szCs w:val="20"/>
                <w:lang w:val="uk-UA"/>
              </w:rPr>
            </w:pPr>
            <w:r w:rsidRPr="00C22C49">
              <w:rPr>
                <w:sz w:val="18"/>
                <w:szCs w:val="20"/>
                <w:lang w:val="uk-UA"/>
              </w:rPr>
              <w:t>Динаміка утворення, в % до 2022 р.</w:t>
            </w:r>
          </w:p>
        </w:tc>
        <w:tc>
          <w:tcPr>
            <w:tcW w:w="624" w:type="dxa"/>
            <w:tcBorders>
              <w:top w:val="nil"/>
              <w:left w:val="nil"/>
              <w:bottom w:val="single" w:sz="4" w:space="0" w:color="auto"/>
              <w:right w:val="single" w:sz="4" w:space="0" w:color="auto"/>
            </w:tcBorders>
            <w:shd w:val="clear" w:color="auto" w:fill="auto"/>
            <w:noWrap/>
            <w:vAlign w:val="bottom"/>
            <w:hideMark/>
          </w:tcPr>
          <w:p w14:paraId="0896BCA4" w14:textId="77777777" w:rsidR="00EB7F95" w:rsidRPr="00C22C49" w:rsidRDefault="00EB7F95" w:rsidP="00EB7F95">
            <w:pPr>
              <w:pStyle w:val="Table"/>
              <w:rPr>
                <w:sz w:val="18"/>
                <w:szCs w:val="20"/>
                <w:lang w:val="uk-UA"/>
              </w:rPr>
            </w:pPr>
            <w:r w:rsidRPr="00C22C49">
              <w:rPr>
                <w:sz w:val="18"/>
                <w:szCs w:val="20"/>
                <w:lang w:val="uk-UA"/>
              </w:rPr>
              <w:t>100,0</w:t>
            </w:r>
          </w:p>
        </w:tc>
        <w:tc>
          <w:tcPr>
            <w:tcW w:w="624" w:type="dxa"/>
            <w:tcBorders>
              <w:top w:val="nil"/>
              <w:left w:val="nil"/>
              <w:bottom w:val="single" w:sz="4" w:space="0" w:color="auto"/>
              <w:right w:val="single" w:sz="4" w:space="0" w:color="auto"/>
            </w:tcBorders>
            <w:shd w:val="clear" w:color="auto" w:fill="auto"/>
            <w:noWrap/>
            <w:vAlign w:val="bottom"/>
            <w:hideMark/>
          </w:tcPr>
          <w:p w14:paraId="0896BCA5" w14:textId="77777777" w:rsidR="00EB7F95" w:rsidRPr="00C22C49" w:rsidRDefault="00EB7F95" w:rsidP="00EB7F95">
            <w:pPr>
              <w:pStyle w:val="Table"/>
              <w:rPr>
                <w:sz w:val="18"/>
                <w:szCs w:val="20"/>
                <w:lang w:val="uk-UA"/>
              </w:rPr>
            </w:pPr>
            <w:r w:rsidRPr="00C22C49">
              <w:rPr>
                <w:sz w:val="18"/>
                <w:szCs w:val="20"/>
                <w:lang w:val="uk-UA"/>
              </w:rPr>
              <w:t>102,0</w:t>
            </w:r>
          </w:p>
        </w:tc>
        <w:tc>
          <w:tcPr>
            <w:tcW w:w="624" w:type="dxa"/>
            <w:tcBorders>
              <w:top w:val="nil"/>
              <w:left w:val="nil"/>
              <w:bottom w:val="single" w:sz="4" w:space="0" w:color="auto"/>
              <w:right w:val="single" w:sz="4" w:space="0" w:color="auto"/>
            </w:tcBorders>
            <w:shd w:val="clear" w:color="auto" w:fill="auto"/>
            <w:noWrap/>
            <w:vAlign w:val="bottom"/>
            <w:hideMark/>
          </w:tcPr>
          <w:p w14:paraId="0896BCA6" w14:textId="77777777" w:rsidR="00EB7F95" w:rsidRPr="00C22C49" w:rsidRDefault="00EB7F95" w:rsidP="00EB7F95">
            <w:pPr>
              <w:pStyle w:val="Table"/>
              <w:rPr>
                <w:sz w:val="18"/>
                <w:szCs w:val="20"/>
                <w:lang w:val="uk-UA"/>
              </w:rPr>
            </w:pPr>
            <w:r w:rsidRPr="00C22C49">
              <w:rPr>
                <w:sz w:val="18"/>
                <w:szCs w:val="20"/>
                <w:lang w:val="uk-UA"/>
              </w:rPr>
              <w:t>104,0</w:t>
            </w:r>
          </w:p>
        </w:tc>
        <w:tc>
          <w:tcPr>
            <w:tcW w:w="624" w:type="dxa"/>
            <w:tcBorders>
              <w:top w:val="nil"/>
              <w:left w:val="nil"/>
              <w:bottom w:val="single" w:sz="4" w:space="0" w:color="auto"/>
              <w:right w:val="single" w:sz="4" w:space="0" w:color="auto"/>
            </w:tcBorders>
            <w:shd w:val="clear" w:color="auto" w:fill="auto"/>
            <w:noWrap/>
            <w:vAlign w:val="bottom"/>
            <w:hideMark/>
          </w:tcPr>
          <w:p w14:paraId="0896BCA7" w14:textId="77777777" w:rsidR="00EB7F95" w:rsidRPr="00C22C49" w:rsidRDefault="00EB7F95" w:rsidP="00EB7F95">
            <w:pPr>
              <w:pStyle w:val="Table"/>
              <w:rPr>
                <w:sz w:val="18"/>
                <w:szCs w:val="20"/>
                <w:lang w:val="uk-UA"/>
              </w:rPr>
            </w:pPr>
            <w:r w:rsidRPr="00C22C49">
              <w:rPr>
                <w:sz w:val="18"/>
                <w:szCs w:val="20"/>
                <w:lang w:val="uk-UA"/>
              </w:rPr>
              <w:t>106,0</w:t>
            </w:r>
          </w:p>
        </w:tc>
        <w:tc>
          <w:tcPr>
            <w:tcW w:w="624" w:type="dxa"/>
            <w:tcBorders>
              <w:top w:val="nil"/>
              <w:left w:val="nil"/>
              <w:bottom w:val="single" w:sz="4" w:space="0" w:color="auto"/>
              <w:right w:val="single" w:sz="4" w:space="0" w:color="auto"/>
            </w:tcBorders>
            <w:shd w:val="clear" w:color="auto" w:fill="auto"/>
            <w:noWrap/>
            <w:vAlign w:val="bottom"/>
            <w:hideMark/>
          </w:tcPr>
          <w:p w14:paraId="0896BCA8" w14:textId="77777777" w:rsidR="00EB7F95" w:rsidRPr="00C22C49" w:rsidRDefault="00EB7F95" w:rsidP="00EB7F95">
            <w:pPr>
              <w:pStyle w:val="Table"/>
              <w:rPr>
                <w:sz w:val="18"/>
                <w:szCs w:val="20"/>
                <w:lang w:val="uk-UA"/>
              </w:rPr>
            </w:pPr>
            <w:r w:rsidRPr="00C22C49">
              <w:rPr>
                <w:sz w:val="18"/>
                <w:szCs w:val="20"/>
                <w:lang w:val="uk-UA"/>
              </w:rPr>
              <w:t>108,0</w:t>
            </w:r>
          </w:p>
        </w:tc>
        <w:tc>
          <w:tcPr>
            <w:tcW w:w="624" w:type="dxa"/>
            <w:tcBorders>
              <w:top w:val="nil"/>
              <w:left w:val="nil"/>
              <w:bottom w:val="single" w:sz="4" w:space="0" w:color="auto"/>
              <w:right w:val="single" w:sz="4" w:space="0" w:color="auto"/>
            </w:tcBorders>
            <w:shd w:val="clear" w:color="auto" w:fill="auto"/>
            <w:noWrap/>
            <w:vAlign w:val="bottom"/>
            <w:hideMark/>
          </w:tcPr>
          <w:p w14:paraId="0896BCA9" w14:textId="77777777" w:rsidR="00EB7F95" w:rsidRPr="00C22C49" w:rsidRDefault="00EB7F95" w:rsidP="00EB7F95">
            <w:pPr>
              <w:pStyle w:val="Table"/>
              <w:rPr>
                <w:sz w:val="18"/>
                <w:szCs w:val="20"/>
                <w:lang w:val="uk-UA"/>
              </w:rPr>
            </w:pPr>
            <w:r w:rsidRPr="00C22C49">
              <w:rPr>
                <w:sz w:val="18"/>
                <w:szCs w:val="20"/>
                <w:lang w:val="uk-UA"/>
              </w:rPr>
              <w:t>110,0</w:t>
            </w:r>
          </w:p>
        </w:tc>
        <w:tc>
          <w:tcPr>
            <w:tcW w:w="624" w:type="dxa"/>
            <w:tcBorders>
              <w:top w:val="nil"/>
              <w:left w:val="nil"/>
              <w:bottom w:val="single" w:sz="4" w:space="0" w:color="auto"/>
              <w:right w:val="single" w:sz="4" w:space="0" w:color="auto"/>
            </w:tcBorders>
            <w:shd w:val="clear" w:color="auto" w:fill="auto"/>
            <w:noWrap/>
            <w:vAlign w:val="bottom"/>
            <w:hideMark/>
          </w:tcPr>
          <w:p w14:paraId="0896BCAA" w14:textId="77777777" w:rsidR="00EB7F95" w:rsidRPr="00C22C49" w:rsidRDefault="00EB7F95" w:rsidP="00EB7F95">
            <w:pPr>
              <w:pStyle w:val="Table"/>
              <w:rPr>
                <w:sz w:val="18"/>
                <w:szCs w:val="20"/>
                <w:lang w:val="uk-UA"/>
              </w:rPr>
            </w:pPr>
            <w:r w:rsidRPr="00C22C49">
              <w:rPr>
                <w:sz w:val="18"/>
                <w:szCs w:val="20"/>
                <w:lang w:val="uk-UA"/>
              </w:rPr>
              <w:t>112,0</w:t>
            </w:r>
          </w:p>
        </w:tc>
        <w:tc>
          <w:tcPr>
            <w:tcW w:w="624" w:type="dxa"/>
            <w:tcBorders>
              <w:top w:val="nil"/>
              <w:left w:val="nil"/>
              <w:bottom w:val="single" w:sz="4" w:space="0" w:color="auto"/>
              <w:right w:val="single" w:sz="4" w:space="0" w:color="auto"/>
            </w:tcBorders>
            <w:shd w:val="clear" w:color="auto" w:fill="auto"/>
            <w:noWrap/>
            <w:vAlign w:val="bottom"/>
            <w:hideMark/>
          </w:tcPr>
          <w:p w14:paraId="0896BCAB" w14:textId="77777777" w:rsidR="00EB7F95" w:rsidRPr="00C22C49" w:rsidRDefault="00EB7F95" w:rsidP="00EB7F95">
            <w:pPr>
              <w:pStyle w:val="Table"/>
              <w:rPr>
                <w:sz w:val="18"/>
                <w:szCs w:val="20"/>
                <w:lang w:val="uk-UA"/>
              </w:rPr>
            </w:pPr>
            <w:r w:rsidRPr="00C22C49">
              <w:rPr>
                <w:sz w:val="18"/>
                <w:szCs w:val="20"/>
                <w:lang w:val="uk-UA"/>
              </w:rPr>
              <w:t>114,0</w:t>
            </w:r>
          </w:p>
        </w:tc>
        <w:tc>
          <w:tcPr>
            <w:tcW w:w="624" w:type="dxa"/>
            <w:tcBorders>
              <w:top w:val="nil"/>
              <w:left w:val="nil"/>
              <w:bottom w:val="single" w:sz="4" w:space="0" w:color="auto"/>
              <w:right w:val="single" w:sz="4" w:space="0" w:color="auto"/>
            </w:tcBorders>
            <w:shd w:val="clear" w:color="auto" w:fill="auto"/>
            <w:noWrap/>
            <w:vAlign w:val="bottom"/>
            <w:hideMark/>
          </w:tcPr>
          <w:p w14:paraId="0896BCAC" w14:textId="77777777" w:rsidR="00EB7F95" w:rsidRPr="00C22C49" w:rsidRDefault="00EB7F95" w:rsidP="00EB7F95">
            <w:pPr>
              <w:pStyle w:val="Table"/>
              <w:rPr>
                <w:sz w:val="18"/>
                <w:szCs w:val="20"/>
                <w:lang w:val="uk-UA"/>
              </w:rPr>
            </w:pPr>
            <w:r w:rsidRPr="00C22C49">
              <w:rPr>
                <w:sz w:val="18"/>
                <w:szCs w:val="20"/>
                <w:lang w:val="uk-UA"/>
              </w:rPr>
              <w:t>116,0</w:t>
            </w:r>
          </w:p>
        </w:tc>
        <w:tc>
          <w:tcPr>
            <w:tcW w:w="624" w:type="dxa"/>
            <w:tcBorders>
              <w:top w:val="nil"/>
              <w:left w:val="nil"/>
              <w:bottom w:val="single" w:sz="4" w:space="0" w:color="auto"/>
              <w:right w:val="single" w:sz="4" w:space="0" w:color="auto"/>
            </w:tcBorders>
            <w:shd w:val="clear" w:color="auto" w:fill="auto"/>
            <w:noWrap/>
            <w:vAlign w:val="bottom"/>
            <w:hideMark/>
          </w:tcPr>
          <w:p w14:paraId="0896BCAD" w14:textId="77777777" w:rsidR="00EB7F95" w:rsidRPr="00C22C49" w:rsidRDefault="00EB7F95" w:rsidP="00EB7F95">
            <w:pPr>
              <w:pStyle w:val="Table"/>
              <w:rPr>
                <w:sz w:val="18"/>
                <w:szCs w:val="20"/>
                <w:lang w:val="uk-UA"/>
              </w:rPr>
            </w:pPr>
            <w:r w:rsidRPr="00C22C49">
              <w:rPr>
                <w:sz w:val="18"/>
                <w:szCs w:val="20"/>
                <w:lang w:val="uk-UA"/>
              </w:rPr>
              <w:t>118,0</w:t>
            </w:r>
          </w:p>
        </w:tc>
        <w:tc>
          <w:tcPr>
            <w:tcW w:w="624" w:type="dxa"/>
            <w:tcBorders>
              <w:top w:val="nil"/>
              <w:left w:val="nil"/>
              <w:bottom w:val="single" w:sz="4" w:space="0" w:color="auto"/>
              <w:right w:val="single" w:sz="4" w:space="0" w:color="auto"/>
            </w:tcBorders>
            <w:shd w:val="clear" w:color="auto" w:fill="auto"/>
            <w:noWrap/>
            <w:vAlign w:val="bottom"/>
            <w:hideMark/>
          </w:tcPr>
          <w:p w14:paraId="0896BCAE" w14:textId="77777777" w:rsidR="00EB7F95" w:rsidRPr="00C22C49" w:rsidRDefault="00EB7F95" w:rsidP="00EB7F95">
            <w:pPr>
              <w:pStyle w:val="Table"/>
              <w:rPr>
                <w:sz w:val="18"/>
                <w:szCs w:val="20"/>
                <w:lang w:val="uk-UA"/>
              </w:rPr>
            </w:pPr>
            <w:r w:rsidRPr="00C22C49">
              <w:rPr>
                <w:sz w:val="18"/>
                <w:szCs w:val="20"/>
                <w:lang w:val="uk-UA"/>
              </w:rPr>
              <w:t>120,0</w:t>
            </w:r>
          </w:p>
        </w:tc>
        <w:tc>
          <w:tcPr>
            <w:tcW w:w="624" w:type="dxa"/>
            <w:tcBorders>
              <w:top w:val="nil"/>
              <w:left w:val="nil"/>
              <w:bottom w:val="single" w:sz="4" w:space="0" w:color="auto"/>
              <w:right w:val="single" w:sz="4" w:space="0" w:color="auto"/>
            </w:tcBorders>
            <w:shd w:val="clear" w:color="auto" w:fill="auto"/>
            <w:noWrap/>
            <w:vAlign w:val="bottom"/>
            <w:hideMark/>
          </w:tcPr>
          <w:p w14:paraId="0896BCAF" w14:textId="77777777" w:rsidR="00EB7F95" w:rsidRPr="00C22C49" w:rsidRDefault="00EB7F95" w:rsidP="00EB7F95">
            <w:pPr>
              <w:pStyle w:val="Table"/>
              <w:rPr>
                <w:sz w:val="18"/>
                <w:szCs w:val="20"/>
                <w:lang w:val="uk-UA"/>
              </w:rPr>
            </w:pPr>
            <w:r w:rsidRPr="00C22C49">
              <w:rPr>
                <w:sz w:val="18"/>
                <w:szCs w:val="20"/>
                <w:lang w:val="uk-UA"/>
              </w:rPr>
              <w:t>122,0</w:t>
            </w:r>
          </w:p>
        </w:tc>
        <w:tc>
          <w:tcPr>
            <w:tcW w:w="624" w:type="dxa"/>
            <w:tcBorders>
              <w:top w:val="nil"/>
              <w:left w:val="nil"/>
              <w:bottom w:val="single" w:sz="4" w:space="0" w:color="auto"/>
              <w:right w:val="single" w:sz="4" w:space="0" w:color="auto"/>
            </w:tcBorders>
            <w:shd w:val="clear" w:color="auto" w:fill="auto"/>
            <w:noWrap/>
            <w:vAlign w:val="bottom"/>
            <w:hideMark/>
          </w:tcPr>
          <w:p w14:paraId="0896BCB0" w14:textId="77777777" w:rsidR="00EB7F95" w:rsidRPr="00C22C49" w:rsidRDefault="00EB7F95" w:rsidP="00EB7F95">
            <w:pPr>
              <w:pStyle w:val="Table"/>
              <w:rPr>
                <w:sz w:val="18"/>
                <w:szCs w:val="20"/>
                <w:lang w:val="uk-UA"/>
              </w:rPr>
            </w:pPr>
            <w:r w:rsidRPr="00C22C49">
              <w:rPr>
                <w:sz w:val="18"/>
                <w:szCs w:val="20"/>
                <w:lang w:val="uk-UA"/>
              </w:rPr>
              <w:t>124,0</w:t>
            </w:r>
          </w:p>
        </w:tc>
      </w:tr>
    </w:tbl>
    <w:p w14:paraId="0896BCB4" w14:textId="77777777" w:rsidR="00761C0D" w:rsidRPr="00C22C49" w:rsidRDefault="00761C0D" w:rsidP="005E4C42"/>
    <w:p w14:paraId="0896BCB5" w14:textId="77777777" w:rsidR="005E4C42" w:rsidRPr="00C22C49" w:rsidRDefault="00621A46" w:rsidP="00621A46">
      <w:pPr>
        <w:pStyle w:val="Heading5BOLDnumbered"/>
        <w:numPr>
          <w:ilvl w:val="0"/>
          <w:numId w:val="0"/>
        </w:numPr>
        <w:ind w:left="1287"/>
        <w:rPr>
          <w:rStyle w:val="affe"/>
          <w:iCs/>
          <w:lang w:val="uk-UA"/>
        </w:rPr>
      </w:pPr>
      <w:r w:rsidRPr="00C22C49">
        <w:rPr>
          <w:rStyle w:val="affe"/>
          <w:lang w:val="uk-UA"/>
        </w:rPr>
        <w:t>2.1.7.</w:t>
      </w:r>
      <w:r w:rsidRPr="00C22C49">
        <w:rPr>
          <w:rStyle w:val="affe"/>
          <w:iCs/>
          <w:lang w:val="uk-UA"/>
        </w:rPr>
        <w:t>4</w:t>
      </w:r>
      <w:r w:rsidRPr="00C22C49">
        <w:rPr>
          <w:rStyle w:val="affe"/>
          <w:lang w:val="uk-UA"/>
        </w:rPr>
        <w:t>.</w:t>
      </w:r>
      <w:r w:rsidRPr="00C22C49">
        <w:rPr>
          <w:rStyle w:val="affe"/>
          <w:iCs/>
          <w:lang w:val="uk-UA"/>
        </w:rPr>
        <w:t xml:space="preserve"> </w:t>
      </w:r>
      <w:r w:rsidR="005E4C42" w:rsidRPr="00C22C49">
        <w:rPr>
          <w:rStyle w:val="affe"/>
          <w:lang w:val="uk-UA"/>
        </w:rPr>
        <w:t>Відходи транспортних засобів, знятих з експлуатації</w:t>
      </w:r>
    </w:p>
    <w:p w14:paraId="0896BCB6" w14:textId="77777777" w:rsidR="00832873" w:rsidRPr="00C22C49" w:rsidRDefault="00832873" w:rsidP="005E4C42">
      <w:pPr>
        <w:rPr>
          <w:rStyle w:val="affe"/>
          <w:b/>
          <w:bCs/>
        </w:rPr>
      </w:pPr>
    </w:p>
    <w:p w14:paraId="0896BCB7" w14:textId="144EF5B8" w:rsidR="002A3A35" w:rsidRPr="00C22C49" w:rsidRDefault="002A3A35" w:rsidP="002A3A35">
      <w:pPr>
        <w:pStyle w:val="ad"/>
        <w:rPr>
          <w:lang w:val="uk-UA"/>
        </w:rPr>
      </w:pPr>
      <w:bookmarkStart w:id="29" w:name="_Toc142262261"/>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14</w:t>
      </w:r>
      <w:r w:rsidR="005E0A06" w:rsidRPr="00C22C49">
        <w:rPr>
          <w:lang w:val="uk-UA"/>
        </w:rPr>
        <w:fldChar w:fldCharType="end"/>
      </w:r>
      <w:r w:rsidRPr="00C22C49">
        <w:rPr>
          <w:lang w:val="uk-UA"/>
        </w:rPr>
        <w:t xml:space="preserve">. </w:t>
      </w:r>
      <w:r w:rsidRPr="00C22C49">
        <w:rPr>
          <w:lang w:val="uk-UA" w:eastAsia="bg-BG"/>
        </w:rPr>
        <w:t>Прогноз утворення відходів знятих з експлуатації транспортних засобів (тис. т/рік)</w:t>
      </w:r>
      <w:bookmarkEnd w:id="29"/>
    </w:p>
    <w:tbl>
      <w:tblPr>
        <w:tblW w:w="5000" w:type="pct"/>
        <w:tblLook w:val="04A0" w:firstRow="1" w:lastRow="0" w:firstColumn="1" w:lastColumn="0" w:noHBand="0" w:noVBand="1"/>
      </w:tblPr>
      <w:tblGrid>
        <w:gridCol w:w="1113"/>
        <w:gridCol w:w="681"/>
        <w:gridCol w:w="681"/>
        <w:gridCol w:w="681"/>
        <w:gridCol w:w="681"/>
        <w:gridCol w:w="681"/>
        <w:gridCol w:w="681"/>
        <w:gridCol w:w="681"/>
        <w:gridCol w:w="681"/>
        <w:gridCol w:w="681"/>
        <w:gridCol w:w="681"/>
        <w:gridCol w:w="681"/>
        <w:gridCol w:w="681"/>
        <w:gridCol w:w="671"/>
      </w:tblGrid>
      <w:tr w:rsidR="002A3A35" w:rsidRPr="00C22C49" w14:paraId="0896BCC6" w14:textId="77777777" w:rsidTr="002A3A35">
        <w:trPr>
          <w:trHeight w:val="288"/>
        </w:trPr>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6BCB8"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9"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2023</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A"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2024</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B"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C"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2026</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D"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2027</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E"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2028</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BF"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2029</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C0"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2030</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C1"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2031</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C2"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2032</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C3"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2033</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C4"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2034</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896BCC5" w14:textId="77777777" w:rsidR="002A3A35" w:rsidRPr="00C22C49" w:rsidRDefault="002A3A35" w:rsidP="002A3A35">
            <w:pPr>
              <w:pStyle w:val="Table"/>
              <w:rPr>
                <w:rFonts w:eastAsia="Calibri"/>
                <w:b/>
                <w:bCs/>
                <w:sz w:val="20"/>
                <w:szCs w:val="22"/>
                <w:lang w:val="uk-UA" w:eastAsia="bg-BG"/>
              </w:rPr>
            </w:pPr>
            <w:r w:rsidRPr="00C22C49">
              <w:rPr>
                <w:rFonts w:eastAsia="Calibri"/>
                <w:b/>
                <w:bCs/>
                <w:sz w:val="20"/>
                <w:szCs w:val="22"/>
                <w:lang w:val="uk-UA" w:eastAsia="bg-BG"/>
              </w:rPr>
              <w:t>2035</w:t>
            </w:r>
          </w:p>
        </w:tc>
      </w:tr>
      <w:tr w:rsidR="008632C5" w:rsidRPr="00C22C49" w14:paraId="0896BCD5" w14:textId="77777777" w:rsidTr="002A3A35">
        <w:trPr>
          <w:trHeight w:val="288"/>
        </w:trPr>
        <w:tc>
          <w:tcPr>
            <w:tcW w:w="559" w:type="pct"/>
            <w:tcBorders>
              <w:top w:val="nil"/>
              <w:left w:val="single" w:sz="4" w:space="0" w:color="000000"/>
              <w:bottom w:val="single" w:sz="4" w:space="0" w:color="000000"/>
              <w:right w:val="single" w:sz="4" w:space="0" w:color="000000"/>
            </w:tcBorders>
            <w:shd w:val="clear" w:color="000000" w:fill="FFFFFF"/>
            <w:vAlign w:val="center"/>
            <w:hideMark/>
          </w:tcPr>
          <w:p w14:paraId="0896BCC7"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Утворено, тис.т</w:t>
            </w:r>
          </w:p>
        </w:tc>
        <w:tc>
          <w:tcPr>
            <w:tcW w:w="342" w:type="pct"/>
            <w:tcBorders>
              <w:top w:val="nil"/>
              <w:left w:val="single" w:sz="4" w:space="0" w:color="auto"/>
              <w:bottom w:val="single" w:sz="4" w:space="0" w:color="auto"/>
              <w:right w:val="single" w:sz="4" w:space="0" w:color="auto"/>
            </w:tcBorders>
            <w:shd w:val="clear" w:color="000000" w:fill="FFFFFF"/>
            <w:vAlign w:val="center"/>
            <w:hideMark/>
          </w:tcPr>
          <w:p w14:paraId="0896BCC8"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49,95</w:t>
            </w:r>
          </w:p>
        </w:tc>
        <w:tc>
          <w:tcPr>
            <w:tcW w:w="342" w:type="pct"/>
            <w:tcBorders>
              <w:top w:val="nil"/>
              <w:left w:val="nil"/>
              <w:bottom w:val="single" w:sz="4" w:space="0" w:color="auto"/>
              <w:right w:val="single" w:sz="4" w:space="0" w:color="auto"/>
            </w:tcBorders>
            <w:shd w:val="clear" w:color="000000" w:fill="FFFFFF"/>
            <w:vAlign w:val="center"/>
            <w:hideMark/>
          </w:tcPr>
          <w:p w14:paraId="0896BCC9"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51,20</w:t>
            </w:r>
          </w:p>
        </w:tc>
        <w:tc>
          <w:tcPr>
            <w:tcW w:w="342" w:type="pct"/>
            <w:tcBorders>
              <w:top w:val="nil"/>
              <w:left w:val="nil"/>
              <w:bottom w:val="single" w:sz="4" w:space="0" w:color="auto"/>
              <w:right w:val="single" w:sz="4" w:space="0" w:color="auto"/>
            </w:tcBorders>
            <w:shd w:val="clear" w:color="000000" w:fill="FFFFFF"/>
            <w:vAlign w:val="center"/>
            <w:hideMark/>
          </w:tcPr>
          <w:p w14:paraId="0896BCCA"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52,48</w:t>
            </w:r>
          </w:p>
        </w:tc>
        <w:tc>
          <w:tcPr>
            <w:tcW w:w="342" w:type="pct"/>
            <w:tcBorders>
              <w:top w:val="nil"/>
              <w:left w:val="nil"/>
              <w:bottom w:val="single" w:sz="4" w:space="0" w:color="auto"/>
              <w:right w:val="single" w:sz="4" w:space="0" w:color="auto"/>
            </w:tcBorders>
            <w:shd w:val="clear" w:color="000000" w:fill="FFFFFF"/>
            <w:vAlign w:val="center"/>
            <w:hideMark/>
          </w:tcPr>
          <w:p w14:paraId="0896BCCB"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53,79</w:t>
            </w:r>
          </w:p>
        </w:tc>
        <w:tc>
          <w:tcPr>
            <w:tcW w:w="342" w:type="pct"/>
            <w:tcBorders>
              <w:top w:val="nil"/>
              <w:left w:val="nil"/>
              <w:bottom w:val="single" w:sz="4" w:space="0" w:color="auto"/>
              <w:right w:val="single" w:sz="4" w:space="0" w:color="auto"/>
            </w:tcBorders>
            <w:shd w:val="clear" w:color="000000" w:fill="FFFFFF"/>
            <w:vAlign w:val="center"/>
            <w:hideMark/>
          </w:tcPr>
          <w:p w14:paraId="0896BCCC"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55,14</w:t>
            </w:r>
          </w:p>
        </w:tc>
        <w:tc>
          <w:tcPr>
            <w:tcW w:w="342" w:type="pct"/>
            <w:tcBorders>
              <w:top w:val="nil"/>
              <w:left w:val="nil"/>
              <w:bottom w:val="single" w:sz="4" w:space="0" w:color="auto"/>
              <w:right w:val="single" w:sz="4" w:space="0" w:color="auto"/>
            </w:tcBorders>
            <w:shd w:val="clear" w:color="000000" w:fill="FFFFFF"/>
            <w:vAlign w:val="center"/>
            <w:hideMark/>
          </w:tcPr>
          <w:p w14:paraId="0896BCCD"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56,52</w:t>
            </w:r>
          </w:p>
        </w:tc>
        <w:tc>
          <w:tcPr>
            <w:tcW w:w="342" w:type="pct"/>
            <w:tcBorders>
              <w:top w:val="nil"/>
              <w:left w:val="nil"/>
              <w:bottom w:val="single" w:sz="4" w:space="0" w:color="auto"/>
              <w:right w:val="single" w:sz="4" w:space="0" w:color="auto"/>
            </w:tcBorders>
            <w:shd w:val="clear" w:color="000000" w:fill="FFFFFF"/>
            <w:vAlign w:val="center"/>
            <w:hideMark/>
          </w:tcPr>
          <w:p w14:paraId="0896BCCE"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57,93</w:t>
            </w:r>
          </w:p>
        </w:tc>
        <w:tc>
          <w:tcPr>
            <w:tcW w:w="342" w:type="pct"/>
            <w:tcBorders>
              <w:top w:val="nil"/>
              <w:left w:val="nil"/>
              <w:bottom w:val="single" w:sz="4" w:space="0" w:color="auto"/>
              <w:right w:val="single" w:sz="4" w:space="0" w:color="auto"/>
            </w:tcBorders>
            <w:shd w:val="clear" w:color="000000" w:fill="FFFFFF"/>
            <w:vAlign w:val="center"/>
            <w:hideMark/>
          </w:tcPr>
          <w:p w14:paraId="0896BCCF"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59,38</w:t>
            </w:r>
          </w:p>
        </w:tc>
        <w:tc>
          <w:tcPr>
            <w:tcW w:w="342" w:type="pct"/>
            <w:tcBorders>
              <w:top w:val="nil"/>
              <w:left w:val="nil"/>
              <w:bottom w:val="single" w:sz="4" w:space="0" w:color="auto"/>
              <w:right w:val="single" w:sz="4" w:space="0" w:color="auto"/>
            </w:tcBorders>
            <w:shd w:val="clear" w:color="000000" w:fill="FFFFFF"/>
            <w:vAlign w:val="center"/>
            <w:hideMark/>
          </w:tcPr>
          <w:p w14:paraId="0896BCD0"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60,86</w:t>
            </w:r>
          </w:p>
        </w:tc>
        <w:tc>
          <w:tcPr>
            <w:tcW w:w="342" w:type="pct"/>
            <w:tcBorders>
              <w:top w:val="nil"/>
              <w:left w:val="nil"/>
              <w:bottom w:val="single" w:sz="4" w:space="0" w:color="auto"/>
              <w:right w:val="single" w:sz="4" w:space="0" w:color="auto"/>
            </w:tcBorders>
            <w:shd w:val="clear" w:color="000000" w:fill="FFFFFF"/>
            <w:vAlign w:val="center"/>
            <w:hideMark/>
          </w:tcPr>
          <w:p w14:paraId="0896BCD1"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62,38</w:t>
            </w:r>
          </w:p>
        </w:tc>
        <w:tc>
          <w:tcPr>
            <w:tcW w:w="342" w:type="pct"/>
            <w:tcBorders>
              <w:top w:val="nil"/>
              <w:left w:val="nil"/>
              <w:bottom w:val="single" w:sz="4" w:space="0" w:color="auto"/>
              <w:right w:val="single" w:sz="4" w:space="0" w:color="auto"/>
            </w:tcBorders>
            <w:shd w:val="clear" w:color="000000" w:fill="FFFFFF"/>
            <w:vAlign w:val="center"/>
            <w:hideMark/>
          </w:tcPr>
          <w:p w14:paraId="0896BCD2"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63,94</w:t>
            </w:r>
          </w:p>
        </w:tc>
        <w:tc>
          <w:tcPr>
            <w:tcW w:w="342" w:type="pct"/>
            <w:tcBorders>
              <w:top w:val="nil"/>
              <w:left w:val="nil"/>
              <w:bottom w:val="single" w:sz="4" w:space="0" w:color="auto"/>
              <w:right w:val="single" w:sz="4" w:space="0" w:color="auto"/>
            </w:tcBorders>
            <w:shd w:val="clear" w:color="000000" w:fill="FFFFFF"/>
            <w:vAlign w:val="center"/>
            <w:hideMark/>
          </w:tcPr>
          <w:p w14:paraId="0896BCD3"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65,54</w:t>
            </w:r>
          </w:p>
        </w:tc>
        <w:tc>
          <w:tcPr>
            <w:tcW w:w="342" w:type="pct"/>
            <w:tcBorders>
              <w:top w:val="nil"/>
              <w:left w:val="nil"/>
              <w:bottom w:val="single" w:sz="4" w:space="0" w:color="auto"/>
              <w:right w:val="single" w:sz="4" w:space="0" w:color="auto"/>
            </w:tcBorders>
            <w:shd w:val="clear" w:color="000000" w:fill="FFFFFF"/>
            <w:vAlign w:val="center"/>
            <w:hideMark/>
          </w:tcPr>
          <w:p w14:paraId="0896BCD4"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67,18</w:t>
            </w:r>
          </w:p>
        </w:tc>
      </w:tr>
      <w:tr w:rsidR="008632C5" w:rsidRPr="00C22C49" w14:paraId="0896BCE4" w14:textId="77777777" w:rsidTr="002A3A35">
        <w:trPr>
          <w:trHeight w:val="528"/>
        </w:trPr>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96BCD6"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Динаміка, в % до 2022 р.</w:t>
            </w:r>
          </w:p>
        </w:tc>
        <w:tc>
          <w:tcPr>
            <w:tcW w:w="342" w:type="pct"/>
            <w:tcBorders>
              <w:top w:val="nil"/>
              <w:left w:val="nil"/>
              <w:bottom w:val="single" w:sz="4" w:space="0" w:color="auto"/>
              <w:right w:val="single" w:sz="4" w:space="0" w:color="auto"/>
            </w:tcBorders>
            <w:shd w:val="clear" w:color="000000" w:fill="FFFFFF"/>
            <w:vAlign w:val="center"/>
            <w:hideMark/>
          </w:tcPr>
          <w:p w14:paraId="0896BCD7"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107,0</w:t>
            </w:r>
          </w:p>
        </w:tc>
        <w:tc>
          <w:tcPr>
            <w:tcW w:w="342" w:type="pct"/>
            <w:tcBorders>
              <w:top w:val="nil"/>
              <w:left w:val="nil"/>
              <w:bottom w:val="single" w:sz="4" w:space="0" w:color="auto"/>
              <w:right w:val="single" w:sz="4" w:space="0" w:color="auto"/>
            </w:tcBorders>
            <w:shd w:val="clear" w:color="000000" w:fill="FFFFFF"/>
            <w:vAlign w:val="center"/>
            <w:hideMark/>
          </w:tcPr>
          <w:p w14:paraId="0896BCD8"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109,7</w:t>
            </w:r>
          </w:p>
        </w:tc>
        <w:tc>
          <w:tcPr>
            <w:tcW w:w="342" w:type="pct"/>
            <w:tcBorders>
              <w:top w:val="nil"/>
              <w:left w:val="nil"/>
              <w:bottom w:val="single" w:sz="4" w:space="0" w:color="auto"/>
              <w:right w:val="single" w:sz="4" w:space="0" w:color="auto"/>
            </w:tcBorders>
            <w:shd w:val="clear" w:color="000000" w:fill="FFFFFF"/>
            <w:vAlign w:val="center"/>
            <w:hideMark/>
          </w:tcPr>
          <w:p w14:paraId="0896BCD9"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112,4</w:t>
            </w:r>
          </w:p>
        </w:tc>
        <w:tc>
          <w:tcPr>
            <w:tcW w:w="342" w:type="pct"/>
            <w:tcBorders>
              <w:top w:val="nil"/>
              <w:left w:val="nil"/>
              <w:bottom w:val="single" w:sz="4" w:space="0" w:color="auto"/>
              <w:right w:val="single" w:sz="4" w:space="0" w:color="auto"/>
            </w:tcBorders>
            <w:shd w:val="clear" w:color="000000" w:fill="FFFFFF"/>
            <w:vAlign w:val="center"/>
            <w:hideMark/>
          </w:tcPr>
          <w:p w14:paraId="0896BCDA"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115,2</w:t>
            </w:r>
          </w:p>
        </w:tc>
        <w:tc>
          <w:tcPr>
            <w:tcW w:w="342" w:type="pct"/>
            <w:tcBorders>
              <w:top w:val="nil"/>
              <w:left w:val="nil"/>
              <w:bottom w:val="single" w:sz="4" w:space="0" w:color="auto"/>
              <w:right w:val="single" w:sz="4" w:space="0" w:color="auto"/>
            </w:tcBorders>
            <w:shd w:val="clear" w:color="000000" w:fill="FFFFFF"/>
            <w:vAlign w:val="center"/>
            <w:hideMark/>
          </w:tcPr>
          <w:p w14:paraId="0896BCDB"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118,1</w:t>
            </w:r>
          </w:p>
        </w:tc>
        <w:tc>
          <w:tcPr>
            <w:tcW w:w="342" w:type="pct"/>
            <w:tcBorders>
              <w:top w:val="nil"/>
              <w:left w:val="nil"/>
              <w:bottom w:val="single" w:sz="4" w:space="0" w:color="auto"/>
              <w:right w:val="single" w:sz="4" w:space="0" w:color="auto"/>
            </w:tcBorders>
            <w:shd w:val="clear" w:color="000000" w:fill="FFFFFF"/>
            <w:vAlign w:val="center"/>
            <w:hideMark/>
          </w:tcPr>
          <w:p w14:paraId="0896BCDC"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121,1</w:t>
            </w:r>
          </w:p>
        </w:tc>
        <w:tc>
          <w:tcPr>
            <w:tcW w:w="342" w:type="pct"/>
            <w:tcBorders>
              <w:top w:val="nil"/>
              <w:left w:val="nil"/>
              <w:bottom w:val="single" w:sz="4" w:space="0" w:color="auto"/>
              <w:right w:val="single" w:sz="4" w:space="0" w:color="auto"/>
            </w:tcBorders>
            <w:shd w:val="clear" w:color="000000" w:fill="FFFFFF"/>
            <w:vAlign w:val="center"/>
            <w:hideMark/>
          </w:tcPr>
          <w:p w14:paraId="0896BCDD"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124,1</w:t>
            </w:r>
          </w:p>
        </w:tc>
        <w:tc>
          <w:tcPr>
            <w:tcW w:w="342" w:type="pct"/>
            <w:tcBorders>
              <w:top w:val="nil"/>
              <w:left w:val="nil"/>
              <w:bottom w:val="single" w:sz="4" w:space="0" w:color="auto"/>
              <w:right w:val="single" w:sz="4" w:space="0" w:color="auto"/>
            </w:tcBorders>
            <w:shd w:val="clear" w:color="000000" w:fill="FFFFFF"/>
            <w:vAlign w:val="center"/>
            <w:hideMark/>
          </w:tcPr>
          <w:p w14:paraId="0896BCDE"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127,2</w:t>
            </w:r>
          </w:p>
        </w:tc>
        <w:tc>
          <w:tcPr>
            <w:tcW w:w="342" w:type="pct"/>
            <w:tcBorders>
              <w:top w:val="nil"/>
              <w:left w:val="nil"/>
              <w:bottom w:val="single" w:sz="4" w:space="0" w:color="auto"/>
              <w:right w:val="single" w:sz="4" w:space="0" w:color="auto"/>
            </w:tcBorders>
            <w:shd w:val="clear" w:color="000000" w:fill="FFFFFF"/>
            <w:vAlign w:val="center"/>
            <w:hideMark/>
          </w:tcPr>
          <w:p w14:paraId="0896BCDF"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130,4</w:t>
            </w:r>
          </w:p>
        </w:tc>
        <w:tc>
          <w:tcPr>
            <w:tcW w:w="342" w:type="pct"/>
            <w:tcBorders>
              <w:top w:val="nil"/>
              <w:left w:val="nil"/>
              <w:bottom w:val="single" w:sz="4" w:space="0" w:color="auto"/>
              <w:right w:val="single" w:sz="4" w:space="0" w:color="auto"/>
            </w:tcBorders>
            <w:shd w:val="clear" w:color="000000" w:fill="FFFFFF"/>
            <w:vAlign w:val="center"/>
            <w:hideMark/>
          </w:tcPr>
          <w:p w14:paraId="0896BCE0"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133,6</w:t>
            </w:r>
          </w:p>
        </w:tc>
        <w:tc>
          <w:tcPr>
            <w:tcW w:w="342" w:type="pct"/>
            <w:tcBorders>
              <w:top w:val="nil"/>
              <w:left w:val="nil"/>
              <w:bottom w:val="single" w:sz="4" w:space="0" w:color="auto"/>
              <w:right w:val="single" w:sz="4" w:space="0" w:color="auto"/>
            </w:tcBorders>
            <w:shd w:val="clear" w:color="000000" w:fill="FFFFFF"/>
            <w:vAlign w:val="center"/>
            <w:hideMark/>
          </w:tcPr>
          <w:p w14:paraId="0896BCE1"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137,0</w:t>
            </w:r>
          </w:p>
        </w:tc>
        <w:tc>
          <w:tcPr>
            <w:tcW w:w="342" w:type="pct"/>
            <w:tcBorders>
              <w:top w:val="nil"/>
              <w:left w:val="nil"/>
              <w:bottom w:val="single" w:sz="4" w:space="0" w:color="auto"/>
              <w:right w:val="single" w:sz="4" w:space="0" w:color="auto"/>
            </w:tcBorders>
            <w:shd w:val="clear" w:color="000000" w:fill="FFFFFF"/>
            <w:vAlign w:val="center"/>
            <w:hideMark/>
          </w:tcPr>
          <w:p w14:paraId="0896BCE2"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140,4</w:t>
            </w:r>
          </w:p>
        </w:tc>
        <w:tc>
          <w:tcPr>
            <w:tcW w:w="342" w:type="pct"/>
            <w:tcBorders>
              <w:top w:val="nil"/>
              <w:left w:val="nil"/>
              <w:bottom w:val="single" w:sz="4" w:space="0" w:color="auto"/>
              <w:right w:val="single" w:sz="4" w:space="0" w:color="auto"/>
            </w:tcBorders>
            <w:shd w:val="clear" w:color="000000" w:fill="FFFFFF"/>
            <w:vAlign w:val="center"/>
            <w:hideMark/>
          </w:tcPr>
          <w:p w14:paraId="0896BCE3" w14:textId="77777777" w:rsidR="002A3A35" w:rsidRPr="00C22C49" w:rsidRDefault="002A3A35" w:rsidP="002A3A35">
            <w:pPr>
              <w:pStyle w:val="Table"/>
              <w:rPr>
                <w:rFonts w:eastAsia="Calibri"/>
                <w:sz w:val="20"/>
                <w:szCs w:val="22"/>
                <w:lang w:val="uk-UA" w:eastAsia="bg-BG"/>
              </w:rPr>
            </w:pPr>
            <w:r w:rsidRPr="00C22C49">
              <w:rPr>
                <w:rFonts w:eastAsia="Calibri"/>
                <w:sz w:val="20"/>
                <w:szCs w:val="22"/>
                <w:lang w:val="uk-UA" w:eastAsia="bg-BG"/>
              </w:rPr>
              <w:t>143,9</w:t>
            </w:r>
          </w:p>
        </w:tc>
      </w:tr>
    </w:tbl>
    <w:p w14:paraId="0896BCE5" w14:textId="77777777" w:rsidR="002A3A35" w:rsidRPr="00C22C49" w:rsidRDefault="002A3A35" w:rsidP="005E4C42"/>
    <w:p w14:paraId="0896BCE6" w14:textId="77777777" w:rsidR="005E4C42" w:rsidRPr="00C22C49" w:rsidRDefault="00621A46" w:rsidP="00621A46">
      <w:pPr>
        <w:pStyle w:val="Heading5BOLDnumbered"/>
        <w:numPr>
          <w:ilvl w:val="0"/>
          <w:numId w:val="0"/>
        </w:numPr>
        <w:ind w:left="1287"/>
        <w:rPr>
          <w:rStyle w:val="affe"/>
          <w:iCs/>
          <w:lang w:val="uk-UA"/>
        </w:rPr>
      </w:pPr>
      <w:r w:rsidRPr="00C22C49">
        <w:rPr>
          <w:rStyle w:val="affe"/>
          <w:lang w:val="uk-UA"/>
        </w:rPr>
        <w:t>2.1.7.</w:t>
      </w:r>
      <w:r w:rsidRPr="00C22C49">
        <w:rPr>
          <w:rStyle w:val="affe"/>
          <w:iCs/>
          <w:lang w:val="uk-UA"/>
        </w:rPr>
        <w:t>5</w:t>
      </w:r>
      <w:r w:rsidRPr="00C22C49">
        <w:rPr>
          <w:rStyle w:val="affe"/>
          <w:lang w:val="uk-UA"/>
        </w:rPr>
        <w:t xml:space="preserve">. </w:t>
      </w:r>
      <w:r w:rsidR="005E4C42" w:rsidRPr="00C22C49">
        <w:rPr>
          <w:rStyle w:val="affe"/>
          <w:lang w:val="uk-UA"/>
        </w:rPr>
        <w:t>Відходи мастил (олив)</w:t>
      </w:r>
    </w:p>
    <w:p w14:paraId="0896BCE7" w14:textId="77777777" w:rsidR="00AF2246" w:rsidRPr="00C22C49" w:rsidRDefault="00B25185" w:rsidP="005E4C42">
      <w:r w:rsidRPr="00C22C49">
        <w:t>При розрахунках прогнозованих обсягів утворення відпрацьованих олив були враховані фактичні, а не статистичні дані їх утворення та динаміку змін в основних категоріях: моторні, трансмісійні, гідравлічні, індустріальні оливи, рослинна олія і відпрацьовані мастила.</w:t>
      </w:r>
    </w:p>
    <w:p w14:paraId="0896BCE8" w14:textId="52E25768" w:rsidR="002C15E2" w:rsidRPr="00C22C49" w:rsidRDefault="002C15E2" w:rsidP="002C15E2">
      <w:pPr>
        <w:pStyle w:val="ad"/>
        <w:rPr>
          <w:lang w:val="uk-UA"/>
        </w:rPr>
      </w:pPr>
      <w:bookmarkStart w:id="30" w:name="_Toc142262262"/>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15</w:t>
      </w:r>
      <w:r w:rsidR="005E0A06" w:rsidRPr="00C22C49">
        <w:rPr>
          <w:lang w:val="uk-UA"/>
        </w:rPr>
        <w:fldChar w:fldCharType="end"/>
      </w:r>
      <w:r w:rsidRPr="00C22C49">
        <w:rPr>
          <w:lang w:val="uk-UA"/>
        </w:rPr>
        <w:t xml:space="preserve">. </w:t>
      </w:r>
      <w:r w:rsidRPr="00C22C49">
        <w:rPr>
          <w:bCs/>
          <w:lang w:val="uk-UA"/>
        </w:rPr>
        <w:t>Прогноз утворення відпрацьованих олив, (тис. т/рік)</w:t>
      </w:r>
      <w:bookmarkEnd w:id="30"/>
    </w:p>
    <w:tbl>
      <w:tblPr>
        <w:tblW w:w="5061" w:type="pct"/>
        <w:tblLook w:val="04A0" w:firstRow="1" w:lastRow="0" w:firstColumn="1" w:lastColumn="0" w:noHBand="0" w:noVBand="1"/>
      </w:tblPr>
      <w:tblGrid>
        <w:gridCol w:w="1242"/>
        <w:gridCol w:w="805"/>
        <w:gridCol w:w="807"/>
        <w:gridCol w:w="805"/>
        <w:gridCol w:w="806"/>
        <w:gridCol w:w="804"/>
        <w:gridCol w:w="802"/>
        <w:gridCol w:w="804"/>
        <w:gridCol w:w="800"/>
        <w:gridCol w:w="802"/>
        <w:gridCol w:w="802"/>
        <w:gridCol w:w="798"/>
      </w:tblGrid>
      <w:tr w:rsidR="004B743F" w:rsidRPr="00C22C49" w14:paraId="0896BCF7" w14:textId="77777777" w:rsidTr="004B743F">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6BCE9" w14:textId="77777777" w:rsidR="004B743F" w:rsidRPr="00C22C49" w:rsidRDefault="004B743F" w:rsidP="002C15E2">
            <w:pPr>
              <w:pStyle w:val="Table"/>
              <w:rPr>
                <w:sz w:val="18"/>
                <w:szCs w:val="20"/>
                <w:lang w:val="uk-UA"/>
              </w:rPr>
            </w:pPr>
            <w:r w:rsidRPr="00C22C49">
              <w:rPr>
                <w:sz w:val="18"/>
                <w:szCs w:val="20"/>
                <w:lang w:val="uk-UA"/>
              </w:rPr>
              <w:t>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896BCEA" w14:textId="77777777" w:rsidR="004B743F" w:rsidRPr="00C22C49" w:rsidRDefault="004B743F" w:rsidP="004B743F">
            <w:pPr>
              <w:pStyle w:val="Table"/>
              <w:jc w:val="center"/>
              <w:rPr>
                <w:b/>
                <w:bCs/>
                <w:sz w:val="18"/>
                <w:szCs w:val="20"/>
                <w:lang w:val="uk-UA"/>
              </w:rPr>
            </w:pPr>
            <w:r w:rsidRPr="00C22C49">
              <w:rPr>
                <w:b/>
                <w:bCs/>
                <w:sz w:val="18"/>
                <w:szCs w:val="20"/>
                <w:lang w:val="uk-UA"/>
              </w:rPr>
              <w:t>2023</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0896BCEB" w14:textId="77777777" w:rsidR="004B743F" w:rsidRPr="00C22C49" w:rsidRDefault="004B743F" w:rsidP="004B743F">
            <w:pPr>
              <w:pStyle w:val="Table"/>
              <w:jc w:val="center"/>
              <w:rPr>
                <w:b/>
                <w:bCs/>
                <w:sz w:val="18"/>
                <w:szCs w:val="20"/>
                <w:lang w:val="uk-UA"/>
              </w:rPr>
            </w:pPr>
            <w:r w:rsidRPr="00C22C49">
              <w:rPr>
                <w:b/>
                <w:bCs/>
                <w:sz w:val="18"/>
                <w:szCs w:val="20"/>
                <w:lang w:val="uk-UA"/>
              </w:rPr>
              <w:t>2024</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896BCEC" w14:textId="77777777" w:rsidR="004B743F" w:rsidRPr="00C22C49" w:rsidRDefault="004B743F" w:rsidP="004B743F">
            <w:pPr>
              <w:pStyle w:val="Table"/>
              <w:jc w:val="center"/>
              <w:rPr>
                <w:b/>
                <w:bCs/>
                <w:sz w:val="18"/>
                <w:szCs w:val="20"/>
                <w:lang w:val="uk-UA"/>
              </w:rPr>
            </w:pPr>
            <w:r w:rsidRPr="00C22C49">
              <w:rPr>
                <w:b/>
                <w:bCs/>
                <w:sz w:val="18"/>
                <w:szCs w:val="20"/>
                <w:lang w:val="uk-UA"/>
              </w:rPr>
              <w:t>2025</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0896BCED" w14:textId="77777777" w:rsidR="004B743F" w:rsidRPr="00C22C49" w:rsidRDefault="004B743F" w:rsidP="004B743F">
            <w:pPr>
              <w:pStyle w:val="Table"/>
              <w:jc w:val="center"/>
              <w:rPr>
                <w:b/>
                <w:bCs/>
                <w:sz w:val="18"/>
                <w:szCs w:val="20"/>
                <w:lang w:val="uk-UA"/>
              </w:rPr>
            </w:pPr>
            <w:r w:rsidRPr="00C22C49">
              <w:rPr>
                <w:b/>
                <w:bCs/>
                <w:sz w:val="18"/>
                <w:szCs w:val="20"/>
                <w:lang w:val="uk-UA"/>
              </w:rPr>
              <w:t>2026</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896BCEE" w14:textId="77777777" w:rsidR="004B743F" w:rsidRPr="00C22C49" w:rsidRDefault="004B743F" w:rsidP="004B743F">
            <w:pPr>
              <w:pStyle w:val="Table"/>
              <w:jc w:val="center"/>
              <w:rPr>
                <w:b/>
                <w:bCs/>
                <w:sz w:val="18"/>
                <w:szCs w:val="20"/>
                <w:lang w:val="uk-UA"/>
              </w:rPr>
            </w:pPr>
            <w:r w:rsidRPr="00C22C49">
              <w:rPr>
                <w:b/>
                <w:bCs/>
                <w:sz w:val="18"/>
                <w:szCs w:val="20"/>
                <w:lang w:val="uk-UA"/>
              </w:rPr>
              <w:t>2027</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0896BCEF" w14:textId="77777777" w:rsidR="004B743F" w:rsidRPr="00C22C49" w:rsidRDefault="004B743F" w:rsidP="004B743F">
            <w:pPr>
              <w:pStyle w:val="Table"/>
              <w:jc w:val="center"/>
              <w:rPr>
                <w:b/>
                <w:bCs/>
                <w:sz w:val="18"/>
                <w:szCs w:val="20"/>
                <w:lang w:val="uk-UA"/>
              </w:rPr>
            </w:pPr>
            <w:r w:rsidRPr="00C22C49">
              <w:rPr>
                <w:b/>
                <w:bCs/>
                <w:sz w:val="18"/>
                <w:szCs w:val="20"/>
                <w:lang w:val="uk-UA"/>
              </w:rPr>
              <w:t>2028</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896BCF0" w14:textId="77777777" w:rsidR="004B743F" w:rsidRPr="00C22C49" w:rsidRDefault="004B743F" w:rsidP="004B743F">
            <w:pPr>
              <w:pStyle w:val="Table"/>
              <w:jc w:val="center"/>
              <w:rPr>
                <w:b/>
                <w:bCs/>
                <w:sz w:val="18"/>
                <w:szCs w:val="20"/>
                <w:lang w:val="uk-UA"/>
              </w:rPr>
            </w:pPr>
            <w:r w:rsidRPr="00C22C49">
              <w:rPr>
                <w:b/>
                <w:bCs/>
                <w:sz w:val="18"/>
                <w:szCs w:val="20"/>
                <w:lang w:val="uk-UA"/>
              </w:rPr>
              <w:t>2029</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0896BCF1" w14:textId="77777777" w:rsidR="004B743F" w:rsidRPr="00C22C49" w:rsidRDefault="004B743F" w:rsidP="004B743F">
            <w:pPr>
              <w:pStyle w:val="Table"/>
              <w:jc w:val="center"/>
              <w:rPr>
                <w:b/>
                <w:bCs/>
                <w:sz w:val="18"/>
                <w:szCs w:val="20"/>
                <w:lang w:val="uk-UA"/>
              </w:rPr>
            </w:pPr>
            <w:r w:rsidRPr="00C22C49">
              <w:rPr>
                <w:b/>
                <w:bCs/>
                <w:sz w:val="18"/>
                <w:szCs w:val="20"/>
                <w:lang w:val="uk-UA"/>
              </w:rPr>
              <w:t>2030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0896BCF2" w14:textId="77777777" w:rsidR="004B743F" w:rsidRPr="00C22C49" w:rsidRDefault="004B743F" w:rsidP="004B743F">
            <w:pPr>
              <w:pStyle w:val="Table"/>
              <w:jc w:val="center"/>
              <w:rPr>
                <w:b/>
                <w:bCs/>
                <w:sz w:val="18"/>
                <w:szCs w:val="20"/>
                <w:lang w:val="uk-UA"/>
              </w:rPr>
            </w:pPr>
            <w:r w:rsidRPr="00C22C49">
              <w:rPr>
                <w:b/>
                <w:bCs/>
                <w:sz w:val="18"/>
                <w:szCs w:val="20"/>
                <w:lang w:val="uk-UA"/>
              </w:rPr>
              <w:t>2031</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0896BCF3" w14:textId="77777777" w:rsidR="004B743F" w:rsidRPr="00C22C49" w:rsidRDefault="004B743F" w:rsidP="004B743F">
            <w:pPr>
              <w:pStyle w:val="Table"/>
              <w:jc w:val="center"/>
              <w:rPr>
                <w:b/>
                <w:bCs/>
                <w:sz w:val="18"/>
                <w:szCs w:val="20"/>
                <w:lang w:val="uk-UA"/>
              </w:rPr>
            </w:pPr>
            <w:r w:rsidRPr="00C22C49">
              <w:rPr>
                <w:b/>
                <w:bCs/>
                <w:sz w:val="18"/>
                <w:szCs w:val="20"/>
                <w:lang w:val="uk-UA"/>
              </w:rPr>
              <w:t>2032</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0896BCF4" w14:textId="77777777" w:rsidR="004B743F" w:rsidRPr="00C22C49" w:rsidRDefault="004B743F" w:rsidP="004B743F">
            <w:pPr>
              <w:pStyle w:val="Table"/>
              <w:jc w:val="center"/>
              <w:rPr>
                <w:b/>
                <w:bCs/>
                <w:sz w:val="18"/>
                <w:szCs w:val="20"/>
                <w:lang w:val="uk-UA"/>
              </w:rPr>
            </w:pPr>
            <w:r w:rsidRPr="00C22C49">
              <w:rPr>
                <w:b/>
                <w:bCs/>
                <w:sz w:val="18"/>
                <w:szCs w:val="20"/>
                <w:lang w:val="uk-UA"/>
              </w:rPr>
              <w:t>2033</w:t>
            </w:r>
          </w:p>
        </w:tc>
      </w:tr>
      <w:tr w:rsidR="004B743F" w:rsidRPr="00C22C49" w14:paraId="0896BD06" w14:textId="77777777" w:rsidTr="004B743F">
        <w:trPr>
          <w:trHeight w:val="288"/>
        </w:trPr>
        <w:tc>
          <w:tcPr>
            <w:tcW w:w="616" w:type="pct"/>
            <w:tcBorders>
              <w:top w:val="nil"/>
              <w:left w:val="single" w:sz="4" w:space="0" w:color="auto"/>
              <w:bottom w:val="single" w:sz="4" w:space="0" w:color="auto"/>
              <w:right w:val="single" w:sz="4" w:space="0" w:color="auto"/>
            </w:tcBorders>
            <w:shd w:val="clear" w:color="auto" w:fill="auto"/>
            <w:vAlign w:val="center"/>
            <w:hideMark/>
          </w:tcPr>
          <w:p w14:paraId="0896BCF8" w14:textId="77777777" w:rsidR="004B743F" w:rsidRPr="00C22C49" w:rsidRDefault="004B743F" w:rsidP="002C15E2">
            <w:pPr>
              <w:pStyle w:val="Table"/>
              <w:rPr>
                <w:sz w:val="18"/>
                <w:szCs w:val="20"/>
                <w:lang w:val="uk-UA"/>
              </w:rPr>
            </w:pPr>
            <w:r w:rsidRPr="00C22C49">
              <w:rPr>
                <w:sz w:val="18"/>
                <w:szCs w:val="20"/>
                <w:lang w:val="uk-UA"/>
              </w:rPr>
              <w:t xml:space="preserve">Усього </w:t>
            </w:r>
          </w:p>
        </w:tc>
        <w:tc>
          <w:tcPr>
            <w:tcW w:w="399" w:type="pct"/>
            <w:tcBorders>
              <w:top w:val="nil"/>
              <w:left w:val="nil"/>
              <w:bottom w:val="single" w:sz="4" w:space="0" w:color="auto"/>
              <w:right w:val="single" w:sz="4" w:space="0" w:color="auto"/>
            </w:tcBorders>
            <w:shd w:val="clear" w:color="auto" w:fill="auto"/>
            <w:noWrap/>
            <w:vAlign w:val="center"/>
            <w:hideMark/>
          </w:tcPr>
          <w:p w14:paraId="0896BCF9" w14:textId="77777777" w:rsidR="004B743F" w:rsidRPr="00C22C49" w:rsidRDefault="004B743F" w:rsidP="004B743F">
            <w:pPr>
              <w:pStyle w:val="Table"/>
              <w:jc w:val="center"/>
              <w:rPr>
                <w:sz w:val="18"/>
                <w:szCs w:val="20"/>
                <w:lang w:val="uk-UA"/>
              </w:rPr>
            </w:pPr>
            <w:r w:rsidRPr="00C22C49">
              <w:rPr>
                <w:sz w:val="18"/>
                <w:szCs w:val="20"/>
                <w:lang w:val="uk-UA"/>
              </w:rPr>
              <w:t>440,9</w:t>
            </w:r>
          </w:p>
        </w:tc>
        <w:tc>
          <w:tcPr>
            <w:tcW w:w="400" w:type="pct"/>
            <w:tcBorders>
              <w:top w:val="nil"/>
              <w:left w:val="nil"/>
              <w:bottom w:val="single" w:sz="4" w:space="0" w:color="auto"/>
              <w:right w:val="single" w:sz="4" w:space="0" w:color="auto"/>
            </w:tcBorders>
            <w:shd w:val="clear" w:color="auto" w:fill="auto"/>
            <w:noWrap/>
            <w:vAlign w:val="center"/>
            <w:hideMark/>
          </w:tcPr>
          <w:p w14:paraId="0896BCFA" w14:textId="77777777" w:rsidR="004B743F" w:rsidRPr="00C22C49" w:rsidRDefault="004B743F" w:rsidP="004B743F">
            <w:pPr>
              <w:pStyle w:val="Table"/>
              <w:jc w:val="center"/>
              <w:rPr>
                <w:sz w:val="18"/>
                <w:szCs w:val="20"/>
                <w:lang w:val="uk-UA"/>
              </w:rPr>
            </w:pPr>
            <w:r w:rsidRPr="00C22C49">
              <w:rPr>
                <w:sz w:val="18"/>
                <w:szCs w:val="20"/>
                <w:lang w:val="uk-UA"/>
              </w:rPr>
              <w:t>437,8</w:t>
            </w:r>
          </w:p>
        </w:tc>
        <w:tc>
          <w:tcPr>
            <w:tcW w:w="399" w:type="pct"/>
            <w:tcBorders>
              <w:top w:val="nil"/>
              <w:left w:val="nil"/>
              <w:bottom w:val="single" w:sz="4" w:space="0" w:color="auto"/>
              <w:right w:val="single" w:sz="4" w:space="0" w:color="auto"/>
            </w:tcBorders>
            <w:shd w:val="clear" w:color="auto" w:fill="auto"/>
            <w:noWrap/>
            <w:vAlign w:val="center"/>
            <w:hideMark/>
          </w:tcPr>
          <w:p w14:paraId="0896BCFB" w14:textId="77777777" w:rsidR="004B743F" w:rsidRPr="00C22C49" w:rsidRDefault="004B743F" w:rsidP="004B743F">
            <w:pPr>
              <w:pStyle w:val="Table"/>
              <w:jc w:val="center"/>
              <w:rPr>
                <w:sz w:val="18"/>
                <w:szCs w:val="20"/>
                <w:lang w:val="uk-UA"/>
              </w:rPr>
            </w:pPr>
            <w:r w:rsidRPr="00C22C49">
              <w:rPr>
                <w:sz w:val="18"/>
                <w:szCs w:val="20"/>
                <w:lang w:val="uk-UA"/>
              </w:rPr>
              <w:t>436,8</w:t>
            </w:r>
          </w:p>
        </w:tc>
        <w:tc>
          <w:tcPr>
            <w:tcW w:w="400" w:type="pct"/>
            <w:tcBorders>
              <w:top w:val="nil"/>
              <w:left w:val="nil"/>
              <w:bottom w:val="single" w:sz="4" w:space="0" w:color="auto"/>
              <w:right w:val="single" w:sz="4" w:space="0" w:color="auto"/>
            </w:tcBorders>
            <w:shd w:val="clear" w:color="auto" w:fill="auto"/>
            <w:noWrap/>
            <w:vAlign w:val="center"/>
            <w:hideMark/>
          </w:tcPr>
          <w:p w14:paraId="0896BCFC" w14:textId="77777777" w:rsidR="004B743F" w:rsidRPr="00C22C49" w:rsidRDefault="004B743F" w:rsidP="004B743F">
            <w:pPr>
              <w:pStyle w:val="Table"/>
              <w:jc w:val="center"/>
              <w:rPr>
                <w:sz w:val="18"/>
                <w:szCs w:val="20"/>
                <w:lang w:val="uk-UA"/>
              </w:rPr>
            </w:pPr>
            <w:r w:rsidRPr="00C22C49">
              <w:rPr>
                <w:sz w:val="18"/>
                <w:szCs w:val="20"/>
                <w:lang w:val="uk-UA"/>
              </w:rPr>
              <w:t>433,7</w:t>
            </w:r>
          </w:p>
        </w:tc>
        <w:tc>
          <w:tcPr>
            <w:tcW w:w="399" w:type="pct"/>
            <w:tcBorders>
              <w:top w:val="nil"/>
              <w:left w:val="nil"/>
              <w:bottom w:val="single" w:sz="4" w:space="0" w:color="auto"/>
              <w:right w:val="single" w:sz="4" w:space="0" w:color="auto"/>
            </w:tcBorders>
            <w:shd w:val="clear" w:color="auto" w:fill="auto"/>
            <w:noWrap/>
            <w:vAlign w:val="center"/>
            <w:hideMark/>
          </w:tcPr>
          <w:p w14:paraId="0896BCFD" w14:textId="77777777" w:rsidR="004B743F" w:rsidRPr="00C22C49" w:rsidRDefault="004B743F" w:rsidP="004B743F">
            <w:pPr>
              <w:pStyle w:val="Table"/>
              <w:jc w:val="center"/>
              <w:rPr>
                <w:sz w:val="18"/>
                <w:szCs w:val="20"/>
                <w:lang w:val="uk-UA"/>
              </w:rPr>
            </w:pPr>
            <w:r w:rsidRPr="00C22C49">
              <w:rPr>
                <w:sz w:val="18"/>
                <w:szCs w:val="20"/>
                <w:lang w:val="uk-UA"/>
              </w:rPr>
              <w:t>428,4</w:t>
            </w:r>
          </w:p>
        </w:tc>
        <w:tc>
          <w:tcPr>
            <w:tcW w:w="398" w:type="pct"/>
            <w:tcBorders>
              <w:top w:val="nil"/>
              <w:left w:val="nil"/>
              <w:bottom w:val="single" w:sz="4" w:space="0" w:color="auto"/>
              <w:right w:val="single" w:sz="4" w:space="0" w:color="auto"/>
            </w:tcBorders>
            <w:shd w:val="clear" w:color="auto" w:fill="auto"/>
            <w:noWrap/>
            <w:vAlign w:val="center"/>
            <w:hideMark/>
          </w:tcPr>
          <w:p w14:paraId="0896BCFE" w14:textId="77777777" w:rsidR="004B743F" w:rsidRPr="00C22C49" w:rsidRDefault="004B743F" w:rsidP="004B743F">
            <w:pPr>
              <w:pStyle w:val="Table"/>
              <w:jc w:val="center"/>
              <w:rPr>
                <w:sz w:val="18"/>
                <w:szCs w:val="20"/>
                <w:lang w:val="uk-UA"/>
              </w:rPr>
            </w:pPr>
            <w:r w:rsidRPr="00C22C49">
              <w:rPr>
                <w:sz w:val="18"/>
                <w:szCs w:val="20"/>
                <w:lang w:val="uk-UA"/>
              </w:rPr>
              <w:t>425,3</w:t>
            </w:r>
          </w:p>
        </w:tc>
        <w:tc>
          <w:tcPr>
            <w:tcW w:w="399" w:type="pct"/>
            <w:tcBorders>
              <w:top w:val="nil"/>
              <w:left w:val="nil"/>
              <w:bottom w:val="single" w:sz="4" w:space="0" w:color="auto"/>
              <w:right w:val="single" w:sz="4" w:space="0" w:color="auto"/>
            </w:tcBorders>
            <w:shd w:val="clear" w:color="auto" w:fill="auto"/>
            <w:noWrap/>
            <w:vAlign w:val="center"/>
            <w:hideMark/>
          </w:tcPr>
          <w:p w14:paraId="0896BCFF" w14:textId="77777777" w:rsidR="004B743F" w:rsidRPr="00C22C49" w:rsidRDefault="004B743F" w:rsidP="004B743F">
            <w:pPr>
              <w:pStyle w:val="Table"/>
              <w:jc w:val="center"/>
              <w:rPr>
                <w:sz w:val="18"/>
                <w:szCs w:val="20"/>
                <w:lang w:val="uk-UA"/>
              </w:rPr>
            </w:pPr>
            <w:r w:rsidRPr="00C22C49">
              <w:rPr>
                <w:sz w:val="18"/>
                <w:szCs w:val="20"/>
                <w:lang w:val="uk-UA"/>
              </w:rPr>
              <w:t>424,3</w:t>
            </w:r>
          </w:p>
        </w:tc>
        <w:tc>
          <w:tcPr>
            <w:tcW w:w="397" w:type="pct"/>
            <w:tcBorders>
              <w:top w:val="nil"/>
              <w:left w:val="nil"/>
              <w:bottom w:val="single" w:sz="4" w:space="0" w:color="auto"/>
              <w:right w:val="single" w:sz="4" w:space="0" w:color="auto"/>
            </w:tcBorders>
            <w:shd w:val="clear" w:color="auto" w:fill="auto"/>
            <w:noWrap/>
            <w:vAlign w:val="center"/>
            <w:hideMark/>
          </w:tcPr>
          <w:p w14:paraId="0896BD00" w14:textId="77777777" w:rsidR="004B743F" w:rsidRPr="00C22C49" w:rsidRDefault="004B743F" w:rsidP="004B743F">
            <w:pPr>
              <w:pStyle w:val="Table"/>
              <w:jc w:val="center"/>
              <w:rPr>
                <w:sz w:val="18"/>
                <w:szCs w:val="20"/>
                <w:lang w:val="uk-UA"/>
              </w:rPr>
            </w:pPr>
            <w:r w:rsidRPr="00C22C49">
              <w:rPr>
                <w:sz w:val="18"/>
                <w:szCs w:val="20"/>
                <w:lang w:val="uk-UA"/>
              </w:rPr>
              <w:t>421,2</w:t>
            </w:r>
          </w:p>
        </w:tc>
        <w:tc>
          <w:tcPr>
            <w:tcW w:w="398" w:type="pct"/>
            <w:tcBorders>
              <w:top w:val="nil"/>
              <w:left w:val="nil"/>
              <w:bottom w:val="single" w:sz="4" w:space="0" w:color="auto"/>
              <w:right w:val="single" w:sz="4" w:space="0" w:color="auto"/>
            </w:tcBorders>
            <w:shd w:val="clear" w:color="auto" w:fill="auto"/>
            <w:noWrap/>
            <w:vAlign w:val="center"/>
            <w:hideMark/>
          </w:tcPr>
          <w:p w14:paraId="0896BD01" w14:textId="77777777" w:rsidR="004B743F" w:rsidRPr="00C22C49" w:rsidRDefault="004B743F" w:rsidP="004B743F">
            <w:pPr>
              <w:pStyle w:val="Table"/>
              <w:jc w:val="center"/>
              <w:rPr>
                <w:sz w:val="18"/>
                <w:szCs w:val="20"/>
                <w:lang w:val="uk-UA"/>
              </w:rPr>
            </w:pPr>
            <w:r w:rsidRPr="00C22C49">
              <w:rPr>
                <w:sz w:val="18"/>
                <w:szCs w:val="20"/>
                <w:lang w:val="uk-UA"/>
              </w:rPr>
              <w:t>416,0</w:t>
            </w:r>
          </w:p>
        </w:tc>
        <w:tc>
          <w:tcPr>
            <w:tcW w:w="398" w:type="pct"/>
            <w:tcBorders>
              <w:top w:val="nil"/>
              <w:left w:val="nil"/>
              <w:bottom w:val="single" w:sz="4" w:space="0" w:color="auto"/>
              <w:right w:val="single" w:sz="4" w:space="0" w:color="auto"/>
            </w:tcBorders>
            <w:shd w:val="clear" w:color="auto" w:fill="auto"/>
            <w:noWrap/>
            <w:vAlign w:val="center"/>
            <w:hideMark/>
          </w:tcPr>
          <w:p w14:paraId="0896BD02" w14:textId="77777777" w:rsidR="004B743F" w:rsidRPr="00C22C49" w:rsidRDefault="004B743F" w:rsidP="004B743F">
            <w:pPr>
              <w:pStyle w:val="Table"/>
              <w:jc w:val="center"/>
              <w:rPr>
                <w:sz w:val="18"/>
                <w:szCs w:val="20"/>
                <w:lang w:val="uk-UA"/>
              </w:rPr>
            </w:pPr>
            <w:r w:rsidRPr="00C22C49">
              <w:rPr>
                <w:sz w:val="18"/>
                <w:szCs w:val="20"/>
                <w:lang w:val="uk-UA"/>
              </w:rPr>
              <w:t>412,9</w:t>
            </w:r>
          </w:p>
        </w:tc>
        <w:tc>
          <w:tcPr>
            <w:tcW w:w="396" w:type="pct"/>
            <w:tcBorders>
              <w:top w:val="nil"/>
              <w:left w:val="nil"/>
              <w:bottom w:val="single" w:sz="4" w:space="0" w:color="auto"/>
              <w:right w:val="single" w:sz="4" w:space="0" w:color="auto"/>
            </w:tcBorders>
            <w:shd w:val="clear" w:color="auto" w:fill="auto"/>
            <w:noWrap/>
            <w:vAlign w:val="center"/>
            <w:hideMark/>
          </w:tcPr>
          <w:p w14:paraId="0896BD03" w14:textId="77777777" w:rsidR="004B743F" w:rsidRPr="00C22C49" w:rsidRDefault="004B743F" w:rsidP="004B743F">
            <w:pPr>
              <w:pStyle w:val="Table"/>
              <w:jc w:val="center"/>
              <w:rPr>
                <w:sz w:val="18"/>
                <w:szCs w:val="20"/>
                <w:lang w:val="uk-UA"/>
              </w:rPr>
            </w:pPr>
            <w:r w:rsidRPr="00C22C49">
              <w:rPr>
                <w:sz w:val="18"/>
                <w:szCs w:val="20"/>
                <w:lang w:val="uk-UA"/>
              </w:rPr>
              <w:t>407,8</w:t>
            </w:r>
          </w:p>
        </w:tc>
      </w:tr>
      <w:tr w:rsidR="004B743F" w:rsidRPr="00C22C49" w14:paraId="0896BD15" w14:textId="77777777" w:rsidTr="004B743F">
        <w:trPr>
          <w:trHeight w:val="588"/>
        </w:trPr>
        <w:tc>
          <w:tcPr>
            <w:tcW w:w="616" w:type="pct"/>
            <w:tcBorders>
              <w:top w:val="nil"/>
              <w:left w:val="single" w:sz="4" w:space="0" w:color="auto"/>
              <w:bottom w:val="single" w:sz="4" w:space="0" w:color="auto"/>
              <w:right w:val="single" w:sz="4" w:space="0" w:color="auto"/>
            </w:tcBorders>
            <w:shd w:val="clear" w:color="auto" w:fill="auto"/>
            <w:vAlign w:val="center"/>
            <w:hideMark/>
          </w:tcPr>
          <w:p w14:paraId="0896BD07" w14:textId="77777777" w:rsidR="004B743F" w:rsidRPr="00C22C49" w:rsidRDefault="004B743F" w:rsidP="002C15E2">
            <w:pPr>
              <w:pStyle w:val="Table"/>
              <w:rPr>
                <w:sz w:val="18"/>
                <w:szCs w:val="20"/>
                <w:lang w:val="uk-UA"/>
              </w:rPr>
            </w:pPr>
            <w:r w:rsidRPr="00C22C49">
              <w:rPr>
                <w:sz w:val="18"/>
                <w:szCs w:val="20"/>
                <w:lang w:val="uk-UA"/>
              </w:rPr>
              <w:t>Динаміка, в % до 2022 р.</w:t>
            </w:r>
          </w:p>
        </w:tc>
        <w:tc>
          <w:tcPr>
            <w:tcW w:w="399" w:type="pct"/>
            <w:tcBorders>
              <w:top w:val="nil"/>
              <w:left w:val="nil"/>
              <w:bottom w:val="single" w:sz="4" w:space="0" w:color="auto"/>
              <w:right w:val="single" w:sz="4" w:space="0" w:color="auto"/>
            </w:tcBorders>
            <w:shd w:val="clear" w:color="auto" w:fill="auto"/>
            <w:noWrap/>
            <w:vAlign w:val="center"/>
            <w:hideMark/>
          </w:tcPr>
          <w:p w14:paraId="0896BD08" w14:textId="77777777" w:rsidR="004B743F" w:rsidRPr="00C22C49" w:rsidRDefault="004B743F" w:rsidP="004B743F">
            <w:pPr>
              <w:pStyle w:val="Table"/>
              <w:jc w:val="center"/>
              <w:rPr>
                <w:sz w:val="18"/>
                <w:szCs w:val="20"/>
                <w:lang w:val="uk-UA"/>
              </w:rPr>
            </w:pPr>
            <w:r w:rsidRPr="00C22C49">
              <w:rPr>
                <w:sz w:val="18"/>
                <w:szCs w:val="20"/>
                <w:lang w:val="uk-UA"/>
              </w:rPr>
              <w:t>101,0</w:t>
            </w:r>
          </w:p>
        </w:tc>
        <w:tc>
          <w:tcPr>
            <w:tcW w:w="400" w:type="pct"/>
            <w:tcBorders>
              <w:top w:val="nil"/>
              <w:left w:val="nil"/>
              <w:bottom w:val="single" w:sz="4" w:space="0" w:color="auto"/>
              <w:right w:val="single" w:sz="4" w:space="0" w:color="auto"/>
            </w:tcBorders>
            <w:shd w:val="clear" w:color="auto" w:fill="auto"/>
            <w:noWrap/>
            <w:vAlign w:val="center"/>
            <w:hideMark/>
          </w:tcPr>
          <w:p w14:paraId="0896BD09" w14:textId="77777777" w:rsidR="004B743F" w:rsidRPr="00C22C49" w:rsidRDefault="004B743F" w:rsidP="004B743F">
            <w:pPr>
              <w:pStyle w:val="Table"/>
              <w:jc w:val="center"/>
              <w:rPr>
                <w:sz w:val="18"/>
                <w:szCs w:val="20"/>
                <w:lang w:val="uk-UA"/>
              </w:rPr>
            </w:pPr>
            <w:r w:rsidRPr="00C22C49">
              <w:rPr>
                <w:sz w:val="18"/>
                <w:szCs w:val="20"/>
                <w:lang w:val="uk-UA"/>
              </w:rPr>
              <w:t>99,3</w:t>
            </w:r>
          </w:p>
        </w:tc>
        <w:tc>
          <w:tcPr>
            <w:tcW w:w="399" w:type="pct"/>
            <w:tcBorders>
              <w:top w:val="nil"/>
              <w:left w:val="nil"/>
              <w:bottom w:val="single" w:sz="4" w:space="0" w:color="auto"/>
              <w:right w:val="single" w:sz="4" w:space="0" w:color="auto"/>
            </w:tcBorders>
            <w:shd w:val="clear" w:color="auto" w:fill="auto"/>
            <w:noWrap/>
            <w:vAlign w:val="center"/>
            <w:hideMark/>
          </w:tcPr>
          <w:p w14:paraId="0896BD0A" w14:textId="77777777" w:rsidR="004B743F" w:rsidRPr="00C22C49" w:rsidRDefault="004B743F" w:rsidP="004B743F">
            <w:pPr>
              <w:pStyle w:val="Table"/>
              <w:jc w:val="center"/>
              <w:rPr>
                <w:sz w:val="18"/>
                <w:szCs w:val="20"/>
                <w:lang w:val="uk-UA"/>
              </w:rPr>
            </w:pPr>
            <w:r w:rsidRPr="00C22C49">
              <w:rPr>
                <w:sz w:val="18"/>
                <w:szCs w:val="20"/>
                <w:lang w:val="uk-UA"/>
              </w:rPr>
              <w:t>99,8</w:t>
            </w:r>
          </w:p>
        </w:tc>
        <w:tc>
          <w:tcPr>
            <w:tcW w:w="400" w:type="pct"/>
            <w:tcBorders>
              <w:top w:val="nil"/>
              <w:left w:val="nil"/>
              <w:bottom w:val="single" w:sz="4" w:space="0" w:color="auto"/>
              <w:right w:val="single" w:sz="4" w:space="0" w:color="auto"/>
            </w:tcBorders>
            <w:shd w:val="clear" w:color="auto" w:fill="auto"/>
            <w:noWrap/>
            <w:vAlign w:val="center"/>
            <w:hideMark/>
          </w:tcPr>
          <w:p w14:paraId="0896BD0B" w14:textId="77777777" w:rsidR="004B743F" w:rsidRPr="00C22C49" w:rsidRDefault="004B743F" w:rsidP="004B743F">
            <w:pPr>
              <w:pStyle w:val="Table"/>
              <w:jc w:val="center"/>
              <w:rPr>
                <w:sz w:val="18"/>
                <w:szCs w:val="20"/>
                <w:lang w:val="uk-UA"/>
              </w:rPr>
            </w:pPr>
            <w:r w:rsidRPr="00C22C49">
              <w:rPr>
                <w:sz w:val="18"/>
                <w:szCs w:val="20"/>
                <w:lang w:val="uk-UA"/>
              </w:rPr>
              <w:t>99,3</w:t>
            </w:r>
          </w:p>
        </w:tc>
        <w:tc>
          <w:tcPr>
            <w:tcW w:w="399" w:type="pct"/>
            <w:tcBorders>
              <w:top w:val="nil"/>
              <w:left w:val="nil"/>
              <w:bottom w:val="single" w:sz="4" w:space="0" w:color="auto"/>
              <w:right w:val="single" w:sz="4" w:space="0" w:color="auto"/>
            </w:tcBorders>
            <w:shd w:val="clear" w:color="auto" w:fill="auto"/>
            <w:noWrap/>
            <w:vAlign w:val="center"/>
            <w:hideMark/>
          </w:tcPr>
          <w:p w14:paraId="0896BD0C" w14:textId="77777777" w:rsidR="004B743F" w:rsidRPr="00C22C49" w:rsidRDefault="004B743F" w:rsidP="004B743F">
            <w:pPr>
              <w:pStyle w:val="Table"/>
              <w:jc w:val="center"/>
              <w:rPr>
                <w:sz w:val="18"/>
                <w:szCs w:val="20"/>
                <w:lang w:val="uk-UA"/>
              </w:rPr>
            </w:pPr>
            <w:r w:rsidRPr="00C22C49">
              <w:rPr>
                <w:sz w:val="18"/>
                <w:szCs w:val="20"/>
                <w:lang w:val="uk-UA"/>
              </w:rPr>
              <w:t>98,8</w:t>
            </w:r>
          </w:p>
        </w:tc>
        <w:tc>
          <w:tcPr>
            <w:tcW w:w="398" w:type="pct"/>
            <w:tcBorders>
              <w:top w:val="nil"/>
              <w:left w:val="nil"/>
              <w:bottom w:val="single" w:sz="4" w:space="0" w:color="auto"/>
              <w:right w:val="single" w:sz="4" w:space="0" w:color="auto"/>
            </w:tcBorders>
            <w:shd w:val="clear" w:color="auto" w:fill="auto"/>
            <w:noWrap/>
            <w:vAlign w:val="center"/>
            <w:hideMark/>
          </w:tcPr>
          <w:p w14:paraId="0896BD0D" w14:textId="77777777" w:rsidR="004B743F" w:rsidRPr="00C22C49" w:rsidRDefault="004B743F" w:rsidP="004B743F">
            <w:pPr>
              <w:pStyle w:val="Table"/>
              <w:jc w:val="center"/>
              <w:rPr>
                <w:sz w:val="18"/>
                <w:szCs w:val="20"/>
                <w:lang w:val="uk-UA"/>
              </w:rPr>
            </w:pPr>
            <w:r w:rsidRPr="00C22C49">
              <w:rPr>
                <w:sz w:val="18"/>
                <w:szCs w:val="20"/>
                <w:lang w:val="uk-UA"/>
              </w:rPr>
              <w:t>99,3</w:t>
            </w:r>
          </w:p>
        </w:tc>
        <w:tc>
          <w:tcPr>
            <w:tcW w:w="399" w:type="pct"/>
            <w:tcBorders>
              <w:top w:val="nil"/>
              <w:left w:val="nil"/>
              <w:bottom w:val="single" w:sz="4" w:space="0" w:color="auto"/>
              <w:right w:val="single" w:sz="4" w:space="0" w:color="auto"/>
            </w:tcBorders>
            <w:shd w:val="clear" w:color="auto" w:fill="auto"/>
            <w:noWrap/>
            <w:vAlign w:val="center"/>
            <w:hideMark/>
          </w:tcPr>
          <w:p w14:paraId="0896BD0E" w14:textId="77777777" w:rsidR="004B743F" w:rsidRPr="00C22C49" w:rsidRDefault="004B743F" w:rsidP="004B743F">
            <w:pPr>
              <w:pStyle w:val="Table"/>
              <w:jc w:val="center"/>
              <w:rPr>
                <w:sz w:val="18"/>
                <w:szCs w:val="20"/>
                <w:lang w:val="uk-UA"/>
              </w:rPr>
            </w:pPr>
            <w:r w:rsidRPr="00C22C49">
              <w:rPr>
                <w:sz w:val="18"/>
                <w:szCs w:val="20"/>
                <w:lang w:val="uk-UA"/>
              </w:rPr>
              <w:t>99,8</w:t>
            </w:r>
          </w:p>
        </w:tc>
        <w:tc>
          <w:tcPr>
            <w:tcW w:w="397" w:type="pct"/>
            <w:tcBorders>
              <w:top w:val="nil"/>
              <w:left w:val="nil"/>
              <w:bottom w:val="single" w:sz="4" w:space="0" w:color="auto"/>
              <w:right w:val="single" w:sz="4" w:space="0" w:color="auto"/>
            </w:tcBorders>
            <w:shd w:val="clear" w:color="auto" w:fill="auto"/>
            <w:noWrap/>
            <w:vAlign w:val="center"/>
            <w:hideMark/>
          </w:tcPr>
          <w:p w14:paraId="0896BD0F" w14:textId="77777777" w:rsidR="004B743F" w:rsidRPr="00C22C49" w:rsidRDefault="004B743F" w:rsidP="004B743F">
            <w:pPr>
              <w:pStyle w:val="Table"/>
              <w:jc w:val="center"/>
              <w:rPr>
                <w:sz w:val="18"/>
                <w:szCs w:val="20"/>
                <w:lang w:val="uk-UA"/>
              </w:rPr>
            </w:pPr>
            <w:r w:rsidRPr="00C22C49">
              <w:rPr>
                <w:sz w:val="18"/>
                <w:szCs w:val="20"/>
                <w:lang w:val="uk-UA"/>
              </w:rPr>
              <w:t>99,3</w:t>
            </w:r>
          </w:p>
        </w:tc>
        <w:tc>
          <w:tcPr>
            <w:tcW w:w="398" w:type="pct"/>
            <w:tcBorders>
              <w:top w:val="nil"/>
              <w:left w:val="nil"/>
              <w:bottom w:val="single" w:sz="4" w:space="0" w:color="auto"/>
              <w:right w:val="single" w:sz="4" w:space="0" w:color="auto"/>
            </w:tcBorders>
            <w:shd w:val="clear" w:color="auto" w:fill="auto"/>
            <w:noWrap/>
            <w:vAlign w:val="center"/>
            <w:hideMark/>
          </w:tcPr>
          <w:p w14:paraId="0896BD10" w14:textId="77777777" w:rsidR="004B743F" w:rsidRPr="00C22C49" w:rsidRDefault="004B743F" w:rsidP="004B743F">
            <w:pPr>
              <w:pStyle w:val="Table"/>
              <w:jc w:val="center"/>
              <w:rPr>
                <w:sz w:val="18"/>
                <w:szCs w:val="20"/>
                <w:lang w:val="uk-UA"/>
              </w:rPr>
            </w:pPr>
            <w:r w:rsidRPr="00C22C49">
              <w:rPr>
                <w:sz w:val="18"/>
                <w:szCs w:val="20"/>
                <w:lang w:val="uk-UA"/>
              </w:rPr>
              <w:t>98,8</w:t>
            </w:r>
          </w:p>
        </w:tc>
        <w:tc>
          <w:tcPr>
            <w:tcW w:w="398" w:type="pct"/>
            <w:tcBorders>
              <w:top w:val="nil"/>
              <w:left w:val="nil"/>
              <w:bottom w:val="single" w:sz="4" w:space="0" w:color="auto"/>
              <w:right w:val="single" w:sz="4" w:space="0" w:color="auto"/>
            </w:tcBorders>
            <w:shd w:val="clear" w:color="auto" w:fill="auto"/>
            <w:noWrap/>
            <w:vAlign w:val="center"/>
            <w:hideMark/>
          </w:tcPr>
          <w:p w14:paraId="0896BD11" w14:textId="77777777" w:rsidR="004B743F" w:rsidRPr="00C22C49" w:rsidRDefault="004B743F" w:rsidP="004B743F">
            <w:pPr>
              <w:pStyle w:val="Table"/>
              <w:jc w:val="center"/>
              <w:rPr>
                <w:sz w:val="18"/>
                <w:szCs w:val="20"/>
                <w:lang w:val="uk-UA"/>
              </w:rPr>
            </w:pPr>
            <w:r w:rsidRPr="00C22C49">
              <w:rPr>
                <w:sz w:val="18"/>
                <w:szCs w:val="20"/>
                <w:lang w:val="uk-UA"/>
              </w:rPr>
              <w:t>99,3</w:t>
            </w:r>
          </w:p>
        </w:tc>
        <w:tc>
          <w:tcPr>
            <w:tcW w:w="396" w:type="pct"/>
            <w:tcBorders>
              <w:top w:val="nil"/>
              <w:left w:val="nil"/>
              <w:bottom w:val="single" w:sz="4" w:space="0" w:color="auto"/>
              <w:right w:val="single" w:sz="4" w:space="0" w:color="auto"/>
            </w:tcBorders>
            <w:shd w:val="clear" w:color="auto" w:fill="auto"/>
            <w:noWrap/>
            <w:vAlign w:val="center"/>
            <w:hideMark/>
          </w:tcPr>
          <w:p w14:paraId="0896BD12" w14:textId="77777777" w:rsidR="004B743F" w:rsidRPr="00C22C49" w:rsidRDefault="004B743F" w:rsidP="004B743F">
            <w:pPr>
              <w:pStyle w:val="Table"/>
              <w:jc w:val="center"/>
              <w:rPr>
                <w:sz w:val="18"/>
                <w:szCs w:val="20"/>
                <w:lang w:val="uk-UA"/>
              </w:rPr>
            </w:pPr>
            <w:r w:rsidRPr="00C22C49">
              <w:rPr>
                <w:sz w:val="18"/>
                <w:szCs w:val="20"/>
                <w:lang w:val="uk-UA"/>
              </w:rPr>
              <w:t>98,8</w:t>
            </w:r>
          </w:p>
        </w:tc>
      </w:tr>
      <w:tr w:rsidR="004B743F" w:rsidRPr="00C22C49" w14:paraId="0896BD24" w14:textId="77777777" w:rsidTr="004B743F">
        <w:trPr>
          <w:trHeight w:val="528"/>
        </w:trPr>
        <w:tc>
          <w:tcPr>
            <w:tcW w:w="616" w:type="pct"/>
            <w:tcBorders>
              <w:top w:val="nil"/>
              <w:left w:val="single" w:sz="4" w:space="0" w:color="auto"/>
              <w:bottom w:val="single" w:sz="4" w:space="0" w:color="auto"/>
              <w:right w:val="single" w:sz="4" w:space="0" w:color="auto"/>
            </w:tcBorders>
            <w:shd w:val="clear" w:color="auto" w:fill="auto"/>
            <w:vAlign w:val="center"/>
            <w:hideMark/>
          </w:tcPr>
          <w:p w14:paraId="0896BD16" w14:textId="77777777" w:rsidR="004B743F" w:rsidRPr="00C22C49" w:rsidRDefault="004B743F" w:rsidP="002C15E2">
            <w:pPr>
              <w:pStyle w:val="Table"/>
              <w:rPr>
                <w:sz w:val="18"/>
                <w:szCs w:val="20"/>
                <w:lang w:val="uk-UA"/>
              </w:rPr>
            </w:pPr>
            <w:r w:rsidRPr="00C22C49">
              <w:rPr>
                <w:sz w:val="18"/>
                <w:szCs w:val="20"/>
                <w:lang w:val="uk-UA"/>
              </w:rPr>
              <w:t>в розрахунку на особу, кг/рік</w:t>
            </w:r>
          </w:p>
        </w:tc>
        <w:tc>
          <w:tcPr>
            <w:tcW w:w="399" w:type="pct"/>
            <w:tcBorders>
              <w:top w:val="nil"/>
              <w:left w:val="nil"/>
              <w:bottom w:val="single" w:sz="4" w:space="0" w:color="auto"/>
              <w:right w:val="single" w:sz="4" w:space="0" w:color="auto"/>
            </w:tcBorders>
            <w:shd w:val="clear" w:color="auto" w:fill="auto"/>
            <w:noWrap/>
            <w:vAlign w:val="center"/>
            <w:hideMark/>
          </w:tcPr>
          <w:p w14:paraId="0896BD17" w14:textId="77777777" w:rsidR="004B743F" w:rsidRPr="00C22C49" w:rsidRDefault="004B743F" w:rsidP="004B743F">
            <w:pPr>
              <w:pStyle w:val="Table"/>
              <w:jc w:val="center"/>
              <w:rPr>
                <w:sz w:val="18"/>
                <w:szCs w:val="20"/>
                <w:lang w:val="uk-UA"/>
              </w:rPr>
            </w:pPr>
            <w:r w:rsidRPr="00C22C49">
              <w:rPr>
                <w:sz w:val="18"/>
                <w:szCs w:val="20"/>
                <w:lang w:val="uk-UA"/>
              </w:rPr>
              <w:t>12,4</w:t>
            </w:r>
          </w:p>
        </w:tc>
        <w:tc>
          <w:tcPr>
            <w:tcW w:w="400" w:type="pct"/>
            <w:tcBorders>
              <w:top w:val="nil"/>
              <w:left w:val="nil"/>
              <w:bottom w:val="single" w:sz="4" w:space="0" w:color="auto"/>
              <w:right w:val="single" w:sz="4" w:space="0" w:color="auto"/>
            </w:tcBorders>
            <w:shd w:val="clear" w:color="auto" w:fill="auto"/>
            <w:noWrap/>
            <w:vAlign w:val="center"/>
            <w:hideMark/>
          </w:tcPr>
          <w:p w14:paraId="0896BD18" w14:textId="77777777" w:rsidR="004B743F" w:rsidRPr="00C22C49" w:rsidRDefault="004B743F" w:rsidP="004B743F">
            <w:pPr>
              <w:pStyle w:val="Table"/>
              <w:jc w:val="center"/>
              <w:rPr>
                <w:sz w:val="18"/>
                <w:szCs w:val="20"/>
                <w:lang w:val="uk-UA"/>
              </w:rPr>
            </w:pPr>
            <w:r w:rsidRPr="00C22C49">
              <w:rPr>
                <w:sz w:val="18"/>
                <w:szCs w:val="20"/>
                <w:lang w:val="uk-UA"/>
              </w:rPr>
              <w:t>12,7</w:t>
            </w:r>
          </w:p>
        </w:tc>
        <w:tc>
          <w:tcPr>
            <w:tcW w:w="399" w:type="pct"/>
            <w:tcBorders>
              <w:top w:val="nil"/>
              <w:left w:val="nil"/>
              <w:bottom w:val="single" w:sz="4" w:space="0" w:color="auto"/>
              <w:right w:val="single" w:sz="4" w:space="0" w:color="auto"/>
            </w:tcBorders>
            <w:shd w:val="clear" w:color="auto" w:fill="auto"/>
            <w:noWrap/>
            <w:vAlign w:val="center"/>
            <w:hideMark/>
          </w:tcPr>
          <w:p w14:paraId="0896BD19" w14:textId="77777777" w:rsidR="004B743F" w:rsidRPr="00C22C49" w:rsidRDefault="004B743F" w:rsidP="004B743F">
            <w:pPr>
              <w:pStyle w:val="Table"/>
              <w:jc w:val="center"/>
              <w:rPr>
                <w:sz w:val="18"/>
                <w:szCs w:val="20"/>
                <w:lang w:val="uk-UA"/>
              </w:rPr>
            </w:pPr>
            <w:r w:rsidRPr="00C22C49">
              <w:rPr>
                <w:sz w:val="18"/>
                <w:szCs w:val="20"/>
                <w:lang w:val="uk-UA"/>
              </w:rPr>
              <w:t>13,0</w:t>
            </w:r>
          </w:p>
        </w:tc>
        <w:tc>
          <w:tcPr>
            <w:tcW w:w="400" w:type="pct"/>
            <w:tcBorders>
              <w:top w:val="nil"/>
              <w:left w:val="nil"/>
              <w:bottom w:val="single" w:sz="4" w:space="0" w:color="auto"/>
              <w:right w:val="single" w:sz="4" w:space="0" w:color="auto"/>
            </w:tcBorders>
            <w:shd w:val="clear" w:color="auto" w:fill="auto"/>
            <w:noWrap/>
            <w:vAlign w:val="center"/>
            <w:hideMark/>
          </w:tcPr>
          <w:p w14:paraId="0896BD1A" w14:textId="77777777" w:rsidR="004B743F" w:rsidRPr="00C22C49" w:rsidRDefault="004B743F" w:rsidP="004B743F">
            <w:pPr>
              <w:pStyle w:val="Table"/>
              <w:jc w:val="center"/>
              <w:rPr>
                <w:sz w:val="18"/>
                <w:szCs w:val="20"/>
                <w:lang w:val="uk-UA"/>
              </w:rPr>
            </w:pPr>
            <w:r w:rsidRPr="00C22C49">
              <w:rPr>
                <w:sz w:val="18"/>
                <w:szCs w:val="20"/>
                <w:lang w:val="uk-UA"/>
              </w:rPr>
              <w:t>13,3</w:t>
            </w:r>
          </w:p>
        </w:tc>
        <w:tc>
          <w:tcPr>
            <w:tcW w:w="399" w:type="pct"/>
            <w:tcBorders>
              <w:top w:val="nil"/>
              <w:left w:val="nil"/>
              <w:bottom w:val="single" w:sz="4" w:space="0" w:color="auto"/>
              <w:right w:val="single" w:sz="4" w:space="0" w:color="auto"/>
            </w:tcBorders>
            <w:shd w:val="clear" w:color="auto" w:fill="auto"/>
            <w:noWrap/>
            <w:vAlign w:val="center"/>
            <w:hideMark/>
          </w:tcPr>
          <w:p w14:paraId="0896BD1B" w14:textId="77777777" w:rsidR="004B743F" w:rsidRPr="00C22C49" w:rsidRDefault="004B743F" w:rsidP="004B743F">
            <w:pPr>
              <w:pStyle w:val="Table"/>
              <w:jc w:val="center"/>
              <w:rPr>
                <w:sz w:val="18"/>
                <w:szCs w:val="20"/>
                <w:lang w:val="uk-UA"/>
              </w:rPr>
            </w:pPr>
            <w:r w:rsidRPr="00C22C49">
              <w:rPr>
                <w:sz w:val="18"/>
                <w:szCs w:val="20"/>
                <w:lang w:val="uk-UA"/>
              </w:rPr>
              <w:t>13,5</w:t>
            </w:r>
          </w:p>
        </w:tc>
        <w:tc>
          <w:tcPr>
            <w:tcW w:w="398" w:type="pct"/>
            <w:tcBorders>
              <w:top w:val="nil"/>
              <w:left w:val="nil"/>
              <w:bottom w:val="single" w:sz="4" w:space="0" w:color="auto"/>
              <w:right w:val="single" w:sz="4" w:space="0" w:color="auto"/>
            </w:tcBorders>
            <w:shd w:val="clear" w:color="auto" w:fill="auto"/>
            <w:noWrap/>
            <w:vAlign w:val="center"/>
            <w:hideMark/>
          </w:tcPr>
          <w:p w14:paraId="0896BD1C" w14:textId="77777777" w:rsidR="004B743F" w:rsidRPr="00C22C49" w:rsidRDefault="004B743F" w:rsidP="004B743F">
            <w:pPr>
              <w:pStyle w:val="Table"/>
              <w:jc w:val="center"/>
              <w:rPr>
                <w:sz w:val="18"/>
                <w:szCs w:val="20"/>
                <w:lang w:val="uk-UA"/>
              </w:rPr>
            </w:pPr>
            <w:r w:rsidRPr="00C22C49">
              <w:rPr>
                <w:sz w:val="18"/>
                <w:szCs w:val="20"/>
                <w:lang w:val="uk-UA"/>
              </w:rPr>
              <w:t>13,7</w:t>
            </w:r>
          </w:p>
        </w:tc>
        <w:tc>
          <w:tcPr>
            <w:tcW w:w="399" w:type="pct"/>
            <w:tcBorders>
              <w:top w:val="nil"/>
              <w:left w:val="nil"/>
              <w:bottom w:val="single" w:sz="4" w:space="0" w:color="auto"/>
              <w:right w:val="single" w:sz="4" w:space="0" w:color="auto"/>
            </w:tcBorders>
            <w:shd w:val="clear" w:color="auto" w:fill="auto"/>
            <w:noWrap/>
            <w:vAlign w:val="center"/>
            <w:hideMark/>
          </w:tcPr>
          <w:p w14:paraId="0896BD1D" w14:textId="77777777" w:rsidR="004B743F" w:rsidRPr="00C22C49" w:rsidRDefault="004B743F" w:rsidP="004B743F">
            <w:pPr>
              <w:pStyle w:val="Table"/>
              <w:jc w:val="center"/>
              <w:rPr>
                <w:sz w:val="18"/>
                <w:szCs w:val="20"/>
                <w:lang w:val="uk-UA"/>
              </w:rPr>
            </w:pPr>
            <w:r w:rsidRPr="00C22C49">
              <w:rPr>
                <w:sz w:val="18"/>
                <w:szCs w:val="20"/>
                <w:lang w:val="uk-UA"/>
              </w:rPr>
              <w:t>14,1</w:t>
            </w:r>
          </w:p>
        </w:tc>
        <w:tc>
          <w:tcPr>
            <w:tcW w:w="397" w:type="pct"/>
            <w:tcBorders>
              <w:top w:val="nil"/>
              <w:left w:val="nil"/>
              <w:bottom w:val="single" w:sz="4" w:space="0" w:color="auto"/>
              <w:right w:val="single" w:sz="4" w:space="0" w:color="auto"/>
            </w:tcBorders>
            <w:shd w:val="clear" w:color="auto" w:fill="auto"/>
            <w:noWrap/>
            <w:vAlign w:val="center"/>
            <w:hideMark/>
          </w:tcPr>
          <w:p w14:paraId="0896BD1E" w14:textId="77777777" w:rsidR="004B743F" w:rsidRPr="00C22C49" w:rsidRDefault="004B743F" w:rsidP="004B743F">
            <w:pPr>
              <w:pStyle w:val="Table"/>
              <w:jc w:val="center"/>
              <w:rPr>
                <w:sz w:val="18"/>
                <w:szCs w:val="20"/>
                <w:lang w:val="uk-UA"/>
              </w:rPr>
            </w:pPr>
            <w:r w:rsidRPr="00C22C49">
              <w:rPr>
                <w:sz w:val="18"/>
                <w:szCs w:val="20"/>
                <w:lang w:val="uk-UA"/>
              </w:rPr>
              <w:t>14,4</w:t>
            </w:r>
          </w:p>
        </w:tc>
        <w:tc>
          <w:tcPr>
            <w:tcW w:w="398" w:type="pct"/>
            <w:tcBorders>
              <w:top w:val="nil"/>
              <w:left w:val="nil"/>
              <w:bottom w:val="single" w:sz="4" w:space="0" w:color="auto"/>
              <w:right w:val="single" w:sz="4" w:space="0" w:color="auto"/>
            </w:tcBorders>
            <w:shd w:val="clear" w:color="auto" w:fill="auto"/>
            <w:noWrap/>
            <w:vAlign w:val="center"/>
            <w:hideMark/>
          </w:tcPr>
          <w:p w14:paraId="0896BD1F" w14:textId="77777777" w:rsidR="004B743F" w:rsidRPr="00C22C49" w:rsidRDefault="004B743F" w:rsidP="004B743F">
            <w:pPr>
              <w:pStyle w:val="Table"/>
              <w:jc w:val="center"/>
              <w:rPr>
                <w:sz w:val="18"/>
                <w:szCs w:val="20"/>
                <w:lang w:val="uk-UA"/>
              </w:rPr>
            </w:pPr>
            <w:r w:rsidRPr="00C22C49">
              <w:rPr>
                <w:sz w:val="18"/>
                <w:szCs w:val="20"/>
                <w:lang w:val="uk-UA"/>
              </w:rPr>
              <w:t>14,6</w:t>
            </w:r>
          </w:p>
        </w:tc>
        <w:tc>
          <w:tcPr>
            <w:tcW w:w="398" w:type="pct"/>
            <w:tcBorders>
              <w:top w:val="nil"/>
              <w:left w:val="nil"/>
              <w:bottom w:val="single" w:sz="4" w:space="0" w:color="auto"/>
              <w:right w:val="single" w:sz="4" w:space="0" w:color="auto"/>
            </w:tcBorders>
            <w:shd w:val="clear" w:color="auto" w:fill="auto"/>
            <w:noWrap/>
            <w:vAlign w:val="center"/>
            <w:hideMark/>
          </w:tcPr>
          <w:p w14:paraId="0896BD20" w14:textId="77777777" w:rsidR="004B743F" w:rsidRPr="00C22C49" w:rsidRDefault="004B743F" w:rsidP="004B743F">
            <w:pPr>
              <w:pStyle w:val="Table"/>
              <w:jc w:val="center"/>
              <w:rPr>
                <w:sz w:val="18"/>
                <w:szCs w:val="20"/>
                <w:lang w:val="uk-UA"/>
              </w:rPr>
            </w:pPr>
            <w:r w:rsidRPr="00C22C49">
              <w:rPr>
                <w:sz w:val="18"/>
                <w:szCs w:val="20"/>
                <w:lang w:val="uk-UA"/>
              </w:rPr>
              <w:t>14,9</w:t>
            </w:r>
          </w:p>
        </w:tc>
        <w:tc>
          <w:tcPr>
            <w:tcW w:w="396" w:type="pct"/>
            <w:tcBorders>
              <w:top w:val="nil"/>
              <w:left w:val="nil"/>
              <w:bottom w:val="single" w:sz="4" w:space="0" w:color="auto"/>
              <w:right w:val="single" w:sz="4" w:space="0" w:color="auto"/>
            </w:tcBorders>
            <w:shd w:val="clear" w:color="auto" w:fill="auto"/>
            <w:noWrap/>
            <w:vAlign w:val="center"/>
            <w:hideMark/>
          </w:tcPr>
          <w:p w14:paraId="0896BD21" w14:textId="77777777" w:rsidR="004B743F" w:rsidRPr="00C22C49" w:rsidRDefault="004B743F" w:rsidP="004B743F">
            <w:pPr>
              <w:pStyle w:val="Table"/>
              <w:jc w:val="center"/>
              <w:rPr>
                <w:sz w:val="18"/>
                <w:szCs w:val="20"/>
                <w:lang w:val="uk-UA"/>
              </w:rPr>
            </w:pPr>
            <w:r w:rsidRPr="00C22C49">
              <w:rPr>
                <w:sz w:val="18"/>
                <w:szCs w:val="20"/>
                <w:lang w:val="uk-UA"/>
              </w:rPr>
              <w:t>15,1</w:t>
            </w:r>
          </w:p>
        </w:tc>
      </w:tr>
      <w:tr w:rsidR="004B743F" w:rsidRPr="00C22C49" w14:paraId="0896BD33" w14:textId="77777777" w:rsidTr="004B743F">
        <w:trPr>
          <w:trHeight w:val="528"/>
        </w:trPr>
        <w:tc>
          <w:tcPr>
            <w:tcW w:w="616" w:type="pct"/>
            <w:tcBorders>
              <w:top w:val="nil"/>
              <w:left w:val="single" w:sz="4" w:space="0" w:color="auto"/>
              <w:bottom w:val="single" w:sz="4" w:space="0" w:color="auto"/>
              <w:right w:val="single" w:sz="4" w:space="0" w:color="auto"/>
            </w:tcBorders>
            <w:shd w:val="clear" w:color="auto" w:fill="auto"/>
            <w:vAlign w:val="center"/>
            <w:hideMark/>
          </w:tcPr>
          <w:p w14:paraId="0896BD25" w14:textId="77777777" w:rsidR="004B743F" w:rsidRPr="00C22C49" w:rsidRDefault="004B743F" w:rsidP="002C15E2">
            <w:pPr>
              <w:pStyle w:val="Table"/>
              <w:rPr>
                <w:sz w:val="18"/>
                <w:szCs w:val="20"/>
                <w:lang w:val="uk-UA"/>
              </w:rPr>
            </w:pPr>
            <w:r w:rsidRPr="00C22C49">
              <w:rPr>
                <w:sz w:val="18"/>
                <w:szCs w:val="20"/>
                <w:lang w:val="uk-UA"/>
              </w:rPr>
              <w:t>Динаміка в % на особу до 2022 р.</w:t>
            </w:r>
          </w:p>
        </w:tc>
        <w:tc>
          <w:tcPr>
            <w:tcW w:w="399" w:type="pct"/>
            <w:tcBorders>
              <w:top w:val="nil"/>
              <w:left w:val="nil"/>
              <w:bottom w:val="single" w:sz="4" w:space="0" w:color="auto"/>
              <w:right w:val="single" w:sz="4" w:space="0" w:color="auto"/>
            </w:tcBorders>
            <w:shd w:val="clear" w:color="auto" w:fill="auto"/>
            <w:noWrap/>
            <w:vAlign w:val="center"/>
            <w:hideMark/>
          </w:tcPr>
          <w:p w14:paraId="0896BD26" w14:textId="77777777" w:rsidR="004B743F" w:rsidRPr="00C22C49" w:rsidRDefault="004B743F" w:rsidP="004B743F">
            <w:pPr>
              <w:pStyle w:val="Table"/>
              <w:jc w:val="center"/>
              <w:rPr>
                <w:sz w:val="18"/>
                <w:szCs w:val="20"/>
                <w:lang w:val="uk-UA"/>
              </w:rPr>
            </w:pPr>
            <w:r w:rsidRPr="00C22C49">
              <w:rPr>
                <w:sz w:val="18"/>
                <w:szCs w:val="20"/>
                <w:lang w:val="uk-UA"/>
              </w:rPr>
              <w:t>115,0</w:t>
            </w:r>
          </w:p>
        </w:tc>
        <w:tc>
          <w:tcPr>
            <w:tcW w:w="400" w:type="pct"/>
            <w:tcBorders>
              <w:top w:val="nil"/>
              <w:left w:val="nil"/>
              <w:bottom w:val="single" w:sz="4" w:space="0" w:color="auto"/>
              <w:right w:val="single" w:sz="4" w:space="0" w:color="auto"/>
            </w:tcBorders>
            <w:shd w:val="clear" w:color="auto" w:fill="auto"/>
            <w:noWrap/>
            <w:vAlign w:val="center"/>
            <w:hideMark/>
          </w:tcPr>
          <w:p w14:paraId="0896BD27" w14:textId="77777777" w:rsidR="004B743F" w:rsidRPr="00C22C49" w:rsidRDefault="004B743F" w:rsidP="004B743F">
            <w:pPr>
              <w:pStyle w:val="Table"/>
              <w:jc w:val="center"/>
              <w:rPr>
                <w:sz w:val="18"/>
                <w:szCs w:val="20"/>
                <w:lang w:val="uk-UA"/>
              </w:rPr>
            </w:pPr>
            <w:r w:rsidRPr="00C22C49">
              <w:rPr>
                <w:sz w:val="18"/>
                <w:szCs w:val="20"/>
                <w:lang w:val="uk-UA"/>
              </w:rPr>
              <w:t>117,3</w:t>
            </w:r>
          </w:p>
        </w:tc>
        <w:tc>
          <w:tcPr>
            <w:tcW w:w="399" w:type="pct"/>
            <w:tcBorders>
              <w:top w:val="nil"/>
              <w:left w:val="nil"/>
              <w:bottom w:val="single" w:sz="4" w:space="0" w:color="auto"/>
              <w:right w:val="single" w:sz="4" w:space="0" w:color="auto"/>
            </w:tcBorders>
            <w:shd w:val="clear" w:color="auto" w:fill="auto"/>
            <w:noWrap/>
            <w:vAlign w:val="center"/>
            <w:hideMark/>
          </w:tcPr>
          <w:p w14:paraId="0896BD28" w14:textId="77777777" w:rsidR="004B743F" w:rsidRPr="00C22C49" w:rsidRDefault="004B743F" w:rsidP="004B743F">
            <w:pPr>
              <w:pStyle w:val="Table"/>
              <w:jc w:val="center"/>
              <w:rPr>
                <w:sz w:val="18"/>
                <w:szCs w:val="20"/>
                <w:lang w:val="uk-UA"/>
              </w:rPr>
            </w:pPr>
            <w:r w:rsidRPr="00C22C49">
              <w:rPr>
                <w:sz w:val="18"/>
                <w:szCs w:val="20"/>
                <w:lang w:val="uk-UA"/>
              </w:rPr>
              <w:t>120,2</w:t>
            </w:r>
          </w:p>
        </w:tc>
        <w:tc>
          <w:tcPr>
            <w:tcW w:w="400" w:type="pct"/>
            <w:tcBorders>
              <w:top w:val="nil"/>
              <w:left w:val="nil"/>
              <w:bottom w:val="single" w:sz="4" w:space="0" w:color="auto"/>
              <w:right w:val="single" w:sz="4" w:space="0" w:color="auto"/>
            </w:tcBorders>
            <w:shd w:val="clear" w:color="auto" w:fill="auto"/>
            <w:noWrap/>
            <w:vAlign w:val="center"/>
            <w:hideMark/>
          </w:tcPr>
          <w:p w14:paraId="0896BD29" w14:textId="77777777" w:rsidR="004B743F" w:rsidRPr="00C22C49" w:rsidRDefault="004B743F" w:rsidP="004B743F">
            <w:pPr>
              <w:pStyle w:val="Table"/>
              <w:jc w:val="center"/>
              <w:rPr>
                <w:sz w:val="18"/>
                <w:szCs w:val="20"/>
                <w:lang w:val="uk-UA"/>
              </w:rPr>
            </w:pPr>
            <w:r w:rsidRPr="00C22C49">
              <w:rPr>
                <w:sz w:val="18"/>
                <w:szCs w:val="20"/>
                <w:lang w:val="uk-UA"/>
              </w:rPr>
              <w:t>122,6</w:t>
            </w:r>
          </w:p>
        </w:tc>
        <w:tc>
          <w:tcPr>
            <w:tcW w:w="399" w:type="pct"/>
            <w:tcBorders>
              <w:top w:val="nil"/>
              <w:left w:val="nil"/>
              <w:bottom w:val="single" w:sz="4" w:space="0" w:color="auto"/>
              <w:right w:val="single" w:sz="4" w:space="0" w:color="auto"/>
            </w:tcBorders>
            <w:shd w:val="clear" w:color="auto" w:fill="auto"/>
            <w:noWrap/>
            <w:vAlign w:val="center"/>
            <w:hideMark/>
          </w:tcPr>
          <w:p w14:paraId="0896BD2A" w14:textId="77777777" w:rsidR="004B743F" w:rsidRPr="00C22C49" w:rsidRDefault="004B743F" w:rsidP="004B743F">
            <w:pPr>
              <w:pStyle w:val="Table"/>
              <w:jc w:val="center"/>
              <w:rPr>
                <w:sz w:val="18"/>
                <w:szCs w:val="20"/>
                <w:lang w:val="uk-UA"/>
              </w:rPr>
            </w:pPr>
            <w:r w:rsidRPr="00C22C49">
              <w:rPr>
                <w:sz w:val="18"/>
                <w:szCs w:val="20"/>
                <w:lang w:val="uk-UA"/>
              </w:rPr>
              <w:t>124,5</w:t>
            </w:r>
          </w:p>
        </w:tc>
        <w:tc>
          <w:tcPr>
            <w:tcW w:w="398" w:type="pct"/>
            <w:tcBorders>
              <w:top w:val="nil"/>
              <w:left w:val="nil"/>
              <w:bottom w:val="single" w:sz="4" w:space="0" w:color="auto"/>
              <w:right w:val="single" w:sz="4" w:space="0" w:color="auto"/>
            </w:tcBorders>
            <w:shd w:val="clear" w:color="auto" w:fill="auto"/>
            <w:noWrap/>
            <w:vAlign w:val="center"/>
            <w:hideMark/>
          </w:tcPr>
          <w:p w14:paraId="0896BD2B" w14:textId="77777777" w:rsidR="004B743F" w:rsidRPr="00C22C49" w:rsidRDefault="004B743F" w:rsidP="004B743F">
            <w:pPr>
              <w:pStyle w:val="Table"/>
              <w:jc w:val="center"/>
              <w:rPr>
                <w:sz w:val="18"/>
                <w:szCs w:val="20"/>
                <w:lang w:val="uk-UA"/>
              </w:rPr>
            </w:pPr>
            <w:r w:rsidRPr="00C22C49">
              <w:rPr>
                <w:sz w:val="18"/>
                <w:szCs w:val="20"/>
                <w:lang w:val="uk-UA"/>
              </w:rPr>
              <w:t>127,0</w:t>
            </w:r>
          </w:p>
        </w:tc>
        <w:tc>
          <w:tcPr>
            <w:tcW w:w="399" w:type="pct"/>
            <w:tcBorders>
              <w:top w:val="nil"/>
              <w:left w:val="nil"/>
              <w:bottom w:val="single" w:sz="4" w:space="0" w:color="auto"/>
              <w:right w:val="single" w:sz="4" w:space="0" w:color="auto"/>
            </w:tcBorders>
            <w:shd w:val="clear" w:color="auto" w:fill="auto"/>
            <w:noWrap/>
            <w:vAlign w:val="center"/>
            <w:hideMark/>
          </w:tcPr>
          <w:p w14:paraId="0896BD2C" w14:textId="77777777" w:rsidR="004B743F" w:rsidRPr="00C22C49" w:rsidRDefault="004B743F" w:rsidP="004B743F">
            <w:pPr>
              <w:pStyle w:val="Table"/>
              <w:jc w:val="center"/>
              <w:rPr>
                <w:sz w:val="18"/>
                <w:szCs w:val="20"/>
                <w:lang w:val="uk-UA"/>
              </w:rPr>
            </w:pPr>
            <w:r w:rsidRPr="00C22C49">
              <w:rPr>
                <w:sz w:val="18"/>
                <w:szCs w:val="20"/>
                <w:lang w:val="uk-UA"/>
              </w:rPr>
              <w:t>130,1</w:t>
            </w:r>
          </w:p>
        </w:tc>
        <w:tc>
          <w:tcPr>
            <w:tcW w:w="397" w:type="pct"/>
            <w:tcBorders>
              <w:top w:val="nil"/>
              <w:left w:val="nil"/>
              <w:bottom w:val="single" w:sz="4" w:space="0" w:color="auto"/>
              <w:right w:val="single" w:sz="4" w:space="0" w:color="auto"/>
            </w:tcBorders>
            <w:shd w:val="clear" w:color="auto" w:fill="auto"/>
            <w:noWrap/>
            <w:vAlign w:val="center"/>
            <w:hideMark/>
          </w:tcPr>
          <w:p w14:paraId="0896BD2D" w14:textId="77777777" w:rsidR="004B743F" w:rsidRPr="00C22C49" w:rsidRDefault="004B743F" w:rsidP="004B743F">
            <w:pPr>
              <w:pStyle w:val="Table"/>
              <w:jc w:val="center"/>
              <w:rPr>
                <w:sz w:val="18"/>
                <w:szCs w:val="20"/>
                <w:lang w:val="uk-UA"/>
              </w:rPr>
            </w:pPr>
            <w:r w:rsidRPr="00C22C49">
              <w:rPr>
                <w:sz w:val="18"/>
                <w:szCs w:val="20"/>
                <w:lang w:val="uk-UA"/>
              </w:rPr>
              <w:t>132,7</w:t>
            </w:r>
          </w:p>
        </w:tc>
        <w:tc>
          <w:tcPr>
            <w:tcW w:w="398" w:type="pct"/>
            <w:tcBorders>
              <w:top w:val="nil"/>
              <w:left w:val="nil"/>
              <w:bottom w:val="single" w:sz="4" w:space="0" w:color="auto"/>
              <w:right w:val="single" w:sz="4" w:space="0" w:color="auto"/>
            </w:tcBorders>
            <w:shd w:val="clear" w:color="auto" w:fill="auto"/>
            <w:noWrap/>
            <w:vAlign w:val="center"/>
            <w:hideMark/>
          </w:tcPr>
          <w:p w14:paraId="0896BD2E" w14:textId="77777777" w:rsidR="004B743F" w:rsidRPr="00C22C49" w:rsidRDefault="004B743F" w:rsidP="004B743F">
            <w:pPr>
              <w:pStyle w:val="Table"/>
              <w:jc w:val="center"/>
              <w:rPr>
                <w:sz w:val="18"/>
                <w:szCs w:val="20"/>
                <w:lang w:val="uk-UA"/>
              </w:rPr>
            </w:pPr>
            <w:r w:rsidRPr="00C22C49">
              <w:rPr>
                <w:sz w:val="18"/>
                <w:szCs w:val="20"/>
                <w:lang w:val="uk-UA"/>
              </w:rPr>
              <w:t>134,7</w:t>
            </w:r>
          </w:p>
        </w:tc>
        <w:tc>
          <w:tcPr>
            <w:tcW w:w="398" w:type="pct"/>
            <w:tcBorders>
              <w:top w:val="nil"/>
              <w:left w:val="nil"/>
              <w:bottom w:val="single" w:sz="4" w:space="0" w:color="auto"/>
              <w:right w:val="single" w:sz="4" w:space="0" w:color="auto"/>
            </w:tcBorders>
            <w:shd w:val="clear" w:color="auto" w:fill="auto"/>
            <w:noWrap/>
            <w:vAlign w:val="center"/>
            <w:hideMark/>
          </w:tcPr>
          <w:p w14:paraId="0896BD2F" w14:textId="77777777" w:rsidR="004B743F" w:rsidRPr="00C22C49" w:rsidRDefault="004B743F" w:rsidP="004B743F">
            <w:pPr>
              <w:pStyle w:val="Table"/>
              <w:jc w:val="center"/>
              <w:rPr>
                <w:sz w:val="18"/>
                <w:szCs w:val="20"/>
                <w:lang w:val="uk-UA"/>
              </w:rPr>
            </w:pPr>
            <w:r w:rsidRPr="00C22C49">
              <w:rPr>
                <w:sz w:val="18"/>
                <w:szCs w:val="20"/>
                <w:lang w:val="uk-UA"/>
              </w:rPr>
              <w:t>137,4</w:t>
            </w:r>
          </w:p>
        </w:tc>
        <w:tc>
          <w:tcPr>
            <w:tcW w:w="396" w:type="pct"/>
            <w:tcBorders>
              <w:top w:val="nil"/>
              <w:left w:val="nil"/>
              <w:bottom w:val="single" w:sz="4" w:space="0" w:color="auto"/>
              <w:right w:val="single" w:sz="4" w:space="0" w:color="auto"/>
            </w:tcBorders>
            <w:shd w:val="clear" w:color="auto" w:fill="auto"/>
            <w:noWrap/>
            <w:vAlign w:val="center"/>
            <w:hideMark/>
          </w:tcPr>
          <w:p w14:paraId="0896BD30" w14:textId="77777777" w:rsidR="004B743F" w:rsidRPr="00C22C49" w:rsidRDefault="004B743F" w:rsidP="004B743F">
            <w:pPr>
              <w:pStyle w:val="Table"/>
              <w:jc w:val="center"/>
              <w:rPr>
                <w:sz w:val="18"/>
                <w:szCs w:val="20"/>
                <w:lang w:val="uk-UA"/>
              </w:rPr>
            </w:pPr>
            <w:r w:rsidRPr="00C22C49">
              <w:rPr>
                <w:sz w:val="18"/>
                <w:szCs w:val="20"/>
                <w:lang w:val="uk-UA"/>
              </w:rPr>
              <w:t>139,5</w:t>
            </w:r>
          </w:p>
        </w:tc>
      </w:tr>
    </w:tbl>
    <w:p w14:paraId="0896BD34" w14:textId="75B30C23" w:rsidR="00AF2246" w:rsidRPr="00C22C49" w:rsidRDefault="00AF2246" w:rsidP="005E4C42"/>
    <w:p w14:paraId="0896BD35" w14:textId="77777777" w:rsidR="00027349" w:rsidRPr="00C22C49" w:rsidRDefault="00F16545" w:rsidP="005E4C42">
      <w:r w:rsidRPr="00C22C49">
        <w:t>Прогнозовані фактичні обсяги утворення відпрацьованих олив практично не змінюються, але відбувається їх зростання в розрахунку на одну особу в кілограмах на рік. Дана тенденція свідчить про те, що виробнича, транспортна інфраструктура, сфера споживання розширюватимуться  та продукуватимуть більше відходів олив., а відповідно виникатиме потреба в їх регенерації – створенні цілісної мережі підприємств із збирання  та відновлення олив за участю підприємств-виробників та експортерів.</w:t>
      </w:r>
    </w:p>
    <w:p w14:paraId="0896BD36" w14:textId="77777777" w:rsidR="00F16545" w:rsidRPr="00C22C49" w:rsidRDefault="00F16545" w:rsidP="005E4C42"/>
    <w:p w14:paraId="0896BD37" w14:textId="77777777" w:rsidR="005E4C42" w:rsidRPr="00C22C49" w:rsidRDefault="00621A46" w:rsidP="00621A46">
      <w:pPr>
        <w:pStyle w:val="Heading5BOLDnumbered"/>
        <w:numPr>
          <w:ilvl w:val="0"/>
          <w:numId w:val="0"/>
        </w:numPr>
        <w:ind w:left="1287"/>
        <w:rPr>
          <w:rStyle w:val="affe"/>
          <w:iCs/>
          <w:lang w:val="uk-UA"/>
        </w:rPr>
      </w:pPr>
      <w:r w:rsidRPr="00C22C49">
        <w:rPr>
          <w:rStyle w:val="affe"/>
          <w:lang w:val="uk-UA"/>
        </w:rPr>
        <w:t>2.1.7.</w:t>
      </w:r>
      <w:r w:rsidRPr="00C22C49">
        <w:rPr>
          <w:rStyle w:val="affe"/>
          <w:iCs/>
          <w:lang w:val="uk-UA"/>
        </w:rPr>
        <w:t>6</w:t>
      </w:r>
      <w:r w:rsidRPr="00C22C49">
        <w:rPr>
          <w:rStyle w:val="affe"/>
          <w:lang w:val="uk-UA"/>
        </w:rPr>
        <w:t xml:space="preserve">. </w:t>
      </w:r>
      <w:r w:rsidR="005E4C42" w:rsidRPr="00C22C49">
        <w:rPr>
          <w:rStyle w:val="affe"/>
          <w:lang w:val="uk-UA"/>
        </w:rPr>
        <w:t>Відходи шин</w:t>
      </w:r>
    </w:p>
    <w:p w14:paraId="0896BD38" w14:textId="77777777" w:rsidR="00763C2C" w:rsidRPr="00C22C49" w:rsidRDefault="00763C2C" w:rsidP="005E4C42">
      <w:r w:rsidRPr="00C22C49">
        <w:t>В плановому періоді передбачається зростання обсягів утворення відпрацьованих шин, оскільки в останні роки спостерігається тенденція збільшення кількості транспортних засобів всіх типів та транспортних перевезень (пасажирів та вантажів) автомобільним транспортом всіх категорій як в межах України так і за її межами.</w:t>
      </w:r>
    </w:p>
    <w:p w14:paraId="0896BD39" w14:textId="2AF88B61" w:rsidR="00BC5CE9" w:rsidRPr="00C22C49" w:rsidRDefault="00BC5CE9" w:rsidP="00BC5CE9">
      <w:pPr>
        <w:pStyle w:val="ad"/>
        <w:rPr>
          <w:sz w:val="32"/>
          <w:lang w:val="uk-UA"/>
        </w:rPr>
      </w:pPr>
      <w:bookmarkStart w:id="31" w:name="_Toc142262263"/>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16</w:t>
      </w:r>
      <w:r w:rsidR="005E0A06" w:rsidRPr="00C22C49">
        <w:rPr>
          <w:lang w:val="uk-UA"/>
        </w:rPr>
        <w:fldChar w:fldCharType="end"/>
      </w:r>
      <w:r w:rsidRPr="00C22C49">
        <w:rPr>
          <w:lang w:val="uk-UA"/>
        </w:rPr>
        <w:t xml:space="preserve">. </w:t>
      </w:r>
      <w:r w:rsidRPr="00C22C49">
        <w:rPr>
          <w:lang w:val="uk-UA" w:eastAsia="uk-UA"/>
        </w:rPr>
        <w:t>Прогноз утворення відходів відпрацьованих (зношених) шин , (т/рік)</w:t>
      </w:r>
      <w:bookmarkEnd w:id="31"/>
    </w:p>
    <w:tbl>
      <w:tblPr>
        <w:tblW w:w="5000" w:type="pct"/>
        <w:tblLook w:val="04A0" w:firstRow="1" w:lastRow="0" w:firstColumn="1" w:lastColumn="0" w:noHBand="0" w:noVBand="1"/>
      </w:tblPr>
      <w:tblGrid>
        <w:gridCol w:w="1411"/>
        <w:gridCol w:w="801"/>
        <w:gridCol w:w="774"/>
        <w:gridCol w:w="774"/>
        <w:gridCol w:w="775"/>
        <w:gridCol w:w="775"/>
        <w:gridCol w:w="775"/>
        <w:gridCol w:w="775"/>
        <w:gridCol w:w="775"/>
        <w:gridCol w:w="775"/>
        <w:gridCol w:w="775"/>
        <w:gridCol w:w="771"/>
      </w:tblGrid>
      <w:tr w:rsidR="00EE3D79" w:rsidRPr="00C22C49" w14:paraId="0896BD48" w14:textId="77777777" w:rsidTr="00EE3D79">
        <w:trPr>
          <w:trHeight w:val="312"/>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6BD3A" w14:textId="5040017A" w:rsidR="00EE3D79" w:rsidRPr="00C22C49" w:rsidRDefault="00EE3D79" w:rsidP="004B743F">
            <w:pPr>
              <w:pStyle w:val="Table"/>
              <w:jc w:val="center"/>
              <w:rPr>
                <w:sz w:val="18"/>
                <w:szCs w:val="20"/>
                <w:lang w:val="uk-UA" w:eastAsia="uk-UA"/>
              </w:rPr>
            </w:pP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0896BD3B"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2023</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3C"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2024</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3D"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2025</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3E"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2026</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3F"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2027</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40"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2028</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41"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2029</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42"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2030</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43"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2031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896BD44"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2032</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896BD45" w14:textId="77777777" w:rsidR="00EE3D79" w:rsidRPr="00C22C49" w:rsidRDefault="00EE3D79" w:rsidP="004B743F">
            <w:pPr>
              <w:pStyle w:val="Table"/>
              <w:jc w:val="center"/>
              <w:rPr>
                <w:b/>
                <w:bCs/>
                <w:sz w:val="18"/>
                <w:szCs w:val="20"/>
                <w:lang w:val="uk-UA" w:eastAsia="uk-UA"/>
              </w:rPr>
            </w:pPr>
            <w:r w:rsidRPr="00C22C49">
              <w:rPr>
                <w:b/>
                <w:bCs/>
                <w:sz w:val="18"/>
                <w:szCs w:val="20"/>
                <w:lang w:val="uk-UA" w:eastAsia="uk-UA"/>
              </w:rPr>
              <w:t>2033</w:t>
            </w:r>
          </w:p>
        </w:tc>
      </w:tr>
      <w:tr w:rsidR="00EE3D79" w:rsidRPr="00C22C49" w14:paraId="0896BD57" w14:textId="77777777" w:rsidTr="00EE3D79">
        <w:trPr>
          <w:trHeight w:val="427"/>
        </w:trPr>
        <w:tc>
          <w:tcPr>
            <w:tcW w:w="709" w:type="pct"/>
            <w:tcBorders>
              <w:top w:val="nil"/>
              <w:left w:val="single" w:sz="4" w:space="0" w:color="auto"/>
              <w:bottom w:val="single" w:sz="4" w:space="0" w:color="auto"/>
              <w:right w:val="single" w:sz="4" w:space="0" w:color="auto"/>
            </w:tcBorders>
            <w:shd w:val="clear" w:color="auto" w:fill="auto"/>
            <w:vAlign w:val="center"/>
            <w:hideMark/>
          </w:tcPr>
          <w:p w14:paraId="0896BD49" w14:textId="77777777" w:rsidR="00EE3D79" w:rsidRPr="00C22C49" w:rsidRDefault="00EE3D79" w:rsidP="004B743F">
            <w:pPr>
              <w:pStyle w:val="Table"/>
              <w:jc w:val="center"/>
              <w:rPr>
                <w:sz w:val="18"/>
                <w:szCs w:val="20"/>
                <w:lang w:val="uk-UA" w:eastAsia="uk-UA"/>
              </w:rPr>
            </w:pPr>
            <w:r w:rsidRPr="00C22C49">
              <w:rPr>
                <w:sz w:val="18"/>
                <w:szCs w:val="20"/>
                <w:lang w:val="uk-UA" w:eastAsia="uk-UA"/>
              </w:rPr>
              <w:t>Усього т/рік</w:t>
            </w:r>
          </w:p>
        </w:tc>
        <w:tc>
          <w:tcPr>
            <w:tcW w:w="403" w:type="pct"/>
            <w:tcBorders>
              <w:top w:val="nil"/>
              <w:left w:val="nil"/>
              <w:bottom w:val="single" w:sz="4" w:space="0" w:color="auto"/>
              <w:right w:val="single" w:sz="4" w:space="0" w:color="auto"/>
            </w:tcBorders>
            <w:shd w:val="clear" w:color="auto" w:fill="auto"/>
            <w:noWrap/>
            <w:vAlign w:val="center"/>
            <w:hideMark/>
          </w:tcPr>
          <w:p w14:paraId="0896BD4A"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233,5</w:t>
            </w:r>
          </w:p>
        </w:tc>
        <w:tc>
          <w:tcPr>
            <w:tcW w:w="389" w:type="pct"/>
            <w:tcBorders>
              <w:top w:val="nil"/>
              <w:left w:val="nil"/>
              <w:bottom w:val="single" w:sz="4" w:space="0" w:color="auto"/>
              <w:right w:val="single" w:sz="4" w:space="0" w:color="auto"/>
            </w:tcBorders>
            <w:shd w:val="clear" w:color="auto" w:fill="auto"/>
            <w:noWrap/>
            <w:vAlign w:val="center"/>
            <w:hideMark/>
          </w:tcPr>
          <w:p w14:paraId="0896BD4B"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238,7</w:t>
            </w:r>
          </w:p>
        </w:tc>
        <w:tc>
          <w:tcPr>
            <w:tcW w:w="389" w:type="pct"/>
            <w:tcBorders>
              <w:top w:val="nil"/>
              <w:left w:val="nil"/>
              <w:bottom w:val="single" w:sz="4" w:space="0" w:color="auto"/>
              <w:right w:val="single" w:sz="4" w:space="0" w:color="auto"/>
            </w:tcBorders>
            <w:shd w:val="clear" w:color="auto" w:fill="auto"/>
            <w:noWrap/>
            <w:vAlign w:val="center"/>
            <w:hideMark/>
          </w:tcPr>
          <w:p w14:paraId="0896BD4C"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238,2</w:t>
            </w:r>
          </w:p>
        </w:tc>
        <w:tc>
          <w:tcPr>
            <w:tcW w:w="389" w:type="pct"/>
            <w:tcBorders>
              <w:top w:val="nil"/>
              <w:left w:val="nil"/>
              <w:bottom w:val="single" w:sz="4" w:space="0" w:color="auto"/>
              <w:right w:val="single" w:sz="4" w:space="0" w:color="auto"/>
            </w:tcBorders>
            <w:shd w:val="clear" w:color="auto" w:fill="auto"/>
            <w:noWrap/>
            <w:vAlign w:val="center"/>
            <w:hideMark/>
          </w:tcPr>
          <w:p w14:paraId="0896BD4D"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237,6</w:t>
            </w:r>
          </w:p>
        </w:tc>
        <w:tc>
          <w:tcPr>
            <w:tcW w:w="389" w:type="pct"/>
            <w:tcBorders>
              <w:top w:val="nil"/>
              <w:left w:val="nil"/>
              <w:bottom w:val="single" w:sz="4" w:space="0" w:color="auto"/>
              <w:right w:val="single" w:sz="4" w:space="0" w:color="auto"/>
            </w:tcBorders>
            <w:shd w:val="clear" w:color="auto" w:fill="auto"/>
            <w:noWrap/>
            <w:vAlign w:val="center"/>
            <w:hideMark/>
          </w:tcPr>
          <w:p w14:paraId="0896BD4E"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237,1</w:t>
            </w:r>
          </w:p>
        </w:tc>
        <w:tc>
          <w:tcPr>
            <w:tcW w:w="389" w:type="pct"/>
            <w:tcBorders>
              <w:top w:val="nil"/>
              <w:left w:val="nil"/>
              <w:bottom w:val="single" w:sz="4" w:space="0" w:color="auto"/>
              <w:right w:val="single" w:sz="4" w:space="0" w:color="auto"/>
            </w:tcBorders>
            <w:shd w:val="clear" w:color="auto" w:fill="auto"/>
            <w:noWrap/>
            <w:vAlign w:val="center"/>
            <w:hideMark/>
          </w:tcPr>
          <w:p w14:paraId="0896BD4F"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236,5</w:t>
            </w:r>
          </w:p>
        </w:tc>
        <w:tc>
          <w:tcPr>
            <w:tcW w:w="389" w:type="pct"/>
            <w:tcBorders>
              <w:top w:val="nil"/>
              <w:left w:val="nil"/>
              <w:bottom w:val="single" w:sz="4" w:space="0" w:color="auto"/>
              <w:right w:val="single" w:sz="4" w:space="0" w:color="auto"/>
            </w:tcBorders>
            <w:shd w:val="clear" w:color="auto" w:fill="auto"/>
            <w:noWrap/>
            <w:vAlign w:val="center"/>
            <w:hideMark/>
          </w:tcPr>
          <w:p w14:paraId="0896BD50"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235,9</w:t>
            </w:r>
          </w:p>
        </w:tc>
        <w:tc>
          <w:tcPr>
            <w:tcW w:w="389" w:type="pct"/>
            <w:tcBorders>
              <w:top w:val="nil"/>
              <w:left w:val="nil"/>
              <w:bottom w:val="single" w:sz="4" w:space="0" w:color="auto"/>
              <w:right w:val="single" w:sz="4" w:space="0" w:color="auto"/>
            </w:tcBorders>
            <w:shd w:val="clear" w:color="auto" w:fill="auto"/>
            <w:noWrap/>
            <w:vAlign w:val="center"/>
            <w:hideMark/>
          </w:tcPr>
          <w:p w14:paraId="0896BD51"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235,3</w:t>
            </w:r>
          </w:p>
        </w:tc>
        <w:tc>
          <w:tcPr>
            <w:tcW w:w="389" w:type="pct"/>
            <w:tcBorders>
              <w:top w:val="nil"/>
              <w:left w:val="nil"/>
              <w:bottom w:val="single" w:sz="4" w:space="0" w:color="auto"/>
              <w:right w:val="single" w:sz="4" w:space="0" w:color="auto"/>
            </w:tcBorders>
            <w:shd w:val="clear" w:color="auto" w:fill="auto"/>
            <w:noWrap/>
            <w:vAlign w:val="center"/>
            <w:hideMark/>
          </w:tcPr>
          <w:p w14:paraId="0896BD52"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234,8</w:t>
            </w:r>
          </w:p>
        </w:tc>
        <w:tc>
          <w:tcPr>
            <w:tcW w:w="389" w:type="pct"/>
            <w:tcBorders>
              <w:top w:val="nil"/>
              <w:left w:val="nil"/>
              <w:bottom w:val="single" w:sz="4" w:space="0" w:color="auto"/>
              <w:right w:val="single" w:sz="4" w:space="0" w:color="auto"/>
            </w:tcBorders>
            <w:shd w:val="clear" w:color="auto" w:fill="auto"/>
            <w:noWrap/>
            <w:vAlign w:val="center"/>
            <w:hideMark/>
          </w:tcPr>
          <w:p w14:paraId="0896BD53"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234,1</w:t>
            </w:r>
          </w:p>
        </w:tc>
        <w:tc>
          <w:tcPr>
            <w:tcW w:w="388" w:type="pct"/>
            <w:tcBorders>
              <w:top w:val="nil"/>
              <w:left w:val="nil"/>
              <w:bottom w:val="single" w:sz="4" w:space="0" w:color="auto"/>
              <w:right w:val="single" w:sz="4" w:space="0" w:color="auto"/>
            </w:tcBorders>
            <w:shd w:val="clear" w:color="auto" w:fill="auto"/>
            <w:noWrap/>
            <w:vAlign w:val="center"/>
            <w:hideMark/>
          </w:tcPr>
          <w:p w14:paraId="0896BD54" w14:textId="77777777" w:rsidR="00EE3D79" w:rsidRPr="00C22C49" w:rsidRDefault="00EE3D79" w:rsidP="004B743F">
            <w:pPr>
              <w:pStyle w:val="Table"/>
              <w:jc w:val="center"/>
              <w:rPr>
                <w:sz w:val="18"/>
                <w:szCs w:val="20"/>
                <w:lang w:val="uk-UA" w:eastAsia="uk-UA"/>
              </w:rPr>
            </w:pPr>
            <w:r w:rsidRPr="00C22C49">
              <w:rPr>
                <w:sz w:val="18"/>
                <w:szCs w:val="20"/>
                <w:lang w:val="uk-UA" w:eastAsia="uk-UA"/>
              </w:rPr>
              <w:t>233,5</w:t>
            </w:r>
          </w:p>
        </w:tc>
      </w:tr>
      <w:tr w:rsidR="00EE3D79" w:rsidRPr="00C22C49" w14:paraId="0896BD66" w14:textId="77777777" w:rsidTr="00EE3D79">
        <w:trPr>
          <w:trHeight w:val="588"/>
        </w:trPr>
        <w:tc>
          <w:tcPr>
            <w:tcW w:w="709" w:type="pct"/>
            <w:tcBorders>
              <w:top w:val="nil"/>
              <w:left w:val="single" w:sz="4" w:space="0" w:color="auto"/>
              <w:bottom w:val="single" w:sz="4" w:space="0" w:color="auto"/>
              <w:right w:val="single" w:sz="4" w:space="0" w:color="auto"/>
            </w:tcBorders>
            <w:shd w:val="clear" w:color="auto" w:fill="auto"/>
            <w:vAlign w:val="center"/>
            <w:hideMark/>
          </w:tcPr>
          <w:p w14:paraId="0896BD58" w14:textId="77777777" w:rsidR="00EE3D79" w:rsidRPr="00C22C49" w:rsidRDefault="00EE3D79" w:rsidP="004B743F">
            <w:pPr>
              <w:pStyle w:val="Table"/>
              <w:jc w:val="center"/>
              <w:rPr>
                <w:sz w:val="18"/>
                <w:szCs w:val="20"/>
                <w:lang w:val="uk-UA" w:eastAsia="uk-UA"/>
              </w:rPr>
            </w:pPr>
            <w:r w:rsidRPr="00C22C49">
              <w:rPr>
                <w:sz w:val="18"/>
                <w:szCs w:val="20"/>
                <w:lang w:val="uk-UA" w:eastAsia="uk-UA"/>
              </w:rPr>
              <w:t>Динаміка, в % до 2022 р.</w:t>
            </w:r>
          </w:p>
        </w:tc>
        <w:tc>
          <w:tcPr>
            <w:tcW w:w="403" w:type="pct"/>
            <w:tcBorders>
              <w:top w:val="nil"/>
              <w:left w:val="nil"/>
              <w:bottom w:val="single" w:sz="4" w:space="0" w:color="auto"/>
              <w:right w:val="single" w:sz="4" w:space="0" w:color="auto"/>
            </w:tcBorders>
            <w:shd w:val="clear" w:color="auto" w:fill="auto"/>
            <w:noWrap/>
            <w:vAlign w:val="center"/>
            <w:hideMark/>
          </w:tcPr>
          <w:p w14:paraId="0896BD59"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101,0%</w:t>
            </w:r>
          </w:p>
        </w:tc>
        <w:tc>
          <w:tcPr>
            <w:tcW w:w="389" w:type="pct"/>
            <w:tcBorders>
              <w:top w:val="nil"/>
              <w:left w:val="nil"/>
              <w:bottom w:val="single" w:sz="4" w:space="0" w:color="auto"/>
              <w:right w:val="single" w:sz="4" w:space="0" w:color="auto"/>
            </w:tcBorders>
            <w:shd w:val="clear" w:color="auto" w:fill="auto"/>
            <w:noWrap/>
            <w:vAlign w:val="center"/>
            <w:hideMark/>
          </w:tcPr>
          <w:p w14:paraId="0896BD5A"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102,2%</w:t>
            </w:r>
          </w:p>
        </w:tc>
        <w:tc>
          <w:tcPr>
            <w:tcW w:w="389" w:type="pct"/>
            <w:tcBorders>
              <w:top w:val="nil"/>
              <w:left w:val="nil"/>
              <w:bottom w:val="single" w:sz="4" w:space="0" w:color="auto"/>
              <w:right w:val="single" w:sz="4" w:space="0" w:color="auto"/>
            </w:tcBorders>
            <w:shd w:val="clear" w:color="auto" w:fill="auto"/>
            <w:noWrap/>
            <w:vAlign w:val="center"/>
            <w:hideMark/>
          </w:tcPr>
          <w:p w14:paraId="0896BD5B"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99,8%</w:t>
            </w:r>
          </w:p>
        </w:tc>
        <w:tc>
          <w:tcPr>
            <w:tcW w:w="389" w:type="pct"/>
            <w:tcBorders>
              <w:top w:val="nil"/>
              <w:left w:val="nil"/>
              <w:bottom w:val="single" w:sz="4" w:space="0" w:color="auto"/>
              <w:right w:val="single" w:sz="4" w:space="0" w:color="auto"/>
            </w:tcBorders>
            <w:shd w:val="clear" w:color="auto" w:fill="auto"/>
            <w:noWrap/>
            <w:vAlign w:val="center"/>
            <w:hideMark/>
          </w:tcPr>
          <w:p w14:paraId="0896BD5C"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99,8%</w:t>
            </w:r>
          </w:p>
        </w:tc>
        <w:tc>
          <w:tcPr>
            <w:tcW w:w="389" w:type="pct"/>
            <w:tcBorders>
              <w:top w:val="nil"/>
              <w:left w:val="nil"/>
              <w:bottom w:val="single" w:sz="4" w:space="0" w:color="auto"/>
              <w:right w:val="single" w:sz="4" w:space="0" w:color="auto"/>
            </w:tcBorders>
            <w:shd w:val="clear" w:color="auto" w:fill="auto"/>
            <w:noWrap/>
            <w:vAlign w:val="center"/>
            <w:hideMark/>
          </w:tcPr>
          <w:p w14:paraId="0896BD5D"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99,8%</w:t>
            </w:r>
          </w:p>
        </w:tc>
        <w:tc>
          <w:tcPr>
            <w:tcW w:w="389" w:type="pct"/>
            <w:tcBorders>
              <w:top w:val="nil"/>
              <w:left w:val="nil"/>
              <w:bottom w:val="single" w:sz="4" w:space="0" w:color="auto"/>
              <w:right w:val="single" w:sz="4" w:space="0" w:color="auto"/>
            </w:tcBorders>
            <w:shd w:val="clear" w:color="auto" w:fill="auto"/>
            <w:noWrap/>
            <w:vAlign w:val="center"/>
            <w:hideMark/>
          </w:tcPr>
          <w:p w14:paraId="0896BD5E"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99,8%</w:t>
            </w:r>
          </w:p>
        </w:tc>
        <w:tc>
          <w:tcPr>
            <w:tcW w:w="389" w:type="pct"/>
            <w:tcBorders>
              <w:top w:val="nil"/>
              <w:left w:val="nil"/>
              <w:bottom w:val="single" w:sz="4" w:space="0" w:color="auto"/>
              <w:right w:val="single" w:sz="4" w:space="0" w:color="auto"/>
            </w:tcBorders>
            <w:shd w:val="clear" w:color="auto" w:fill="auto"/>
            <w:noWrap/>
            <w:vAlign w:val="center"/>
            <w:hideMark/>
          </w:tcPr>
          <w:p w14:paraId="0896BD5F"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99,8%</w:t>
            </w:r>
          </w:p>
        </w:tc>
        <w:tc>
          <w:tcPr>
            <w:tcW w:w="389" w:type="pct"/>
            <w:tcBorders>
              <w:top w:val="nil"/>
              <w:left w:val="nil"/>
              <w:bottom w:val="single" w:sz="4" w:space="0" w:color="auto"/>
              <w:right w:val="single" w:sz="4" w:space="0" w:color="auto"/>
            </w:tcBorders>
            <w:shd w:val="clear" w:color="auto" w:fill="auto"/>
            <w:noWrap/>
            <w:vAlign w:val="center"/>
            <w:hideMark/>
          </w:tcPr>
          <w:p w14:paraId="0896BD60"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99,8%</w:t>
            </w:r>
          </w:p>
        </w:tc>
        <w:tc>
          <w:tcPr>
            <w:tcW w:w="389" w:type="pct"/>
            <w:tcBorders>
              <w:top w:val="nil"/>
              <w:left w:val="nil"/>
              <w:bottom w:val="single" w:sz="4" w:space="0" w:color="auto"/>
              <w:right w:val="single" w:sz="4" w:space="0" w:color="auto"/>
            </w:tcBorders>
            <w:shd w:val="clear" w:color="auto" w:fill="auto"/>
            <w:noWrap/>
            <w:vAlign w:val="center"/>
            <w:hideMark/>
          </w:tcPr>
          <w:p w14:paraId="0896BD61"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99,7%</w:t>
            </w:r>
          </w:p>
        </w:tc>
        <w:tc>
          <w:tcPr>
            <w:tcW w:w="389" w:type="pct"/>
            <w:tcBorders>
              <w:top w:val="nil"/>
              <w:left w:val="nil"/>
              <w:bottom w:val="single" w:sz="4" w:space="0" w:color="auto"/>
              <w:right w:val="single" w:sz="4" w:space="0" w:color="auto"/>
            </w:tcBorders>
            <w:shd w:val="clear" w:color="auto" w:fill="auto"/>
            <w:noWrap/>
            <w:vAlign w:val="center"/>
            <w:hideMark/>
          </w:tcPr>
          <w:p w14:paraId="0896BD62"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99,7%</w:t>
            </w:r>
          </w:p>
        </w:tc>
        <w:tc>
          <w:tcPr>
            <w:tcW w:w="388" w:type="pct"/>
            <w:tcBorders>
              <w:top w:val="nil"/>
              <w:left w:val="nil"/>
              <w:bottom w:val="single" w:sz="4" w:space="0" w:color="auto"/>
              <w:right w:val="single" w:sz="4" w:space="0" w:color="auto"/>
            </w:tcBorders>
            <w:shd w:val="clear" w:color="auto" w:fill="auto"/>
            <w:noWrap/>
            <w:vAlign w:val="center"/>
            <w:hideMark/>
          </w:tcPr>
          <w:p w14:paraId="0896BD63" w14:textId="77777777" w:rsidR="00EE3D79" w:rsidRPr="00C22C49" w:rsidRDefault="00EE3D79" w:rsidP="004B743F">
            <w:pPr>
              <w:pStyle w:val="Table"/>
              <w:jc w:val="center"/>
              <w:rPr>
                <w:sz w:val="18"/>
                <w:szCs w:val="20"/>
                <w:lang w:val="uk-UA" w:eastAsia="uk-UA"/>
              </w:rPr>
            </w:pPr>
            <w:r w:rsidRPr="00C22C49">
              <w:rPr>
                <w:sz w:val="18"/>
                <w:szCs w:val="20"/>
                <w:lang w:val="uk-UA" w:eastAsia="uk-UA"/>
              </w:rPr>
              <w:t>99,7%</w:t>
            </w:r>
          </w:p>
        </w:tc>
      </w:tr>
      <w:tr w:rsidR="00EE3D79" w:rsidRPr="00C22C49" w14:paraId="0896BD75" w14:textId="77777777" w:rsidTr="00EE3D79">
        <w:trPr>
          <w:trHeight w:val="671"/>
        </w:trPr>
        <w:tc>
          <w:tcPr>
            <w:tcW w:w="709" w:type="pct"/>
            <w:tcBorders>
              <w:top w:val="nil"/>
              <w:left w:val="single" w:sz="4" w:space="0" w:color="auto"/>
              <w:bottom w:val="single" w:sz="4" w:space="0" w:color="auto"/>
              <w:right w:val="single" w:sz="4" w:space="0" w:color="auto"/>
            </w:tcBorders>
            <w:shd w:val="clear" w:color="auto" w:fill="auto"/>
            <w:vAlign w:val="center"/>
            <w:hideMark/>
          </w:tcPr>
          <w:p w14:paraId="0896BD67" w14:textId="77777777" w:rsidR="00EE3D79" w:rsidRPr="00C22C49" w:rsidRDefault="00EE3D79" w:rsidP="004B743F">
            <w:pPr>
              <w:pStyle w:val="Table"/>
              <w:jc w:val="center"/>
              <w:rPr>
                <w:sz w:val="18"/>
                <w:szCs w:val="20"/>
                <w:lang w:val="uk-UA" w:eastAsia="uk-UA"/>
              </w:rPr>
            </w:pPr>
            <w:r w:rsidRPr="00C22C49">
              <w:rPr>
                <w:sz w:val="18"/>
                <w:szCs w:val="20"/>
                <w:lang w:val="uk-UA" w:eastAsia="uk-UA"/>
              </w:rPr>
              <w:t>в розрахунку на особу, кг/рік</w:t>
            </w:r>
          </w:p>
        </w:tc>
        <w:tc>
          <w:tcPr>
            <w:tcW w:w="403" w:type="pct"/>
            <w:tcBorders>
              <w:top w:val="nil"/>
              <w:left w:val="nil"/>
              <w:bottom w:val="single" w:sz="4" w:space="0" w:color="auto"/>
              <w:right w:val="single" w:sz="4" w:space="0" w:color="auto"/>
            </w:tcBorders>
            <w:shd w:val="clear" w:color="auto" w:fill="auto"/>
            <w:noWrap/>
            <w:vAlign w:val="center"/>
            <w:hideMark/>
          </w:tcPr>
          <w:p w14:paraId="0896BD68" w14:textId="77777777" w:rsidR="00EE3D79" w:rsidRPr="00C22C49" w:rsidRDefault="00EE3D79" w:rsidP="004B743F">
            <w:pPr>
              <w:pStyle w:val="Table"/>
              <w:jc w:val="center"/>
              <w:rPr>
                <w:sz w:val="18"/>
                <w:szCs w:val="20"/>
                <w:lang w:val="uk-UA" w:eastAsia="uk-UA"/>
              </w:rPr>
            </w:pPr>
            <w:r w:rsidRPr="00C22C49">
              <w:rPr>
                <w:sz w:val="18"/>
                <w:szCs w:val="20"/>
                <w:lang w:val="uk-UA" w:eastAsia="uk-UA"/>
              </w:rPr>
              <w:t>6,6</w:t>
            </w:r>
          </w:p>
        </w:tc>
        <w:tc>
          <w:tcPr>
            <w:tcW w:w="389" w:type="pct"/>
            <w:tcBorders>
              <w:top w:val="nil"/>
              <w:left w:val="nil"/>
              <w:bottom w:val="single" w:sz="4" w:space="0" w:color="auto"/>
              <w:right w:val="single" w:sz="4" w:space="0" w:color="auto"/>
            </w:tcBorders>
            <w:shd w:val="clear" w:color="auto" w:fill="auto"/>
            <w:noWrap/>
            <w:vAlign w:val="center"/>
            <w:hideMark/>
          </w:tcPr>
          <w:p w14:paraId="0896BD69" w14:textId="77777777" w:rsidR="00EE3D79" w:rsidRPr="00C22C49" w:rsidRDefault="00EE3D79" w:rsidP="004B743F">
            <w:pPr>
              <w:pStyle w:val="Table"/>
              <w:jc w:val="center"/>
              <w:rPr>
                <w:sz w:val="18"/>
                <w:szCs w:val="20"/>
                <w:lang w:val="uk-UA" w:eastAsia="uk-UA"/>
              </w:rPr>
            </w:pPr>
            <w:r w:rsidRPr="00C22C49">
              <w:rPr>
                <w:sz w:val="18"/>
                <w:szCs w:val="20"/>
                <w:lang w:val="uk-UA" w:eastAsia="uk-UA"/>
              </w:rPr>
              <w:t>6,9</w:t>
            </w:r>
          </w:p>
        </w:tc>
        <w:tc>
          <w:tcPr>
            <w:tcW w:w="389" w:type="pct"/>
            <w:tcBorders>
              <w:top w:val="nil"/>
              <w:left w:val="nil"/>
              <w:bottom w:val="single" w:sz="4" w:space="0" w:color="auto"/>
              <w:right w:val="single" w:sz="4" w:space="0" w:color="auto"/>
            </w:tcBorders>
            <w:shd w:val="clear" w:color="auto" w:fill="auto"/>
            <w:noWrap/>
            <w:vAlign w:val="center"/>
            <w:hideMark/>
          </w:tcPr>
          <w:p w14:paraId="0896BD6A" w14:textId="77777777" w:rsidR="00EE3D79" w:rsidRPr="00C22C49" w:rsidRDefault="00EE3D79" w:rsidP="004B743F">
            <w:pPr>
              <w:pStyle w:val="Table"/>
              <w:jc w:val="center"/>
              <w:rPr>
                <w:sz w:val="18"/>
                <w:szCs w:val="20"/>
                <w:lang w:val="uk-UA" w:eastAsia="uk-UA"/>
              </w:rPr>
            </w:pPr>
            <w:r w:rsidRPr="00C22C49">
              <w:rPr>
                <w:sz w:val="18"/>
                <w:szCs w:val="20"/>
                <w:lang w:val="uk-UA" w:eastAsia="uk-UA"/>
              </w:rPr>
              <w:t>7,1</w:t>
            </w:r>
          </w:p>
        </w:tc>
        <w:tc>
          <w:tcPr>
            <w:tcW w:w="389" w:type="pct"/>
            <w:tcBorders>
              <w:top w:val="nil"/>
              <w:left w:val="nil"/>
              <w:bottom w:val="single" w:sz="4" w:space="0" w:color="auto"/>
              <w:right w:val="single" w:sz="4" w:space="0" w:color="auto"/>
            </w:tcBorders>
            <w:shd w:val="clear" w:color="auto" w:fill="auto"/>
            <w:noWrap/>
            <w:vAlign w:val="center"/>
            <w:hideMark/>
          </w:tcPr>
          <w:p w14:paraId="0896BD6B" w14:textId="77777777" w:rsidR="00EE3D79" w:rsidRPr="00C22C49" w:rsidRDefault="00EE3D79" w:rsidP="004B743F">
            <w:pPr>
              <w:pStyle w:val="Table"/>
              <w:jc w:val="center"/>
              <w:rPr>
                <w:sz w:val="18"/>
                <w:szCs w:val="20"/>
                <w:lang w:val="uk-UA" w:eastAsia="uk-UA"/>
              </w:rPr>
            </w:pPr>
            <w:r w:rsidRPr="00C22C49">
              <w:rPr>
                <w:sz w:val="18"/>
                <w:szCs w:val="20"/>
                <w:lang w:val="uk-UA" w:eastAsia="uk-UA"/>
              </w:rPr>
              <w:t>7,3</w:t>
            </w:r>
          </w:p>
        </w:tc>
        <w:tc>
          <w:tcPr>
            <w:tcW w:w="389" w:type="pct"/>
            <w:tcBorders>
              <w:top w:val="nil"/>
              <w:left w:val="nil"/>
              <w:bottom w:val="single" w:sz="4" w:space="0" w:color="auto"/>
              <w:right w:val="single" w:sz="4" w:space="0" w:color="auto"/>
            </w:tcBorders>
            <w:shd w:val="clear" w:color="auto" w:fill="auto"/>
            <w:noWrap/>
            <w:vAlign w:val="center"/>
            <w:hideMark/>
          </w:tcPr>
          <w:p w14:paraId="0896BD6C" w14:textId="77777777" w:rsidR="00EE3D79" w:rsidRPr="00C22C49" w:rsidRDefault="00EE3D79" w:rsidP="004B743F">
            <w:pPr>
              <w:pStyle w:val="Table"/>
              <w:jc w:val="center"/>
              <w:rPr>
                <w:sz w:val="18"/>
                <w:szCs w:val="20"/>
                <w:lang w:val="uk-UA" w:eastAsia="uk-UA"/>
              </w:rPr>
            </w:pPr>
            <w:r w:rsidRPr="00C22C49">
              <w:rPr>
                <w:sz w:val="18"/>
                <w:szCs w:val="20"/>
                <w:lang w:val="uk-UA" w:eastAsia="uk-UA"/>
              </w:rPr>
              <w:t>7,5</w:t>
            </w:r>
          </w:p>
        </w:tc>
        <w:tc>
          <w:tcPr>
            <w:tcW w:w="389" w:type="pct"/>
            <w:tcBorders>
              <w:top w:val="nil"/>
              <w:left w:val="nil"/>
              <w:bottom w:val="single" w:sz="4" w:space="0" w:color="auto"/>
              <w:right w:val="single" w:sz="4" w:space="0" w:color="auto"/>
            </w:tcBorders>
            <w:shd w:val="clear" w:color="auto" w:fill="auto"/>
            <w:noWrap/>
            <w:vAlign w:val="center"/>
            <w:hideMark/>
          </w:tcPr>
          <w:p w14:paraId="0896BD6D" w14:textId="77777777" w:rsidR="00EE3D79" w:rsidRPr="00C22C49" w:rsidRDefault="00EE3D79" w:rsidP="004B743F">
            <w:pPr>
              <w:pStyle w:val="Table"/>
              <w:jc w:val="center"/>
              <w:rPr>
                <w:sz w:val="18"/>
                <w:szCs w:val="20"/>
                <w:lang w:val="uk-UA" w:eastAsia="uk-UA"/>
              </w:rPr>
            </w:pPr>
            <w:r w:rsidRPr="00C22C49">
              <w:rPr>
                <w:sz w:val="18"/>
                <w:szCs w:val="20"/>
                <w:lang w:val="uk-UA" w:eastAsia="uk-UA"/>
              </w:rPr>
              <w:t>7,6</w:t>
            </w:r>
          </w:p>
        </w:tc>
        <w:tc>
          <w:tcPr>
            <w:tcW w:w="389" w:type="pct"/>
            <w:tcBorders>
              <w:top w:val="nil"/>
              <w:left w:val="nil"/>
              <w:bottom w:val="single" w:sz="4" w:space="0" w:color="auto"/>
              <w:right w:val="single" w:sz="4" w:space="0" w:color="auto"/>
            </w:tcBorders>
            <w:shd w:val="clear" w:color="auto" w:fill="auto"/>
            <w:noWrap/>
            <w:vAlign w:val="center"/>
            <w:hideMark/>
          </w:tcPr>
          <w:p w14:paraId="0896BD6E" w14:textId="77777777" w:rsidR="00EE3D79" w:rsidRPr="00C22C49" w:rsidRDefault="00EE3D79" w:rsidP="004B743F">
            <w:pPr>
              <w:pStyle w:val="Table"/>
              <w:jc w:val="center"/>
              <w:rPr>
                <w:sz w:val="18"/>
                <w:szCs w:val="20"/>
                <w:lang w:val="uk-UA" w:eastAsia="uk-UA"/>
              </w:rPr>
            </w:pPr>
            <w:r w:rsidRPr="00C22C49">
              <w:rPr>
                <w:sz w:val="18"/>
                <w:szCs w:val="20"/>
                <w:lang w:val="uk-UA" w:eastAsia="uk-UA"/>
              </w:rPr>
              <w:t>7,8</w:t>
            </w:r>
          </w:p>
        </w:tc>
        <w:tc>
          <w:tcPr>
            <w:tcW w:w="389" w:type="pct"/>
            <w:tcBorders>
              <w:top w:val="nil"/>
              <w:left w:val="nil"/>
              <w:bottom w:val="single" w:sz="4" w:space="0" w:color="auto"/>
              <w:right w:val="single" w:sz="4" w:space="0" w:color="auto"/>
            </w:tcBorders>
            <w:shd w:val="clear" w:color="auto" w:fill="auto"/>
            <w:noWrap/>
            <w:vAlign w:val="center"/>
            <w:hideMark/>
          </w:tcPr>
          <w:p w14:paraId="0896BD6F" w14:textId="77777777" w:rsidR="00EE3D79" w:rsidRPr="00C22C49" w:rsidRDefault="00EE3D79" w:rsidP="004B743F">
            <w:pPr>
              <w:pStyle w:val="Table"/>
              <w:jc w:val="center"/>
              <w:rPr>
                <w:sz w:val="18"/>
                <w:szCs w:val="20"/>
                <w:lang w:val="uk-UA" w:eastAsia="uk-UA"/>
              </w:rPr>
            </w:pPr>
            <w:r w:rsidRPr="00C22C49">
              <w:rPr>
                <w:sz w:val="18"/>
                <w:szCs w:val="20"/>
                <w:lang w:val="uk-UA" w:eastAsia="uk-UA"/>
              </w:rPr>
              <w:t>8,0</w:t>
            </w:r>
          </w:p>
        </w:tc>
        <w:tc>
          <w:tcPr>
            <w:tcW w:w="389" w:type="pct"/>
            <w:tcBorders>
              <w:top w:val="nil"/>
              <w:left w:val="nil"/>
              <w:bottom w:val="single" w:sz="4" w:space="0" w:color="auto"/>
              <w:right w:val="single" w:sz="4" w:space="0" w:color="auto"/>
            </w:tcBorders>
            <w:shd w:val="clear" w:color="auto" w:fill="auto"/>
            <w:noWrap/>
            <w:vAlign w:val="center"/>
            <w:hideMark/>
          </w:tcPr>
          <w:p w14:paraId="0896BD70" w14:textId="77777777" w:rsidR="00EE3D79" w:rsidRPr="00C22C49" w:rsidRDefault="00EE3D79" w:rsidP="004B743F">
            <w:pPr>
              <w:pStyle w:val="Table"/>
              <w:jc w:val="center"/>
              <w:rPr>
                <w:sz w:val="18"/>
                <w:szCs w:val="20"/>
                <w:lang w:val="uk-UA" w:eastAsia="uk-UA"/>
              </w:rPr>
            </w:pPr>
            <w:r w:rsidRPr="00C22C49">
              <w:rPr>
                <w:sz w:val="18"/>
                <w:szCs w:val="20"/>
                <w:lang w:val="uk-UA" w:eastAsia="uk-UA"/>
              </w:rPr>
              <w:t>8,2</w:t>
            </w:r>
          </w:p>
        </w:tc>
        <w:tc>
          <w:tcPr>
            <w:tcW w:w="389" w:type="pct"/>
            <w:tcBorders>
              <w:top w:val="nil"/>
              <w:left w:val="nil"/>
              <w:bottom w:val="single" w:sz="4" w:space="0" w:color="auto"/>
              <w:right w:val="single" w:sz="4" w:space="0" w:color="auto"/>
            </w:tcBorders>
            <w:shd w:val="clear" w:color="auto" w:fill="auto"/>
            <w:noWrap/>
            <w:vAlign w:val="center"/>
            <w:hideMark/>
          </w:tcPr>
          <w:p w14:paraId="0896BD71" w14:textId="77777777" w:rsidR="00EE3D79" w:rsidRPr="00C22C49" w:rsidRDefault="00EE3D79" w:rsidP="004B743F">
            <w:pPr>
              <w:pStyle w:val="Table"/>
              <w:jc w:val="center"/>
              <w:rPr>
                <w:sz w:val="18"/>
                <w:szCs w:val="20"/>
                <w:lang w:val="uk-UA" w:eastAsia="uk-UA"/>
              </w:rPr>
            </w:pPr>
            <w:r w:rsidRPr="00C22C49">
              <w:rPr>
                <w:sz w:val="18"/>
                <w:szCs w:val="20"/>
                <w:lang w:val="uk-UA" w:eastAsia="uk-UA"/>
              </w:rPr>
              <w:t>8,4</w:t>
            </w:r>
          </w:p>
        </w:tc>
        <w:tc>
          <w:tcPr>
            <w:tcW w:w="388" w:type="pct"/>
            <w:tcBorders>
              <w:top w:val="nil"/>
              <w:left w:val="nil"/>
              <w:bottom w:val="single" w:sz="4" w:space="0" w:color="auto"/>
              <w:right w:val="single" w:sz="4" w:space="0" w:color="auto"/>
            </w:tcBorders>
            <w:shd w:val="clear" w:color="auto" w:fill="auto"/>
            <w:noWrap/>
            <w:vAlign w:val="center"/>
            <w:hideMark/>
          </w:tcPr>
          <w:p w14:paraId="0896BD72" w14:textId="77777777" w:rsidR="00EE3D79" w:rsidRPr="00C22C49" w:rsidRDefault="00EE3D79" w:rsidP="004B743F">
            <w:pPr>
              <w:pStyle w:val="Table"/>
              <w:jc w:val="center"/>
              <w:rPr>
                <w:sz w:val="18"/>
                <w:szCs w:val="20"/>
                <w:lang w:val="uk-UA" w:eastAsia="uk-UA"/>
              </w:rPr>
            </w:pPr>
            <w:r w:rsidRPr="00C22C49">
              <w:rPr>
                <w:sz w:val="18"/>
                <w:szCs w:val="20"/>
                <w:lang w:val="uk-UA" w:eastAsia="uk-UA"/>
              </w:rPr>
              <w:t>8,6</w:t>
            </w:r>
          </w:p>
        </w:tc>
      </w:tr>
      <w:tr w:rsidR="00EE3D79" w:rsidRPr="00C22C49" w14:paraId="0896BD84" w14:textId="77777777" w:rsidTr="00EE3D79">
        <w:trPr>
          <w:trHeight w:val="624"/>
        </w:trPr>
        <w:tc>
          <w:tcPr>
            <w:tcW w:w="709" w:type="pct"/>
            <w:tcBorders>
              <w:top w:val="nil"/>
              <w:left w:val="single" w:sz="4" w:space="0" w:color="auto"/>
              <w:bottom w:val="single" w:sz="4" w:space="0" w:color="auto"/>
              <w:right w:val="single" w:sz="4" w:space="0" w:color="auto"/>
            </w:tcBorders>
            <w:shd w:val="clear" w:color="auto" w:fill="auto"/>
            <w:vAlign w:val="center"/>
            <w:hideMark/>
          </w:tcPr>
          <w:p w14:paraId="0896BD76" w14:textId="77777777" w:rsidR="00EE3D79" w:rsidRPr="00C22C49" w:rsidRDefault="00EE3D79" w:rsidP="004B743F">
            <w:pPr>
              <w:pStyle w:val="Table"/>
              <w:jc w:val="center"/>
              <w:rPr>
                <w:sz w:val="18"/>
                <w:szCs w:val="20"/>
                <w:lang w:val="uk-UA" w:eastAsia="uk-UA"/>
              </w:rPr>
            </w:pPr>
            <w:r w:rsidRPr="00C22C49">
              <w:rPr>
                <w:sz w:val="18"/>
                <w:szCs w:val="20"/>
                <w:lang w:val="uk-UA" w:eastAsia="uk-UA"/>
              </w:rPr>
              <w:t>Динаміка в % на особу до 2022 р.</w:t>
            </w:r>
          </w:p>
        </w:tc>
        <w:tc>
          <w:tcPr>
            <w:tcW w:w="403" w:type="pct"/>
            <w:tcBorders>
              <w:top w:val="nil"/>
              <w:left w:val="nil"/>
              <w:bottom w:val="single" w:sz="4" w:space="0" w:color="auto"/>
              <w:right w:val="single" w:sz="4" w:space="0" w:color="auto"/>
            </w:tcBorders>
            <w:shd w:val="clear" w:color="auto" w:fill="auto"/>
            <w:noWrap/>
            <w:vAlign w:val="center"/>
            <w:hideMark/>
          </w:tcPr>
          <w:p w14:paraId="0896BD77"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110,0%</w:t>
            </w:r>
          </w:p>
        </w:tc>
        <w:tc>
          <w:tcPr>
            <w:tcW w:w="389" w:type="pct"/>
            <w:tcBorders>
              <w:top w:val="nil"/>
              <w:left w:val="nil"/>
              <w:bottom w:val="single" w:sz="4" w:space="0" w:color="auto"/>
              <w:right w:val="single" w:sz="4" w:space="0" w:color="auto"/>
            </w:tcBorders>
            <w:shd w:val="clear" w:color="auto" w:fill="auto"/>
            <w:noWrap/>
            <w:vAlign w:val="center"/>
            <w:hideMark/>
          </w:tcPr>
          <w:p w14:paraId="0896BD78"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115,5%</w:t>
            </w:r>
          </w:p>
        </w:tc>
        <w:tc>
          <w:tcPr>
            <w:tcW w:w="389" w:type="pct"/>
            <w:tcBorders>
              <w:top w:val="nil"/>
              <w:left w:val="nil"/>
              <w:bottom w:val="single" w:sz="4" w:space="0" w:color="auto"/>
              <w:right w:val="single" w:sz="4" w:space="0" w:color="auto"/>
            </w:tcBorders>
            <w:shd w:val="clear" w:color="auto" w:fill="auto"/>
            <w:noWrap/>
            <w:vAlign w:val="center"/>
            <w:hideMark/>
          </w:tcPr>
          <w:p w14:paraId="0896BD79"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118,4%</w:t>
            </w:r>
          </w:p>
        </w:tc>
        <w:tc>
          <w:tcPr>
            <w:tcW w:w="389" w:type="pct"/>
            <w:tcBorders>
              <w:top w:val="nil"/>
              <w:left w:val="nil"/>
              <w:bottom w:val="single" w:sz="4" w:space="0" w:color="auto"/>
              <w:right w:val="single" w:sz="4" w:space="0" w:color="auto"/>
            </w:tcBorders>
            <w:shd w:val="clear" w:color="auto" w:fill="auto"/>
            <w:noWrap/>
            <w:vAlign w:val="center"/>
            <w:hideMark/>
          </w:tcPr>
          <w:p w14:paraId="0896BD7A"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121,4%</w:t>
            </w:r>
          </w:p>
        </w:tc>
        <w:tc>
          <w:tcPr>
            <w:tcW w:w="389" w:type="pct"/>
            <w:tcBorders>
              <w:top w:val="nil"/>
              <w:left w:val="nil"/>
              <w:bottom w:val="single" w:sz="4" w:space="0" w:color="auto"/>
              <w:right w:val="single" w:sz="4" w:space="0" w:color="auto"/>
            </w:tcBorders>
            <w:shd w:val="clear" w:color="auto" w:fill="auto"/>
            <w:noWrap/>
            <w:vAlign w:val="center"/>
            <w:hideMark/>
          </w:tcPr>
          <w:p w14:paraId="0896BD7B"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124,4%</w:t>
            </w:r>
          </w:p>
        </w:tc>
        <w:tc>
          <w:tcPr>
            <w:tcW w:w="389" w:type="pct"/>
            <w:tcBorders>
              <w:top w:val="nil"/>
              <w:left w:val="nil"/>
              <w:bottom w:val="single" w:sz="4" w:space="0" w:color="auto"/>
              <w:right w:val="single" w:sz="4" w:space="0" w:color="auto"/>
            </w:tcBorders>
            <w:shd w:val="clear" w:color="auto" w:fill="auto"/>
            <w:noWrap/>
            <w:vAlign w:val="center"/>
            <w:hideMark/>
          </w:tcPr>
          <w:p w14:paraId="0896BD7C"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127,5%</w:t>
            </w:r>
          </w:p>
        </w:tc>
        <w:tc>
          <w:tcPr>
            <w:tcW w:w="389" w:type="pct"/>
            <w:tcBorders>
              <w:top w:val="nil"/>
              <w:left w:val="nil"/>
              <w:bottom w:val="single" w:sz="4" w:space="0" w:color="auto"/>
              <w:right w:val="single" w:sz="4" w:space="0" w:color="auto"/>
            </w:tcBorders>
            <w:shd w:val="clear" w:color="auto" w:fill="auto"/>
            <w:noWrap/>
            <w:vAlign w:val="center"/>
            <w:hideMark/>
          </w:tcPr>
          <w:p w14:paraId="0896BD7D"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130,7%</w:t>
            </w:r>
          </w:p>
        </w:tc>
        <w:tc>
          <w:tcPr>
            <w:tcW w:w="389" w:type="pct"/>
            <w:tcBorders>
              <w:top w:val="nil"/>
              <w:left w:val="nil"/>
              <w:bottom w:val="single" w:sz="4" w:space="0" w:color="auto"/>
              <w:right w:val="single" w:sz="4" w:space="0" w:color="auto"/>
            </w:tcBorders>
            <w:shd w:val="clear" w:color="auto" w:fill="auto"/>
            <w:noWrap/>
            <w:vAlign w:val="center"/>
            <w:hideMark/>
          </w:tcPr>
          <w:p w14:paraId="0896BD7E"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134,0%</w:t>
            </w:r>
          </w:p>
        </w:tc>
        <w:tc>
          <w:tcPr>
            <w:tcW w:w="389" w:type="pct"/>
            <w:tcBorders>
              <w:top w:val="nil"/>
              <w:left w:val="nil"/>
              <w:bottom w:val="single" w:sz="4" w:space="0" w:color="auto"/>
              <w:right w:val="single" w:sz="4" w:space="0" w:color="auto"/>
            </w:tcBorders>
            <w:shd w:val="clear" w:color="auto" w:fill="auto"/>
            <w:noWrap/>
            <w:vAlign w:val="center"/>
            <w:hideMark/>
          </w:tcPr>
          <w:p w14:paraId="0896BD7F"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137,3%</w:t>
            </w:r>
          </w:p>
        </w:tc>
        <w:tc>
          <w:tcPr>
            <w:tcW w:w="389" w:type="pct"/>
            <w:tcBorders>
              <w:top w:val="nil"/>
              <w:left w:val="nil"/>
              <w:bottom w:val="single" w:sz="4" w:space="0" w:color="auto"/>
              <w:right w:val="single" w:sz="4" w:space="0" w:color="auto"/>
            </w:tcBorders>
            <w:shd w:val="clear" w:color="auto" w:fill="auto"/>
            <w:noWrap/>
            <w:vAlign w:val="center"/>
            <w:hideMark/>
          </w:tcPr>
          <w:p w14:paraId="0896BD80"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140,8%</w:t>
            </w:r>
          </w:p>
        </w:tc>
        <w:tc>
          <w:tcPr>
            <w:tcW w:w="388" w:type="pct"/>
            <w:tcBorders>
              <w:top w:val="nil"/>
              <w:left w:val="nil"/>
              <w:bottom w:val="single" w:sz="4" w:space="0" w:color="auto"/>
              <w:right w:val="single" w:sz="4" w:space="0" w:color="auto"/>
            </w:tcBorders>
            <w:shd w:val="clear" w:color="auto" w:fill="auto"/>
            <w:noWrap/>
            <w:vAlign w:val="center"/>
            <w:hideMark/>
          </w:tcPr>
          <w:p w14:paraId="0896BD81" w14:textId="77777777" w:rsidR="00EE3D79" w:rsidRPr="00C22C49" w:rsidRDefault="00EE3D79" w:rsidP="004B743F">
            <w:pPr>
              <w:pStyle w:val="Table"/>
              <w:jc w:val="center"/>
              <w:rPr>
                <w:sz w:val="18"/>
                <w:szCs w:val="20"/>
                <w:lang w:val="uk-UA" w:eastAsia="uk-UA"/>
              </w:rPr>
            </w:pPr>
            <w:r w:rsidRPr="00C22C49">
              <w:rPr>
                <w:sz w:val="18"/>
                <w:szCs w:val="20"/>
                <w:lang w:val="uk-UA" w:eastAsia="uk-UA"/>
              </w:rPr>
              <w:t>144,3%</w:t>
            </w:r>
          </w:p>
        </w:tc>
      </w:tr>
    </w:tbl>
    <w:p w14:paraId="0896BD85" w14:textId="056D6688" w:rsidR="0036182A" w:rsidRPr="00C22C49" w:rsidRDefault="0036182A" w:rsidP="005E4C42"/>
    <w:p w14:paraId="0896BD86" w14:textId="77777777" w:rsidR="00AD6174" w:rsidRPr="00C22C49" w:rsidRDefault="00AD6174" w:rsidP="00AD6174">
      <w:r w:rsidRPr="00C22C49">
        <w:t>Розв’язання проблем утилізації шин вимагає розроблення та впровадження системи збирання шин на місцях, нарізування їх на частини, з подальшим перевезенням на підприємства</w:t>
      </w:r>
      <w:r w:rsidR="005179DA" w:rsidRPr="00C22C49">
        <w:t xml:space="preserve"> з відновлення</w:t>
      </w:r>
      <w:r w:rsidRPr="00C22C49">
        <w:t xml:space="preserve">, а в разі економічної недоцільності, використання їх на місці в якості альтернативного палива. Переробка відпрацьованих шин та використання продуктів їх </w:t>
      </w:r>
      <w:r w:rsidR="005179DA" w:rsidRPr="00C22C49">
        <w:t>відновлення</w:t>
      </w:r>
      <w:r w:rsidRPr="00C22C49">
        <w:t xml:space="preserve"> сприятиме суттєвому зменшенню енергетичних та фінансових витрат суб‘єктів господарювання на виробництво шин, гумотехнічних виробів, тепло-, звуко- та гідроізоляційних, покрівельних, будівельних матеріалів тощо.</w:t>
      </w:r>
    </w:p>
    <w:p w14:paraId="0896BD87" w14:textId="77777777" w:rsidR="00CF33F9" w:rsidRPr="00C22C49" w:rsidRDefault="0058773D" w:rsidP="0019079A">
      <w:pPr>
        <w:pStyle w:val="Heading4boldRED"/>
        <w:rPr>
          <w:lang w:val="uk-UA"/>
        </w:rPr>
      </w:pPr>
      <w:r w:rsidRPr="00C22C49">
        <w:rPr>
          <w:lang w:val="uk-UA"/>
        </w:rPr>
        <w:t>Інші види відходів, що потребують специфічного управління</w:t>
      </w:r>
    </w:p>
    <w:p w14:paraId="0896BD88" w14:textId="77777777" w:rsidR="00CF33F9" w:rsidRPr="00C22C49" w:rsidRDefault="00CF33F9" w:rsidP="00CF33F9">
      <w:r w:rsidRPr="00C22C49">
        <w:t>Цей розділ містить інформацію про утворення та управління відходами, що потребують специфічного поводження та регулювання.</w:t>
      </w:r>
    </w:p>
    <w:p w14:paraId="0896BD89" w14:textId="77777777" w:rsidR="005E4C42" w:rsidRPr="00C22C49" w:rsidRDefault="00621A46" w:rsidP="00621A46">
      <w:pPr>
        <w:pStyle w:val="Heading5BOLDnumbered"/>
        <w:numPr>
          <w:ilvl w:val="0"/>
          <w:numId w:val="0"/>
        </w:numPr>
        <w:ind w:left="1287"/>
        <w:rPr>
          <w:rStyle w:val="affe"/>
          <w:iCs/>
          <w:lang w:val="uk-UA"/>
        </w:rPr>
      </w:pPr>
      <w:r w:rsidRPr="00C22C49">
        <w:rPr>
          <w:rStyle w:val="affe"/>
          <w:iCs/>
          <w:lang w:val="uk-UA"/>
        </w:rPr>
        <w:t xml:space="preserve">2.1.8.1 </w:t>
      </w:r>
      <w:r w:rsidR="00CF33F9" w:rsidRPr="00C22C49">
        <w:rPr>
          <w:rStyle w:val="affe"/>
          <w:lang w:val="uk-UA"/>
        </w:rPr>
        <w:t>Осади стічних вод</w:t>
      </w:r>
    </w:p>
    <w:p w14:paraId="0896BD8A" w14:textId="77777777" w:rsidR="00CF33F9" w:rsidRPr="00C22C49" w:rsidRDefault="00155F2A" w:rsidP="00CF33F9">
      <w:r w:rsidRPr="00C22C49">
        <w:t xml:space="preserve">На основі аналізу наведених даних та прогнозу чисельності населення України до 2035 р. розраховано прогнозні величини утворення осадів стічних вод до 2035 р. </w:t>
      </w:r>
    </w:p>
    <w:p w14:paraId="0896BD8B" w14:textId="119DEF52" w:rsidR="00856B82" w:rsidRPr="00C22C49" w:rsidRDefault="006B145D" w:rsidP="006B145D">
      <w:pPr>
        <w:pStyle w:val="ad"/>
        <w:rPr>
          <w:lang w:val="uk-UA"/>
        </w:rPr>
      </w:pPr>
      <w:bookmarkStart w:id="32" w:name="_Toc142262264"/>
      <w:r w:rsidRPr="00C22C49">
        <w:rPr>
          <w:lang w:val="uk-UA"/>
        </w:rPr>
        <w:t xml:space="preserve">Таблиця </w:t>
      </w:r>
      <w:r w:rsidR="005E0A06" w:rsidRPr="00C22C49">
        <w:rPr>
          <w:lang w:val="uk-UA"/>
        </w:rPr>
        <w:fldChar w:fldCharType="begin"/>
      </w:r>
      <w:r w:rsidRPr="00C22C49">
        <w:rPr>
          <w:lang w:val="uk-UA"/>
        </w:rPr>
        <w:instrText xml:space="preserve"> SEQ Таблиця \* ARABIC </w:instrText>
      </w:r>
      <w:r w:rsidR="005E0A06" w:rsidRPr="00C22C49">
        <w:rPr>
          <w:lang w:val="uk-UA"/>
        </w:rPr>
        <w:fldChar w:fldCharType="separate"/>
      </w:r>
      <w:r w:rsidR="00712625">
        <w:rPr>
          <w:noProof/>
          <w:lang w:val="uk-UA"/>
        </w:rPr>
        <w:t>17</w:t>
      </w:r>
      <w:r w:rsidR="005E0A06" w:rsidRPr="00C22C49">
        <w:rPr>
          <w:lang w:val="uk-UA"/>
        </w:rPr>
        <w:fldChar w:fldCharType="end"/>
      </w:r>
      <w:r w:rsidRPr="00C22C49">
        <w:rPr>
          <w:lang w:val="uk-UA"/>
        </w:rPr>
        <w:t xml:space="preserve">. </w:t>
      </w:r>
      <w:r w:rsidR="00856B82" w:rsidRPr="00C22C49">
        <w:rPr>
          <w:lang w:val="uk-UA" w:eastAsia="uk-UA"/>
        </w:rPr>
        <w:t>Прогноз утворення осадів стічних вод, 2023-2035 рр, в млн. т/рік</w:t>
      </w:r>
      <w:bookmarkEnd w:id="32"/>
    </w:p>
    <w:tbl>
      <w:tblPr>
        <w:tblW w:w="4828" w:type="pct"/>
        <w:jc w:val="center"/>
        <w:tblLook w:val="04A0" w:firstRow="1" w:lastRow="0" w:firstColumn="1" w:lastColumn="0" w:noHBand="0" w:noVBand="1"/>
      </w:tblPr>
      <w:tblGrid>
        <w:gridCol w:w="1603"/>
        <w:gridCol w:w="616"/>
        <w:gridCol w:w="616"/>
        <w:gridCol w:w="616"/>
        <w:gridCol w:w="616"/>
        <w:gridCol w:w="616"/>
        <w:gridCol w:w="616"/>
        <w:gridCol w:w="616"/>
        <w:gridCol w:w="616"/>
        <w:gridCol w:w="616"/>
        <w:gridCol w:w="617"/>
        <w:gridCol w:w="617"/>
        <w:gridCol w:w="617"/>
        <w:gridCol w:w="616"/>
      </w:tblGrid>
      <w:tr w:rsidR="00856B82" w:rsidRPr="00C22C49" w14:paraId="0896BD9A" w14:textId="77777777" w:rsidTr="00A91C2B">
        <w:trPr>
          <w:trHeight w:val="288"/>
          <w:jc w:val="center"/>
        </w:trPr>
        <w:tc>
          <w:tcPr>
            <w:tcW w:w="83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8C" w14:textId="77777777" w:rsidR="00856B82" w:rsidRPr="00C22C49" w:rsidRDefault="00856B82" w:rsidP="00856B82">
            <w:pPr>
              <w:pStyle w:val="Table"/>
              <w:rPr>
                <w:sz w:val="20"/>
                <w:szCs w:val="22"/>
                <w:lang w:val="uk-UA" w:eastAsia="uk-UA"/>
              </w:rPr>
            </w:pP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8D"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2023</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8E"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2024</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8F"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2025</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0"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2026</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1"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2027</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2"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2028</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3"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2029</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4"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2030</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5"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2031</w:t>
            </w:r>
          </w:p>
        </w:tc>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6"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2032</w:t>
            </w:r>
          </w:p>
        </w:tc>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7"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2033</w:t>
            </w:r>
          </w:p>
        </w:tc>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8"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2034</w:t>
            </w:r>
          </w:p>
        </w:tc>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99" w14:textId="77777777" w:rsidR="00856B82" w:rsidRPr="00C22C49" w:rsidRDefault="00856B82" w:rsidP="00856B82">
            <w:pPr>
              <w:pStyle w:val="Table"/>
              <w:rPr>
                <w:b/>
                <w:bCs/>
                <w:sz w:val="20"/>
                <w:szCs w:val="22"/>
                <w:lang w:val="uk-UA" w:eastAsia="uk-UA"/>
              </w:rPr>
            </w:pPr>
            <w:r w:rsidRPr="00C22C49">
              <w:rPr>
                <w:b/>
                <w:bCs/>
                <w:sz w:val="20"/>
                <w:szCs w:val="22"/>
                <w:lang w:val="uk-UA" w:eastAsia="uk-UA"/>
              </w:rPr>
              <w:t>2035</w:t>
            </w:r>
          </w:p>
        </w:tc>
      </w:tr>
      <w:tr w:rsidR="00856B82" w:rsidRPr="00C22C49" w14:paraId="0896BDA9" w14:textId="77777777" w:rsidTr="00A91C2B">
        <w:trPr>
          <w:trHeight w:val="391"/>
          <w:jc w:val="center"/>
        </w:trPr>
        <w:tc>
          <w:tcPr>
            <w:tcW w:w="833" w:type="pct"/>
            <w:tcBorders>
              <w:top w:val="nil"/>
              <w:left w:val="single" w:sz="4" w:space="0" w:color="000000"/>
              <w:bottom w:val="single" w:sz="4" w:space="0" w:color="000000"/>
              <w:right w:val="single" w:sz="4" w:space="0" w:color="000000"/>
            </w:tcBorders>
            <w:shd w:val="clear" w:color="auto" w:fill="FFFFFF"/>
            <w:vAlign w:val="center"/>
            <w:hideMark/>
          </w:tcPr>
          <w:p w14:paraId="0896BD9B" w14:textId="77777777" w:rsidR="00856B82" w:rsidRPr="00C22C49" w:rsidRDefault="00856B82" w:rsidP="00856B82">
            <w:pPr>
              <w:pStyle w:val="Table"/>
              <w:rPr>
                <w:sz w:val="20"/>
                <w:szCs w:val="22"/>
                <w:lang w:val="uk-UA" w:eastAsia="uk-UA"/>
              </w:rPr>
            </w:pPr>
            <w:r w:rsidRPr="00C22C49">
              <w:rPr>
                <w:sz w:val="20"/>
                <w:szCs w:val="22"/>
                <w:lang w:val="uk-UA" w:eastAsia="uk-UA"/>
              </w:rPr>
              <w:t>Утворено, тис.т</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9C"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16,8</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9D"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16,4</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9E"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15,9</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9F"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15,5</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0"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15,1</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1"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14,7</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2"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14,3</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3"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13,9</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4"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13,5</w:t>
            </w:r>
          </w:p>
        </w:tc>
        <w:tc>
          <w:tcPr>
            <w:tcW w:w="32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5"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13,2</w:t>
            </w:r>
          </w:p>
        </w:tc>
        <w:tc>
          <w:tcPr>
            <w:tcW w:w="32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6"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12,8</w:t>
            </w:r>
          </w:p>
        </w:tc>
        <w:tc>
          <w:tcPr>
            <w:tcW w:w="32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7"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12,5</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8" w14:textId="77777777" w:rsidR="00856B82" w:rsidRPr="00C22C49" w:rsidRDefault="00856B82" w:rsidP="00A91C2B">
            <w:pPr>
              <w:pStyle w:val="Table"/>
              <w:jc w:val="center"/>
              <w:rPr>
                <w:sz w:val="20"/>
                <w:szCs w:val="22"/>
                <w:lang w:val="uk-UA" w:eastAsia="uk-UA"/>
              </w:rPr>
            </w:pPr>
            <w:r w:rsidRPr="00C22C49">
              <w:rPr>
                <w:sz w:val="20"/>
                <w:szCs w:val="22"/>
                <w:lang w:val="uk-UA" w:eastAsia="uk-UA"/>
              </w:rPr>
              <w:t>12,1</w:t>
            </w:r>
          </w:p>
        </w:tc>
      </w:tr>
      <w:tr w:rsidR="00856B82" w:rsidRPr="00C22C49" w14:paraId="0896BDB8" w14:textId="77777777" w:rsidTr="00A91C2B">
        <w:trPr>
          <w:trHeight w:val="541"/>
          <w:jc w:val="center"/>
        </w:trPr>
        <w:tc>
          <w:tcPr>
            <w:tcW w:w="83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6BDAA" w14:textId="77777777" w:rsidR="00856B82" w:rsidRPr="00C22C49" w:rsidRDefault="00856B82" w:rsidP="00856B82">
            <w:pPr>
              <w:pStyle w:val="Table"/>
              <w:rPr>
                <w:sz w:val="20"/>
                <w:szCs w:val="22"/>
                <w:lang w:val="uk-UA" w:eastAsia="uk-UA"/>
              </w:rPr>
            </w:pPr>
            <w:r w:rsidRPr="00C22C49">
              <w:rPr>
                <w:sz w:val="20"/>
                <w:szCs w:val="22"/>
                <w:lang w:val="uk-UA" w:eastAsia="uk-UA"/>
              </w:rPr>
              <w:t>Динаміка, в % до 2022р.</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B" w14:textId="77777777" w:rsidR="00856B82" w:rsidRPr="00C22C49" w:rsidRDefault="00856B82" w:rsidP="00A91C2B">
            <w:pPr>
              <w:pStyle w:val="Table"/>
              <w:jc w:val="center"/>
              <w:rPr>
                <w:sz w:val="20"/>
                <w:szCs w:val="22"/>
                <w:lang w:val="uk-UA" w:eastAsia="uk-UA"/>
              </w:rPr>
            </w:pPr>
            <w:r w:rsidRPr="00C22C49">
              <w:rPr>
                <w:sz w:val="20"/>
                <w:szCs w:val="22"/>
                <w:lang w:val="uk-UA" w:eastAsia="uk-UA"/>
              </w:rPr>
              <w:t>86,1</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C" w14:textId="77777777" w:rsidR="00856B82" w:rsidRPr="00C22C49" w:rsidRDefault="00856B82" w:rsidP="00A91C2B">
            <w:pPr>
              <w:pStyle w:val="Table"/>
              <w:jc w:val="center"/>
              <w:rPr>
                <w:sz w:val="20"/>
                <w:szCs w:val="22"/>
                <w:lang w:val="uk-UA" w:eastAsia="uk-UA"/>
              </w:rPr>
            </w:pPr>
            <w:r w:rsidRPr="00C22C49">
              <w:rPr>
                <w:sz w:val="20"/>
                <w:szCs w:val="22"/>
                <w:lang w:val="uk-UA" w:eastAsia="uk-UA"/>
              </w:rPr>
              <w:t>83,8</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D" w14:textId="77777777" w:rsidR="00856B82" w:rsidRPr="00C22C49" w:rsidRDefault="00856B82" w:rsidP="00A91C2B">
            <w:pPr>
              <w:pStyle w:val="Table"/>
              <w:jc w:val="center"/>
              <w:rPr>
                <w:sz w:val="20"/>
                <w:szCs w:val="22"/>
                <w:lang w:val="uk-UA" w:eastAsia="uk-UA"/>
              </w:rPr>
            </w:pPr>
            <w:r w:rsidRPr="00C22C49">
              <w:rPr>
                <w:sz w:val="20"/>
                <w:szCs w:val="22"/>
                <w:lang w:val="uk-UA" w:eastAsia="uk-UA"/>
              </w:rPr>
              <w:t>81,6</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E" w14:textId="77777777" w:rsidR="00856B82" w:rsidRPr="00C22C49" w:rsidRDefault="00856B82" w:rsidP="00A91C2B">
            <w:pPr>
              <w:pStyle w:val="Table"/>
              <w:jc w:val="center"/>
              <w:rPr>
                <w:sz w:val="20"/>
                <w:szCs w:val="22"/>
                <w:lang w:val="uk-UA" w:eastAsia="uk-UA"/>
              </w:rPr>
            </w:pPr>
            <w:r w:rsidRPr="00C22C49">
              <w:rPr>
                <w:sz w:val="20"/>
                <w:szCs w:val="22"/>
                <w:lang w:val="uk-UA" w:eastAsia="uk-UA"/>
              </w:rPr>
              <w:t>79,4</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AF" w14:textId="77777777" w:rsidR="00856B82" w:rsidRPr="00C22C49" w:rsidRDefault="00856B82" w:rsidP="00A91C2B">
            <w:pPr>
              <w:pStyle w:val="Table"/>
              <w:jc w:val="center"/>
              <w:rPr>
                <w:sz w:val="20"/>
                <w:szCs w:val="22"/>
                <w:lang w:val="uk-UA" w:eastAsia="uk-UA"/>
              </w:rPr>
            </w:pPr>
            <w:r w:rsidRPr="00C22C49">
              <w:rPr>
                <w:sz w:val="20"/>
                <w:szCs w:val="22"/>
                <w:lang w:val="uk-UA" w:eastAsia="uk-UA"/>
              </w:rPr>
              <w:t>77,3</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0" w14:textId="77777777" w:rsidR="00856B82" w:rsidRPr="00C22C49" w:rsidRDefault="00856B82" w:rsidP="00A91C2B">
            <w:pPr>
              <w:pStyle w:val="Table"/>
              <w:jc w:val="center"/>
              <w:rPr>
                <w:sz w:val="20"/>
                <w:szCs w:val="22"/>
                <w:lang w:val="uk-UA" w:eastAsia="uk-UA"/>
              </w:rPr>
            </w:pPr>
            <w:r w:rsidRPr="00C22C49">
              <w:rPr>
                <w:sz w:val="20"/>
                <w:szCs w:val="22"/>
                <w:lang w:val="uk-UA" w:eastAsia="uk-UA"/>
              </w:rPr>
              <w:t>75,2</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1" w14:textId="77777777" w:rsidR="00856B82" w:rsidRPr="00C22C49" w:rsidRDefault="00856B82" w:rsidP="00A91C2B">
            <w:pPr>
              <w:pStyle w:val="Table"/>
              <w:jc w:val="center"/>
              <w:rPr>
                <w:sz w:val="20"/>
                <w:szCs w:val="22"/>
                <w:lang w:val="uk-UA" w:eastAsia="uk-UA"/>
              </w:rPr>
            </w:pPr>
            <w:r w:rsidRPr="00C22C49">
              <w:rPr>
                <w:sz w:val="20"/>
                <w:szCs w:val="22"/>
                <w:lang w:val="uk-UA" w:eastAsia="uk-UA"/>
              </w:rPr>
              <w:t>73,2</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2" w14:textId="77777777" w:rsidR="00856B82" w:rsidRPr="00C22C49" w:rsidRDefault="00856B82" w:rsidP="00A91C2B">
            <w:pPr>
              <w:pStyle w:val="Table"/>
              <w:jc w:val="center"/>
              <w:rPr>
                <w:sz w:val="20"/>
                <w:szCs w:val="22"/>
                <w:lang w:val="uk-UA" w:eastAsia="uk-UA"/>
              </w:rPr>
            </w:pPr>
            <w:r w:rsidRPr="00C22C49">
              <w:rPr>
                <w:sz w:val="20"/>
                <w:szCs w:val="22"/>
                <w:lang w:val="uk-UA" w:eastAsia="uk-UA"/>
              </w:rPr>
              <w:t>71,2</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3" w14:textId="77777777" w:rsidR="00856B82" w:rsidRPr="00C22C49" w:rsidRDefault="00856B82" w:rsidP="00A91C2B">
            <w:pPr>
              <w:pStyle w:val="Table"/>
              <w:jc w:val="center"/>
              <w:rPr>
                <w:sz w:val="20"/>
                <w:szCs w:val="22"/>
                <w:lang w:val="uk-UA" w:eastAsia="uk-UA"/>
              </w:rPr>
            </w:pPr>
            <w:r w:rsidRPr="00C22C49">
              <w:rPr>
                <w:sz w:val="20"/>
                <w:szCs w:val="22"/>
                <w:lang w:val="uk-UA" w:eastAsia="uk-UA"/>
              </w:rPr>
              <w:t>69,3</w:t>
            </w:r>
          </w:p>
        </w:tc>
        <w:tc>
          <w:tcPr>
            <w:tcW w:w="32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4" w14:textId="77777777" w:rsidR="00856B82" w:rsidRPr="00C22C49" w:rsidRDefault="00856B82" w:rsidP="00A91C2B">
            <w:pPr>
              <w:pStyle w:val="Table"/>
              <w:jc w:val="center"/>
              <w:rPr>
                <w:sz w:val="20"/>
                <w:szCs w:val="22"/>
                <w:lang w:val="uk-UA" w:eastAsia="uk-UA"/>
              </w:rPr>
            </w:pPr>
            <w:r w:rsidRPr="00C22C49">
              <w:rPr>
                <w:sz w:val="20"/>
                <w:szCs w:val="22"/>
                <w:lang w:val="uk-UA" w:eastAsia="uk-UA"/>
              </w:rPr>
              <w:t>67,4</w:t>
            </w:r>
          </w:p>
        </w:tc>
        <w:tc>
          <w:tcPr>
            <w:tcW w:w="32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5" w14:textId="77777777" w:rsidR="00856B82" w:rsidRPr="00C22C49" w:rsidRDefault="00856B82" w:rsidP="00A91C2B">
            <w:pPr>
              <w:pStyle w:val="Table"/>
              <w:jc w:val="center"/>
              <w:rPr>
                <w:sz w:val="20"/>
                <w:szCs w:val="22"/>
                <w:lang w:val="uk-UA" w:eastAsia="uk-UA"/>
              </w:rPr>
            </w:pPr>
            <w:r w:rsidRPr="00C22C49">
              <w:rPr>
                <w:sz w:val="20"/>
                <w:szCs w:val="22"/>
                <w:lang w:val="uk-UA" w:eastAsia="uk-UA"/>
              </w:rPr>
              <w:t>65,6</w:t>
            </w:r>
          </w:p>
        </w:tc>
        <w:tc>
          <w:tcPr>
            <w:tcW w:w="32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6" w14:textId="77777777" w:rsidR="00856B82" w:rsidRPr="00C22C49" w:rsidRDefault="00856B82" w:rsidP="00A91C2B">
            <w:pPr>
              <w:pStyle w:val="Table"/>
              <w:jc w:val="center"/>
              <w:rPr>
                <w:sz w:val="20"/>
                <w:szCs w:val="22"/>
                <w:lang w:val="uk-UA" w:eastAsia="uk-UA"/>
              </w:rPr>
            </w:pPr>
            <w:r w:rsidRPr="00C22C49">
              <w:rPr>
                <w:sz w:val="20"/>
                <w:szCs w:val="22"/>
                <w:lang w:val="uk-UA" w:eastAsia="uk-UA"/>
              </w:rPr>
              <w:t>63,9</w:t>
            </w:r>
          </w:p>
        </w:tc>
        <w:tc>
          <w:tcPr>
            <w:tcW w:w="32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896BDB7" w14:textId="77777777" w:rsidR="00856B82" w:rsidRPr="00C22C49" w:rsidRDefault="00856B82" w:rsidP="00A91C2B">
            <w:pPr>
              <w:pStyle w:val="Table"/>
              <w:jc w:val="center"/>
              <w:rPr>
                <w:sz w:val="20"/>
                <w:szCs w:val="22"/>
                <w:lang w:val="uk-UA" w:eastAsia="uk-UA"/>
              </w:rPr>
            </w:pPr>
            <w:r w:rsidRPr="00C22C49">
              <w:rPr>
                <w:sz w:val="20"/>
                <w:szCs w:val="22"/>
                <w:lang w:val="uk-UA" w:eastAsia="uk-UA"/>
              </w:rPr>
              <w:t>62,1</w:t>
            </w:r>
          </w:p>
        </w:tc>
      </w:tr>
    </w:tbl>
    <w:p w14:paraId="0896BDB9" w14:textId="77777777" w:rsidR="00CF33F9" w:rsidRPr="00C22C49" w:rsidRDefault="001A7FAD" w:rsidP="00CF33F9">
      <w:r w:rsidRPr="00C22C49">
        <w:t>Динаміка скорочення обсягів осадів стічних вод пояснюється зменшенням чисельності населення, оскільки рівень споживання води та утворення стічних вод прийнято на рівні 260 л на особу в день, а обсяг осаду складає 0,5% від обсягів стоків.</w:t>
      </w:r>
    </w:p>
    <w:p w14:paraId="0896BDBA" w14:textId="77777777" w:rsidR="00C432B4" w:rsidRPr="00C22C49" w:rsidRDefault="00DE7CA4" w:rsidP="00C432B4">
      <w:pPr>
        <w:pStyle w:val="30"/>
      </w:pPr>
      <w:bookmarkStart w:id="33" w:name="_Toc151583268"/>
      <w:r w:rsidRPr="00C22C49">
        <w:t>О</w:t>
      </w:r>
      <w:r w:rsidR="008B1E83" w:rsidRPr="00C22C49">
        <w:t>сновні цілі/завдання з розвитку системи управління відходами та цільові показники, встановлені в рамках завдань</w:t>
      </w:r>
      <w:bookmarkEnd w:id="33"/>
    </w:p>
    <w:p w14:paraId="0896BDBB" w14:textId="77777777" w:rsidR="00D9758F" w:rsidRPr="00C22C49" w:rsidRDefault="00D9758F" w:rsidP="00C432B4"/>
    <w:p w14:paraId="0896BDBC" w14:textId="77777777" w:rsidR="0030193F" w:rsidRPr="00C22C49" w:rsidRDefault="0030193F" w:rsidP="0030193F">
      <w:r w:rsidRPr="00C22C49">
        <w:t xml:space="preserve">З метою реалізації Національного плану управління відходами до 2024 - 2035 року, в рамках </w:t>
      </w:r>
      <w:r w:rsidRPr="00C22C49">
        <w:rPr>
          <w:rStyle w:val="rynqvb"/>
        </w:rPr>
        <w:t xml:space="preserve">ньому </w:t>
      </w:r>
      <w:r w:rsidRPr="00C22C49">
        <w:t>визначено наступні пріоритетні цілі:</w:t>
      </w:r>
    </w:p>
    <w:p w14:paraId="0896BDBD" w14:textId="77777777" w:rsidR="0030193F" w:rsidRPr="00C22C49" w:rsidRDefault="0030193F" w:rsidP="0030193F">
      <w:pPr>
        <w:ind w:left="360"/>
      </w:pPr>
      <w:r w:rsidRPr="00C22C49">
        <w:rPr>
          <w:b/>
        </w:rPr>
        <w:t>Ціль</w:t>
      </w:r>
      <w:r w:rsidRPr="00C22C49">
        <w:t xml:space="preserve"> </w:t>
      </w:r>
      <w:r w:rsidRPr="00C22C49">
        <w:rPr>
          <w:b/>
        </w:rPr>
        <w:t>1.</w:t>
      </w:r>
      <w:r w:rsidRPr="00C22C49">
        <w:t xml:space="preserve"> Удосконалення та наближення національного законодавства до вимог європейського на виконання положень Угоди</w:t>
      </w:r>
      <w:r w:rsidR="00D03925" w:rsidRPr="00C22C49">
        <w:t xml:space="preserve"> про Асоціацію</w:t>
      </w:r>
      <w:r w:rsidR="00420776" w:rsidRPr="00C22C49">
        <w:t xml:space="preserve"> між</w:t>
      </w:r>
      <w:r w:rsidRPr="00C22C49">
        <w:t xml:space="preserve"> Україн</w:t>
      </w:r>
      <w:r w:rsidR="00420776" w:rsidRPr="00C22C49">
        <w:t>ою</w:t>
      </w:r>
      <w:r w:rsidR="004424B5" w:rsidRPr="00C22C49">
        <w:t xml:space="preserve"> </w:t>
      </w:r>
      <w:r w:rsidR="00420776" w:rsidRPr="00C22C49">
        <w:t>та</w:t>
      </w:r>
      <w:r w:rsidR="004424B5" w:rsidRPr="00C22C49">
        <w:t xml:space="preserve"> </w:t>
      </w:r>
      <w:r w:rsidRPr="00C22C49">
        <w:t>ЄС у сфері управління відходами</w:t>
      </w:r>
      <w:r w:rsidR="00420776" w:rsidRPr="00C22C49">
        <w:t>.</w:t>
      </w:r>
    </w:p>
    <w:p w14:paraId="0896BDBE" w14:textId="77777777" w:rsidR="0030193F" w:rsidRPr="00C22C49" w:rsidRDefault="0030193F" w:rsidP="0030193F">
      <w:pPr>
        <w:ind w:left="360"/>
      </w:pPr>
      <w:r w:rsidRPr="00C22C49">
        <w:rPr>
          <w:b/>
        </w:rPr>
        <w:t>Ціль</w:t>
      </w:r>
      <w:r w:rsidRPr="00C22C49">
        <w:t xml:space="preserve"> </w:t>
      </w:r>
      <w:r w:rsidRPr="00C22C49">
        <w:rPr>
          <w:b/>
        </w:rPr>
        <w:t xml:space="preserve">2. </w:t>
      </w:r>
      <w:r w:rsidRPr="00C22C49">
        <w:t>Впровадження економічних інструментів для удосконалення управління відходами</w:t>
      </w:r>
      <w:r w:rsidR="00420776" w:rsidRPr="00C22C49">
        <w:t>.</w:t>
      </w:r>
    </w:p>
    <w:p w14:paraId="0896BDBF" w14:textId="77777777" w:rsidR="0030193F" w:rsidRPr="00C22C49" w:rsidRDefault="0030193F" w:rsidP="0030193F">
      <w:pPr>
        <w:ind w:left="360"/>
        <w:rPr>
          <w:rFonts w:eastAsia="Times New Roman" w:cs="Times New Roman"/>
          <w:szCs w:val="24"/>
          <w:lang w:eastAsia="uk-UA"/>
        </w:rPr>
      </w:pPr>
      <w:r w:rsidRPr="00C22C49">
        <w:rPr>
          <w:b/>
        </w:rPr>
        <w:t xml:space="preserve">Ціль </w:t>
      </w:r>
      <w:r w:rsidRPr="00C22C49">
        <w:rPr>
          <w:rFonts w:eastAsia="Times New Roman" w:cs="Times New Roman"/>
          <w:b/>
          <w:szCs w:val="24"/>
          <w:lang w:eastAsia="uk-UA"/>
        </w:rPr>
        <w:t xml:space="preserve">3. </w:t>
      </w:r>
      <w:r w:rsidRPr="00C22C49">
        <w:rPr>
          <w:rFonts w:eastAsia="Times New Roman" w:cs="Times New Roman"/>
          <w:szCs w:val="24"/>
          <w:lang w:eastAsia="uk-UA"/>
        </w:rPr>
        <w:t xml:space="preserve">Вдосконалення інституційної структури сфери управління відходами та </w:t>
      </w:r>
      <w:r w:rsidR="00420776" w:rsidRPr="00C22C49">
        <w:rPr>
          <w:rFonts w:eastAsia="Times New Roman" w:cs="Times New Roman"/>
          <w:szCs w:val="24"/>
          <w:lang w:eastAsia="uk-UA"/>
        </w:rPr>
        <w:t>ззміцнення</w:t>
      </w:r>
      <w:r w:rsidRPr="00C22C49">
        <w:rPr>
          <w:rFonts w:eastAsia="Times New Roman" w:cs="Times New Roman"/>
          <w:szCs w:val="24"/>
          <w:lang w:eastAsia="uk-UA"/>
        </w:rPr>
        <w:t xml:space="preserve"> кадрового потенціалу у сфері управління відходами</w:t>
      </w:r>
      <w:r w:rsidR="00420776" w:rsidRPr="00C22C49">
        <w:rPr>
          <w:rFonts w:eastAsia="Times New Roman" w:cs="Times New Roman"/>
          <w:szCs w:val="24"/>
          <w:lang w:eastAsia="uk-UA"/>
        </w:rPr>
        <w:t>.</w:t>
      </w:r>
    </w:p>
    <w:p w14:paraId="0896BDC0" w14:textId="77777777" w:rsidR="0030193F" w:rsidRPr="00C22C49" w:rsidRDefault="0030193F" w:rsidP="0030193F">
      <w:pPr>
        <w:ind w:left="360"/>
        <w:rPr>
          <w:rFonts w:eastAsia="Times New Roman" w:cs="Times New Roman"/>
          <w:szCs w:val="24"/>
          <w:lang w:eastAsia="uk-UA"/>
        </w:rPr>
      </w:pPr>
      <w:r w:rsidRPr="00C22C49">
        <w:rPr>
          <w:b/>
        </w:rPr>
        <w:t xml:space="preserve">Ціль </w:t>
      </w:r>
      <w:r w:rsidRPr="00C22C49">
        <w:rPr>
          <w:rFonts w:eastAsia="Times New Roman" w:cs="Times New Roman"/>
          <w:b/>
          <w:szCs w:val="24"/>
          <w:lang w:eastAsia="uk-UA"/>
        </w:rPr>
        <w:t xml:space="preserve">4. </w:t>
      </w:r>
      <w:r w:rsidRPr="00C22C49">
        <w:rPr>
          <w:rFonts w:eastAsia="Times New Roman" w:cs="Times New Roman"/>
          <w:szCs w:val="24"/>
          <w:lang w:eastAsia="uk-UA"/>
        </w:rPr>
        <w:t>Реформування системи інформаційного забезпечення сфери управління відходами</w:t>
      </w:r>
    </w:p>
    <w:p w14:paraId="0896BDC1" w14:textId="77777777" w:rsidR="0030193F" w:rsidRPr="00C22C49" w:rsidRDefault="0030193F" w:rsidP="0030193F">
      <w:pPr>
        <w:ind w:left="360"/>
        <w:rPr>
          <w:rFonts w:eastAsia="Times New Roman" w:cs="Times New Roman"/>
          <w:b/>
          <w:szCs w:val="24"/>
          <w:lang w:eastAsia="uk-UA"/>
        </w:rPr>
      </w:pPr>
      <w:r w:rsidRPr="00C22C49">
        <w:rPr>
          <w:b/>
        </w:rPr>
        <w:t>Ціль</w:t>
      </w:r>
      <w:r w:rsidRPr="00C22C49">
        <w:t xml:space="preserve"> </w:t>
      </w:r>
      <w:r w:rsidRPr="00C22C49">
        <w:rPr>
          <w:rFonts w:eastAsia="Times New Roman" w:cs="Times New Roman"/>
          <w:b/>
          <w:szCs w:val="24"/>
          <w:lang w:eastAsia="uk-UA"/>
        </w:rPr>
        <w:t>5.</w:t>
      </w:r>
      <w:r w:rsidRPr="00C22C49">
        <w:t xml:space="preserve"> Забезпечення розбудова та модернізація інфраструктури управління відходами</w:t>
      </w:r>
    </w:p>
    <w:p w14:paraId="0896BDC2" w14:textId="77777777" w:rsidR="0030193F" w:rsidRPr="00C22C49" w:rsidRDefault="0030193F" w:rsidP="0030193F">
      <w:pPr>
        <w:ind w:left="360"/>
      </w:pPr>
      <w:r w:rsidRPr="00C22C49">
        <w:rPr>
          <w:b/>
        </w:rPr>
        <w:t xml:space="preserve">Ціль </w:t>
      </w:r>
      <w:r w:rsidRPr="00C22C49">
        <w:rPr>
          <w:rFonts w:eastAsia="Times New Roman" w:cs="Times New Roman"/>
          <w:b/>
          <w:szCs w:val="24"/>
          <w:lang w:eastAsia="uk-UA"/>
        </w:rPr>
        <w:t xml:space="preserve">6. </w:t>
      </w:r>
      <w:r w:rsidRPr="00C22C49">
        <w:rPr>
          <w:rFonts w:eastAsia="Times New Roman" w:cs="Times New Roman"/>
          <w:szCs w:val="24"/>
          <w:lang w:eastAsia="uk-UA"/>
        </w:rPr>
        <w:t>Підвищення обізнаності населення щодо управління відходами</w:t>
      </w:r>
    </w:p>
    <w:p w14:paraId="0896BDC4" w14:textId="77777777" w:rsidR="00420776" w:rsidRPr="00C22C49" w:rsidRDefault="00420776" w:rsidP="00420776">
      <w:r w:rsidRPr="00C22C49">
        <w:t>У ЗУ «Про управління відходами» встановлює тільки цільові показники щодо підготовки до повторного використання та рециклінгу побутових відходів. Для встановлення цільових показників, які відсутні у законах та проєктах законів був використаний наступний підхід. Цільові показники, які відсутні в українському чинному законодавстві були взяті із проєктів законів, розроблених на момент складання плану (відходи упаковки, відходи батарей та акумуляторів, ВЕЕО). Решта цільових показників були взяті із директив Європейського Союзу або базувались на експертній оцінці.</w:t>
      </w:r>
    </w:p>
    <w:p w14:paraId="0896BDC5" w14:textId="77777777" w:rsidR="007944E3" w:rsidRPr="00C22C49" w:rsidRDefault="007944E3"/>
    <w:p w14:paraId="0896BDC6" w14:textId="77777777" w:rsidR="003F7EC1" w:rsidRPr="00C22C49" w:rsidRDefault="0058773D" w:rsidP="00E66635">
      <w:pPr>
        <w:pStyle w:val="REDBoldonly"/>
      </w:pPr>
      <w:r w:rsidRPr="00C22C49">
        <w:t>Цільові показники з управління побутовими відходами</w:t>
      </w:r>
    </w:p>
    <w:p w14:paraId="0896BDC7" w14:textId="77777777" w:rsidR="003F7EC1" w:rsidRPr="00C22C49" w:rsidRDefault="00C432B4" w:rsidP="003F7EC1">
      <w:r w:rsidRPr="00C22C49">
        <w:t xml:space="preserve">Встановленні </w:t>
      </w:r>
      <w:r w:rsidR="00A717D1" w:rsidRPr="00C22C49">
        <w:t xml:space="preserve"> ЗУ «Про управління відходами» </w:t>
      </w:r>
      <w:r w:rsidRPr="00C22C49">
        <w:t xml:space="preserve">цільові показники </w:t>
      </w:r>
      <w:r w:rsidR="003F7EC1" w:rsidRPr="00C22C49">
        <w:t>щодо підготовки до повторного використання та рециклінгу побутових відходів:</w:t>
      </w:r>
    </w:p>
    <w:p w14:paraId="0896BDC8" w14:textId="77777777" w:rsidR="003F7EC1" w:rsidRPr="00C22C49" w:rsidRDefault="003F7EC1" w:rsidP="00CB612B">
      <w:pPr>
        <w:pStyle w:val="BulletRED"/>
      </w:pPr>
      <w:r w:rsidRPr="00C22C49">
        <w:t>до 2025 року - не менше 10 % їх маси;</w:t>
      </w:r>
    </w:p>
    <w:p w14:paraId="0896BDC9" w14:textId="77777777" w:rsidR="003F7EC1" w:rsidRPr="00C22C49" w:rsidRDefault="003F7EC1" w:rsidP="00CB612B">
      <w:pPr>
        <w:pStyle w:val="BulletRED"/>
      </w:pPr>
      <w:r w:rsidRPr="00C22C49">
        <w:t>до 2030 року - не менше 20 % їх маси;</w:t>
      </w:r>
    </w:p>
    <w:p w14:paraId="0896BDCA" w14:textId="77777777" w:rsidR="003F7EC1" w:rsidRPr="00C22C49" w:rsidRDefault="003F7EC1" w:rsidP="00CB612B">
      <w:pPr>
        <w:pStyle w:val="BulletRED"/>
      </w:pPr>
      <w:r w:rsidRPr="00C22C49">
        <w:t>до 2035 року - не менше 25 % їх маси;</w:t>
      </w:r>
    </w:p>
    <w:p w14:paraId="0896BDCB" w14:textId="77777777" w:rsidR="008B1E83" w:rsidRPr="00C22C49" w:rsidRDefault="003F7EC1" w:rsidP="00CB612B">
      <w:pPr>
        <w:pStyle w:val="BulletRED"/>
      </w:pPr>
      <w:r w:rsidRPr="00C22C49">
        <w:t>до 2040 року - не менше 35 % їх маси.</w:t>
      </w:r>
    </w:p>
    <w:p w14:paraId="0896BDCC" w14:textId="77777777" w:rsidR="009A0767" w:rsidRPr="00C22C49" w:rsidRDefault="009A0767" w:rsidP="00F40A88">
      <w:pPr>
        <w:pStyle w:val="BulletRED"/>
        <w:numPr>
          <w:ilvl w:val="0"/>
          <w:numId w:val="0"/>
        </w:numPr>
        <w:ind w:left="927" w:hanging="360"/>
      </w:pPr>
    </w:p>
    <w:p w14:paraId="0896BDCD" w14:textId="3201301B" w:rsidR="009A0767" w:rsidRPr="006E6336" w:rsidRDefault="008A1408" w:rsidP="009A0767">
      <w:pPr>
        <w:pStyle w:val="BulletRED"/>
        <w:numPr>
          <w:ilvl w:val="0"/>
          <w:numId w:val="0"/>
        </w:numPr>
      </w:pPr>
      <w:r w:rsidRPr="00C22C49">
        <w:t xml:space="preserve">Для </w:t>
      </w:r>
      <w:r w:rsidR="00BE6D54" w:rsidRPr="00C22C49">
        <w:t xml:space="preserve">досягнення показників ЄС щодо </w:t>
      </w:r>
      <w:r w:rsidR="00234B20" w:rsidRPr="006E6336">
        <w:t xml:space="preserve">зменшення захоронення побутових відходів </w:t>
      </w:r>
      <w:r w:rsidR="003654C5" w:rsidRPr="006E6336">
        <w:t>д</w:t>
      </w:r>
      <w:r w:rsidR="009A0767" w:rsidRPr="006E6336">
        <w:t xml:space="preserve">о </w:t>
      </w:r>
      <w:r w:rsidR="0094376B" w:rsidRPr="006E6336">
        <w:t>203</w:t>
      </w:r>
      <w:r w:rsidR="000763F3" w:rsidRPr="006E6336">
        <w:t>0</w:t>
      </w:r>
      <w:r w:rsidR="009A0767" w:rsidRPr="006E6336">
        <w:t xml:space="preserve"> р. кількість </w:t>
      </w:r>
      <w:r w:rsidR="00400995" w:rsidRPr="006E6336">
        <w:t xml:space="preserve">захоронення </w:t>
      </w:r>
      <w:r w:rsidR="009A0767" w:rsidRPr="006E6336">
        <w:t xml:space="preserve">побутових відходів необхідно зменшити до </w:t>
      </w:r>
      <w:r w:rsidR="005A3AE3" w:rsidRPr="006E6336">
        <w:t>30%</w:t>
      </w:r>
      <w:r w:rsidR="009A0767" w:rsidRPr="006E6336">
        <w:t xml:space="preserve"> від загальної маси побутових відходів</w:t>
      </w:r>
      <w:r w:rsidR="0076676A">
        <w:t xml:space="preserve"> (показник Національної стратегії управління відходами</w:t>
      </w:r>
      <w:r w:rsidR="0044552F">
        <w:t xml:space="preserve"> до 2030 року)</w:t>
      </w:r>
      <w:r w:rsidR="00E02ED9" w:rsidRPr="006E6336">
        <w:t>.</w:t>
      </w:r>
    </w:p>
    <w:p w14:paraId="0896BDCE" w14:textId="3056F977" w:rsidR="00F40A88" w:rsidRPr="00C22C49" w:rsidRDefault="0058773D" w:rsidP="00E66635">
      <w:pPr>
        <w:pStyle w:val="REDBoldonly"/>
      </w:pPr>
      <w:r w:rsidRPr="00C22C49">
        <w:t>Цільові показники з управління відходами, як</w:t>
      </w:r>
      <w:r w:rsidR="00405212" w:rsidRPr="00C22C49">
        <w:t>і</w:t>
      </w:r>
      <w:r w:rsidRPr="00C22C49">
        <w:t xml:space="preserve"> б</w:t>
      </w:r>
      <w:r w:rsidR="00405212" w:rsidRPr="00C22C49">
        <w:t>і</w:t>
      </w:r>
      <w:r w:rsidRPr="00C22C49">
        <w:t>олог</w:t>
      </w:r>
      <w:r w:rsidR="00405212" w:rsidRPr="00C22C49">
        <w:t>і</w:t>
      </w:r>
      <w:r w:rsidRPr="00C22C49">
        <w:t>чно розкладаються</w:t>
      </w:r>
    </w:p>
    <w:p w14:paraId="5F1E465E" w14:textId="5269FD80" w:rsidR="000156C5" w:rsidRDefault="00386699" w:rsidP="000156C5">
      <w:pPr>
        <w:rPr>
          <w:lang w:eastAsia="uk-UA"/>
        </w:rPr>
      </w:pPr>
      <w:r>
        <w:rPr>
          <w:lang w:eastAsia="uk-UA"/>
        </w:rPr>
        <w:t>Для</w:t>
      </w:r>
      <w:r w:rsidR="000156C5" w:rsidRPr="00E74A7D">
        <w:rPr>
          <w:lang w:eastAsia="uk-UA"/>
        </w:rPr>
        <w:t xml:space="preserve"> поступов</w:t>
      </w:r>
      <w:r>
        <w:rPr>
          <w:lang w:eastAsia="uk-UA"/>
        </w:rPr>
        <w:t>ого</w:t>
      </w:r>
      <w:r w:rsidR="000156C5" w:rsidRPr="00E74A7D">
        <w:rPr>
          <w:lang w:eastAsia="uk-UA"/>
        </w:rPr>
        <w:t xml:space="preserve"> наближення до європейського законодавства</w:t>
      </w:r>
      <w:r>
        <w:rPr>
          <w:lang w:eastAsia="uk-UA"/>
        </w:rPr>
        <w:t xml:space="preserve"> </w:t>
      </w:r>
      <w:r w:rsidR="000156C5" w:rsidRPr="00E74A7D">
        <w:rPr>
          <w:lang w:eastAsia="uk-UA"/>
        </w:rPr>
        <w:t>визнач</w:t>
      </w:r>
      <w:r>
        <w:rPr>
          <w:lang w:eastAsia="uk-UA"/>
        </w:rPr>
        <w:t xml:space="preserve">ено </w:t>
      </w:r>
      <w:r w:rsidR="000156C5" w:rsidRPr="00E74A7D">
        <w:rPr>
          <w:lang w:eastAsia="uk-UA"/>
        </w:rPr>
        <w:t>наступні цільові показники</w:t>
      </w:r>
      <w:r>
        <w:rPr>
          <w:lang w:eastAsia="uk-UA"/>
        </w:rPr>
        <w:t xml:space="preserve"> </w:t>
      </w:r>
      <w:r w:rsidR="000156C5">
        <w:rPr>
          <w:lang w:eastAsia="uk-UA"/>
        </w:rPr>
        <w:t xml:space="preserve">(від загальної маси побутових відходів, що біологічно розкладаються, утворених у 2016 року): </w:t>
      </w:r>
    </w:p>
    <w:p w14:paraId="277E6D20" w14:textId="77777777" w:rsidR="000156C5" w:rsidRDefault="000156C5" w:rsidP="000156C5">
      <w:pPr>
        <w:pStyle w:val="a7"/>
        <w:numPr>
          <w:ilvl w:val="0"/>
          <w:numId w:val="25"/>
        </w:numPr>
        <w:rPr>
          <w:lang w:eastAsia="uk-UA"/>
        </w:rPr>
      </w:pPr>
      <w:r>
        <w:rPr>
          <w:lang w:eastAsia="uk-UA"/>
        </w:rPr>
        <w:t xml:space="preserve">На полігонах, які приймають в день до 100 т відходів досягнення зменшення захоронення біовідходів на 25% до 2028 року. </w:t>
      </w:r>
    </w:p>
    <w:p w14:paraId="382D2A75" w14:textId="77777777" w:rsidR="000156C5" w:rsidRDefault="000156C5" w:rsidP="000156C5">
      <w:pPr>
        <w:pStyle w:val="a7"/>
        <w:numPr>
          <w:ilvl w:val="0"/>
          <w:numId w:val="25"/>
        </w:numPr>
        <w:rPr>
          <w:lang w:eastAsia="uk-UA"/>
        </w:rPr>
      </w:pPr>
      <w:r>
        <w:rPr>
          <w:lang w:eastAsia="uk-UA"/>
        </w:rPr>
        <w:t>На полігонах, які приймають в день більше 100 т відходів досягнення зменшення захоронення біовідходів на 25% до 2030 року.</w:t>
      </w:r>
    </w:p>
    <w:p w14:paraId="37C2AF6F" w14:textId="77777777" w:rsidR="000156C5" w:rsidRPr="00E74A7D" w:rsidRDefault="000156C5" w:rsidP="000156C5">
      <w:pPr>
        <w:pStyle w:val="a7"/>
        <w:numPr>
          <w:ilvl w:val="0"/>
          <w:numId w:val="25"/>
        </w:numPr>
        <w:rPr>
          <w:lang w:eastAsia="uk-UA"/>
        </w:rPr>
      </w:pPr>
      <w:r>
        <w:rPr>
          <w:lang w:eastAsia="uk-UA"/>
        </w:rPr>
        <w:t>До 2033 року захоронення побутових відходів, що біологічно розкладаються, необхідно зменшити до 50% від загальної маси побутових відходів, що біологічно розкладаються, утворених у 2016 року;</w:t>
      </w:r>
    </w:p>
    <w:p w14:paraId="0896BDD3" w14:textId="77777777" w:rsidR="00F40A88" w:rsidRPr="00C22C49" w:rsidRDefault="00F40A88" w:rsidP="00F40A88"/>
    <w:p w14:paraId="0896BDD4" w14:textId="77777777" w:rsidR="00227214" w:rsidRPr="00C22C49" w:rsidRDefault="0058773D" w:rsidP="00525054">
      <w:pPr>
        <w:pStyle w:val="REDBoldonly"/>
      </w:pPr>
      <w:r w:rsidRPr="00C22C49">
        <w:t>Цільові показники з управління відходами упаковки</w:t>
      </w:r>
    </w:p>
    <w:p w14:paraId="0896BDD5" w14:textId="550DA27C" w:rsidR="008D5A56" w:rsidRPr="00C22C49" w:rsidRDefault="0072484E" w:rsidP="008B1E83">
      <w:r>
        <w:t xml:space="preserve">Цільові показники </w:t>
      </w:r>
      <w:r w:rsidR="005C7DC9">
        <w:t>рециклінгу відходів упаковки визначаються</w:t>
      </w:r>
      <w:r w:rsidR="004901E4">
        <w:t xml:space="preserve"> законодавством про упаковку та відходи упаковки та</w:t>
      </w:r>
      <w:r w:rsidR="002D58FE">
        <w:t xml:space="preserve"> запроваджуються після прийняття відповідного законопроєкту </w:t>
      </w:r>
      <w:r w:rsidR="008D5A56" w:rsidRPr="00C22C49">
        <w:t xml:space="preserve"> </w:t>
      </w:r>
      <w:r w:rsidR="00347A91" w:rsidRPr="00C22C49">
        <w:t>«Про упаковку та відходи упаковки»</w:t>
      </w:r>
      <w:r w:rsidR="002D58FE">
        <w:t>. Проєкт закону</w:t>
      </w:r>
      <w:r w:rsidR="00347A91" w:rsidRPr="00C22C49">
        <w:t xml:space="preserve"> </w:t>
      </w:r>
      <w:r w:rsidR="00676D1F">
        <w:t xml:space="preserve">передбачає, що </w:t>
      </w:r>
      <w:r w:rsidR="00E143F6">
        <w:t>на наступний</w:t>
      </w:r>
      <w:r w:rsidR="00676D1F">
        <w:t xml:space="preserve"> </w:t>
      </w:r>
      <w:r w:rsidR="00676D1F" w:rsidRPr="00676D1F">
        <w:t xml:space="preserve">рік </w:t>
      </w:r>
      <w:r w:rsidR="00E143F6">
        <w:t xml:space="preserve">після </w:t>
      </w:r>
      <w:r w:rsidR="00676D1F" w:rsidRPr="00676D1F">
        <w:t xml:space="preserve">введення в дію цього </w:t>
      </w:r>
      <w:r w:rsidR="00E143F6">
        <w:t>закону з</w:t>
      </w:r>
      <w:r w:rsidR="00E143F6" w:rsidRPr="00E143F6">
        <w:t>агальна норма рециклінгу</w:t>
      </w:r>
      <w:r w:rsidR="00E143F6">
        <w:t xml:space="preserve"> </w:t>
      </w:r>
      <w:r w:rsidR="00BD22CE">
        <w:t xml:space="preserve">становитиме 30% із визначенням відсотку рециклінгу </w:t>
      </w:r>
      <w:r w:rsidR="005448AB">
        <w:t xml:space="preserve">окремо </w:t>
      </w:r>
      <w:r w:rsidR="00BD22CE">
        <w:t>для кожного виду віходів (</w:t>
      </w:r>
      <w:r w:rsidR="005448AB" w:rsidRPr="005448AB">
        <w:t>папір/ картон</w:t>
      </w:r>
      <w:r w:rsidR="005448AB">
        <w:t xml:space="preserve">, </w:t>
      </w:r>
      <w:r w:rsidR="005448AB" w:rsidRPr="005448AB">
        <w:t>скло</w:t>
      </w:r>
      <w:r w:rsidR="005448AB">
        <w:t xml:space="preserve">, </w:t>
      </w:r>
      <w:r w:rsidR="005448AB" w:rsidRPr="005448AB">
        <w:t>пластмаси</w:t>
      </w:r>
      <w:r w:rsidR="005448AB">
        <w:t xml:space="preserve">, </w:t>
      </w:r>
      <w:r w:rsidR="005448AB" w:rsidRPr="005448AB">
        <w:t>чорні метали</w:t>
      </w:r>
      <w:r w:rsidR="005448AB">
        <w:t xml:space="preserve">, </w:t>
      </w:r>
      <w:r w:rsidR="005448AB" w:rsidRPr="005448AB">
        <w:t>алюміній</w:t>
      </w:r>
      <w:r w:rsidR="005448AB">
        <w:t xml:space="preserve">, </w:t>
      </w:r>
      <w:r w:rsidR="005448AB" w:rsidRPr="005448AB">
        <w:t>дерево</w:t>
      </w:r>
      <w:r w:rsidR="005448AB">
        <w:t>)</w:t>
      </w:r>
      <w:r w:rsidR="007B4F86">
        <w:t xml:space="preserve"> із </w:t>
      </w:r>
      <w:r w:rsidR="0075540E">
        <w:t>наступним збільшенням щороку</w:t>
      </w:r>
      <w:r w:rsidR="005448AB">
        <w:t>.</w:t>
      </w:r>
      <w:r w:rsidR="00E143F6" w:rsidRPr="00E143F6">
        <w:t xml:space="preserve"> </w:t>
      </w:r>
      <w:r w:rsidR="005448AB">
        <w:t xml:space="preserve">Проєкт </w:t>
      </w:r>
      <w:r w:rsidR="00347A91" w:rsidRPr="00C22C49">
        <w:t>містить</w:t>
      </w:r>
      <w:r w:rsidR="008D5A56" w:rsidRPr="00C22C49">
        <w:t xml:space="preserve"> </w:t>
      </w:r>
      <w:r w:rsidR="00676D1F" w:rsidRPr="00C22C49">
        <w:t xml:space="preserve"> </w:t>
      </w:r>
      <w:r w:rsidR="005448AB">
        <w:t xml:space="preserve">наступні цільові </w:t>
      </w:r>
      <w:r w:rsidR="008D5A56" w:rsidRPr="00C22C49">
        <w:t>показники</w:t>
      </w:r>
      <w:r w:rsidR="00467523" w:rsidRPr="00C22C49">
        <w:t xml:space="preserve"> для відходів </w:t>
      </w:r>
      <w:r w:rsidR="00F47DFD" w:rsidRPr="00C22C49">
        <w:t>упаковки</w:t>
      </w:r>
      <w:r w:rsidR="005C12AC" w:rsidRPr="00C22C49">
        <w:t>.</w:t>
      </w:r>
      <w:r w:rsidR="008D5A56" w:rsidRPr="00C22C49">
        <w:t xml:space="preserve"> </w:t>
      </w:r>
    </w:p>
    <w:p w14:paraId="0896BE5D" w14:textId="77777777" w:rsidR="008D5A56" w:rsidRDefault="008D5A56" w:rsidP="008B1E83"/>
    <w:p w14:paraId="670A737E" w14:textId="5AB67BD0" w:rsidR="00A90763" w:rsidRDefault="009C5FEC" w:rsidP="000328A3">
      <w:r w:rsidRPr="009C5FEC">
        <w:t>Мінімальними цільовими показниками рециклінгу відходів упаковки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83"/>
        <w:gridCol w:w="970"/>
        <w:gridCol w:w="800"/>
        <w:gridCol w:w="1147"/>
        <w:gridCol w:w="1007"/>
        <w:gridCol w:w="1151"/>
        <w:gridCol w:w="1011"/>
        <w:gridCol w:w="1585"/>
      </w:tblGrid>
      <w:tr w:rsidR="00760D36" w:rsidRPr="00EE3D79" w14:paraId="5A3EDC58" w14:textId="77777777" w:rsidTr="00222C41">
        <w:trPr>
          <w:trHeight w:val="57"/>
        </w:trPr>
        <w:tc>
          <w:tcPr>
            <w:tcW w:w="1108" w:type="pct"/>
            <w:vMerge w:val="restart"/>
            <w:vAlign w:val="center"/>
            <w:hideMark/>
          </w:tcPr>
          <w:p w14:paraId="4DC3AFE5"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Роки (за які виконуються цільові показники)/ рециклінг</w:t>
            </w:r>
          </w:p>
        </w:tc>
        <w:tc>
          <w:tcPr>
            <w:tcW w:w="3088" w:type="pct"/>
            <w:gridSpan w:val="6"/>
            <w:vAlign w:val="center"/>
            <w:hideMark/>
          </w:tcPr>
          <w:p w14:paraId="673FC153"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Види відходів упаковки, відсотків</w:t>
            </w:r>
          </w:p>
        </w:tc>
        <w:tc>
          <w:tcPr>
            <w:tcW w:w="804" w:type="pct"/>
            <w:vMerge w:val="restart"/>
            <w:vAlign w:val="center"/>
            <w:hideMark/>
          </w:tcPr>
          <w:p w14:paraId="13E884E4"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Загальна норма рециклінгу, відсотків</w:t>
            </w:r>
          </w:p>
        </w:tc>
      </w:tr>
      <w:tr w:rsidR="00222C41" w:rsidRPr="00EE3D79" w14:paraId="72905C77" w14:textId="77777777" w:rsidTr="00222C41">
        <w:trPr>
          <w:trHeight w:val="57"/>
        </w:trPr>
        <w:tc>
          <w:tcPr>
            <w:tcW w:w="1108" w:type="pct"/>
            <w:vMerge/>
            <w:vAlign w:val="center"/>
            <w:hideMark/>
          </w:tcPr>
          <w:p w14:paraId="3897FAAE" w14:textId="77777777" w:rsidR="00760D36" w:rsidRPr="00EE3D79" w:rsidRDefault="00760D36" w:rsidP="00EE3D79">
            <w:pPr>
              <w:spacing w:before="0" w:after="0" w:line="240" w:lineRule="auto"/>
              <w:rPr>
                <w:rFonts w:cs="Times New Roman"/>
                <w:sz w:val="20"/>
                <w:lang w:eastAsia="ru-RU"/>
              </w:rPr>
            </w:pPr>
            <w:bookmarkStart w:id="34" w:name="_Hlk138773096" w:colFirst="1" w:colLast="6"/>
          </w:p>
        </w:tc>
        <w:tc>
          <w:tcPr>
            <w:tcW w:w="492" w:type="pct"/>
            <w:vAlign w:val="center"/>
            <w:hideMark/>
          </w:tcPr>
          <w:p w14:paraId="3978AF77"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папір/ картон</w:t>
            </w:r>
          </w:p>
        </w:tc>
        <w:tc>
          <w:tcPr>
            <w:tcW w:w="406" w:type="pct"/>
            <w:vAlign w:val="center"/>
            <w:hideMark/>
          </w:tcPr>
          <w:p w14:paraId="65F0424B"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скло</w:t>
            </w:r>
          </w:p>
        </w:tc>
        <w:tc>
          <w:tcPr>
            <w:tcW w:w="582" w:type="pct"/>
            <w:vAlign w:val="center"/>
            <w:hideMark/>
          </w:tcPr>
          <w:p w14:paraId="4D2C1DD3"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пластмаси</w:t>
            </w:r>
          </w:p>
        </w:tc>
        <w:tc>
          <w:tcPr>
            <w:tcW w:w="511" w:type="pct"/>
            <w:vAlign w:val="center"/>
            <w:hideMark/>
          </w:tcPr>
          <w:p w14:paraId="3080F4AE"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чорні метали</w:t>
            </w:r>
          </w:p>
        </w:tc>
        <w:tc>
          <w:tcPr>
            <w:tcW w:w="584" w:type="pct"/>
            <w:vAlign w:val="center"/>
            <w:hideMark/>
          </w:tcPr>
          <w:p w14:paraId="5E37868F"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алюміній</w:t>
            </w:r>
          </w:p>
        </w:tc>
        <w:tc>
          <w:tcPr>
            <w:tcW w:w="513" w:type="pct"/>
            <w:vAlign w:val="center"/>
            <w:hideMark/>
          </w:tcPr>
          <w:p w14:paraId="13320381"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дерево</w:t>
            </w:r>
          </w:p>
        </w:tc>
        <w:tc>
          <w:tcPr>
            <w:tcW w:w="804" w:type="pct"/>
            <w:vMerge/>
            <w:vAlign w:val="center"/>
            <w:hideMark/>
          </w:tcPr>
          <w:p w14:paraId="00BD2064" w14:textId="77777777" w:rsidR="00760D36" w:rsidRPr="00EE3D79" w:rsidRDefault="00760D36" w:rsidP="00EE3D79">
            <w:pPr>
              <w:spacing w:before="0" w:after="0" w:line="240" w:lineRule="auto"/>
              <w:rPr>
                <w:rFonts w:cs="Times New Roman"/>
                <w:sz w:val="20"/>
                <w:lang w:eastAsia="ru-RU"/>
              </w:rPr>
            </w:pPr>
          </w:p>
        </w:tc>
      </w:tr>
      <w:bookmarkEnd w:id="34"/>
      <w:tr w:rsidR="00222C41" w:rsidRPr="00EE3D79" w14:paraId="51B901B2" w14:textId="77777777" w:rsidTr="00222C41">
        <w:trPr>
          <w:trHeight w:val="57"/>
        </w:trPr>
        <w:tc>
          <w:tcPr>
            <w:tcW w:w="1108" w:type="pct"/>
            <w:hideMark/>
          </w:tcPr>
          <w:p w14:paraId="27382DA8"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X</w:t>
            </w:r>
          </w:p>
          <w:p w14:paraId="313C3EC1"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(рік введення в дію цього Закону)</w:t>
            </w:r>
          </w:p>
        </w:tc>
        <w:tc>
          <w:tcPr>
            <w:tcW w:w="492" w:type="pct"/>
          </w:tcPr>
          <w:p w14:paraId="6F4038D8" w14:textId="77777777" w:rsidR="00760D36" w:rsidRPr="00EE3D79" w:rsidRDefault="00760D36" w:rsidP="00EE3D79">
            <w:pPr>
              <w:spacing w:before="0" w:after="0" w:line="240" w:lineRule="auto"/>
              <w:rPr>
                <w:rFonts w:cs="Times New Roman"/>
                <w:sz w:val="20"/>
                <w:lang w:eastAsia="ru-RU"/>
              </w:rPr>
            </w:pPr>
          </w:p>
        </w:tc>
        <w:tc>
          <w:tcPr>
            <w:tcW w:w="406" w:type="pct"/>
          </w:tcPr>
          <w:p w14:paraId="0DD1A24B" w14:textId="77777777" w:rsidR="00760D36" w:rsidRPr="00EE3D79" w:rsidRDefault="00760D36" w:rsidP="00EE3D79">
            <w:pPr>
              <w:spacing w:before="0" w:after="0" w:line="240" w:lineRule="auto"/>
              <w:rPr>
                <w:rFonts w:cs="Times New Roman"/>
                <w:sz w:val="20"/>
                <w:lang w:eastAsia="ru-RU"/>
              </w:rPr>
            </w:pPr>
          </w:p>
        </w:tc>
        <w:tc>
          <w:tcPr>
            <w:tcW w:w="582" w:type="pct"/>
          </w:tcPr>
          <w:p w14:paraId="3E4BD969" w14:textId="77777777" w:rsidR="00760D36" w:rsidRPr="00EE3D79" w:rsidRDefault="00760D36" w:rsidP="00EE3D79">
            <w:pPr>
              <w:spacing w:before="0" w:after="0" w:line="240" w:lineRule="auto"/>
              <w:rPr>
                <w:rFonts w:cs="Times New Roman"/>
                <w:sz w:val="20"/>
                <w:lang w:eastAsia="ru-RU"/>
              </w:rPr>
            </w:pPr>
          </w:p>
        </w:tc>
        <w:tc>
          <w:tcPr>
            <w:tcW w:w="511" w:type="pct"/>
          </w:tcPr>
          <w:p w14:paraId="7EE05387" w14:textId="77777777" w:rsidR="00760D36" w:rsidRPr="00EE3D79" w:rsidRDefault="00760D36" w:rsidP="00EE3D79">
            <w:pPr>
              <w:spacing w:before="0" w:after="0" w:line="240" w:lineRule="auto"/>
              <w:rPr>
                <w:rFonts w:cs="Times New Roman"/>
                <w:sz w:val="20"/>
                <w:lang w:eastAsia="ru-RU"/>
              </w:rPr>
            </w:pPr>
          </w:p>
        </w:tc>
        <w:tc>
          <w:tcPr>
            <w:tcW w:w="584" w:type="pct"/>
          </w:tcPr>
          <w:p w14:paraId="7EF15FB2" w14:textId="77777777" w:rsidR="00760D36" w:rsidRPr="00EE3D79" w:rsidRDefault="00760D36" w:rsidP="00EE3D79">
            <w:pPr>
              <w:spacing w:before="0" w:after="0" w:line="240" w:lineRule="auto"/>
              <w:rPr>
                <w:rFonts w:cs="Times New Roman"/>
                <w:sz w:val="20"/>
                <w:lang w:eastAsia="ru-RU"/>
              </w:rPr>
            </w:pPr>
          </w:p>
        </w:tc>
        <w:tc>
          <w:tcPr>
            <w:tcW w:w="513" w:type="pct"/>
          </w:tcPr>
          <w:p w14:paraId="0CF12109" w14:textId="77777777" w:rsidR="00760D36" w:rsidRPr="00EE3D79" w:rsidRDefault="00760D36" w:rsidP="00EE3D79">
            <w:pPr>
              <w:spacing w:before="0" w:after="0" w:line="240" w:lineRule="auto"/>
              <w:rPr>
                <w:rFonts w:cs="Times New Roman"/>
                <w:sz w:val="20"/>
                <w:lang w:eastAsia="ru-RU"/>
              </w:rPr>
            </w:pPr>
          </w:p>
        </w:tc>
        <w:tc>
          <w:tcPr>
            <w:tcW w:w="804" w:type="pct"/>
          </w:tcPr>
          <w:p w14:paraId="198D0301" w14:textId="77777777" w:rsidR="00760D36" w:rsidRPr="00EE3D79" w:rsidRDefault="00760D36" w:rsidP="00EE3D79">
            <w:pPr>
              <w:spacing w:before="0" w:after="0" w:line="240" w:lineRule="auto"/>
              <w:rPr>
                <w:rFonts w:cs="Times New Roman"/>
                <w:sz w:val="20"/>
                <w:lang w:eastAsia="ru-RU"/>
              </w:rPr>
            </w:pPr>
          </w:p>
        </w:tc>
      </w:tr>
      <w:tr w:rsidR="00222C41" w:rsidRPr="00EE3D79" w14:paraId="42174CA0" w14:textId="77777777" w:rsidTr="00222C41">
        <w:trPr>
          <w:trHeight w:val="57"/>
        </w:trPr>
        <w:tc>
          <w:tcPr>
            <w:tcW w:w="1108" w:type="pct"/>
            <w:hideMark/>
          </w:tcPr>
          <w:p w14:paraId="4182FCAE"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 xml:space="preserve">Х + 1 </w:t>
            </w:r>
          </w:p>
        </w:tc>
        <w:tc>
          <w:tcPr>
            <w:tcW w:w="492" w:type="pct"/>
            <w:hideMark/>
          </w:tcPr>
          <w:p w14:paraId="59247215"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30</w:t>
            </w:r>
          </w:p>
        </w:tc>
        <w:tc>
          <w:tcPr>
            <w:tcW w:w="406" w:type="pct"/>
            <w:hideMark/>
          </w:tcPr>
          <w:p w14:paraId="6639656B"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30</w:t>
            </w:r>
          </w:p>
        </w:tc>
        <w:tc>
          <w:tcPr>
            <w:tcW w:w="582" w:type="pct"/>
            <w:hideMark/>
          </w:tcPr>
          <w:p w14:paraId="42F4B940"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15</w:t>
            </w:r>
          </w:p>
        </w:tc>
        <w:tc>
          <w:tcPr>
            <w:tcW w:w="511" w:type="pct"/>
            <w:hideMark/>
          </w:tcPr>
          <w:p w14:paraId="41739DFF"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20</w:t>
            </w:r>
          </w:p>
        </w:tc>
        <w:tc>
          <w:tcPr>
            <w:tcW w:w="584" w:type="pct"/>
            <w:hideMark/>
          </w:tcPr>
          <w:p w14:paraId="0B811FFF"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15</w:t>
            </w:r>
          </w:p>
        </w:tc>
        <w:tc>
          <w:tcPr>
            <w:tcW w:w="513" w:type="pct"/>
            <w:hideMark/>
          </w:tcPr>
          <w:p w14:paraId="73B543BD"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5</w:t>
            </w:r>
          </w:p>
        </w:tc>
        <w:tc>
          <w:tcPr>
            <w:tcW w:w="804" w:type="pct"/>
            <w:hideMark/>
          </w:tcPr>
          <w:p w14:paraId="0BF49C27"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30</w:t>
            </w:r>
          </w:p>
        </w:tc>
      </w:tr>
      <w:tr w:rsidR="00222C41" w:rsidRPr="00EE3D79" w14:paraId="5D636A1C" w14:textId="77777777" w:rsidTr="00222C41">
        <w:trPr>
          <w:trHeight w:val="57"/>
        </w:trPr>
        <w:tc>
          <w:tcPr>
            <w:tcW w:w="1108" w:type="pct"/>
            <w:hideMark/>
          </w:tcPr>
          <w:p w14:paraId="12E36268"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Х + 2</w:t>
            </w:r>
          </w:p>
        </w:tc>
        <w:tc>
          <w:tcPr>
            <w:tcW w:w="492" w:type="pct"/>
            <w:hideMark/>
          </w:tcPr>
          <w:p w14:paraId="3842DFD0"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35</w:t>
            </w:r>
          </w:p>
        </w:tc>
        <w:tc>
          <w:tcPr>
            <w:tcW w:w="406" w:type="pct"/>
            <w:hideMark/>
          </w:tcPr>
          <w:p w14:paraId="7890F298"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35</w:t>
            </w:r>
          </w:p>
        </w:tc>
        <w:tc>
          <w:tcPr>
            <w:tcW w:w="582" w:type="pct"/>
            <w:hideMark/>
          </w:tcPr>
          <w:p w14:paraId="6BB7AEB9"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20</w:t>
            </w:r>
          </w:p>
        </w:tc>
        <w:tc>
          <w:tcPr>
            <w:tcW w:w="511" w:type="pct"/>
            <w:hideMark/>
          </w:tcPr>
          <w:p w14:paraId="00B6D2A4"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25</w:t>
            </w:r>
          </w:p>
        </w:tc>
        <w:tc>
          <w:tcPr>
            <w:tcW w:w="584" w:type="pct"/>
            <w:hideMark/>
          </w:tcPr>
          <w:p w14:paraId="00BB928E"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20</w:t>
            </w:r>
          </w:p>
        </w:tc>
        <w:tc>
          <w:tcPr>
            <w:tcW w:w="513" w:type="pct"/>
            <w:hideMark/>
          </w:tcPr>
          <w:p w14:paraId="36F2152C"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w:t>
            </w:r>
          </w:p>
        </w:tc>
        <w:tc>
          <w:tcPr>
            <w:tcW w:w="804" w:type="pct"/>
            <w:hideMark/>
          </w:tcPr>
          <w:p w14:paraId="0023182F"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33</w:t>
            </w:r>
          </w:p>
        </w:tc>
      </w:tr>
      <w:tr w:rsidR="00222C41" w:rsidRPr="00EE3D79" w14:paraId="481D09D7" w14:textId="77777777" w:rsidTr="00222C41">
        <w:trPr>
          <w:trHeight w:val="57"/>
        </w:trPr>
        <w:tc>
          <w:tcPr>
            <w:tcW w:w="1108" w:type="pct"/>
            <w:hideMark/>
          </w:tcPr>
          <w:p w14:paraId="49EAA65D"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Х + 3</w:t>
            </w:r>
          </w:p>
        </w:tc>
        <w:tc>
          <w:tcPr>
            <w:tcW w:w="492" w:type="pct"/>
            <w:hideMark/>
          </w:tcPr>
          <w:p w14:paraId="49FD1F1E"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40</w:t>
            </w:r>
          </w:p>
        </w:tc>
        <w:tc>
          <w:tcPr>
            <w:tcW w:w="406" w:type="pct"/>
            <w:hideMark/>
          </w:tcPr>
          <w:p w14:paraId="0E9F99DE"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40</w:t>
            </w:r>
          </w:p>
        </w:tc>
        <w:tc>
          <w:tcPr>
            <w:tcW w:w="582" w:type="pct"/>
            <w:hideMark/>
          </w:tcPr>
          <w:p w14:paraId="1BDE9691"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25</w:t>
            </w:r>
          </w:p>
        </w:tc>
        <w:tc>
          <w:tcPr>
            <w:tcW w:w="511" w:type="pct"/>
            <w:hideMark/>
          </w:tcPr>
          <w:p w14:paraId="45430600"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30</w:t>
            </w:r>
          </w:p>
        </w:tc>
        <w:tc>
          <w:tcPr>
            <w:tcW w:w="584" w:type="pct"/>
            <w:hideMark/>
          </w:tcPr>
          <w:p w14:paraId="374A1939"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25</w:t>
            </w:r>
          </w:p>
        </w:tc>
        <w:tc>
          <w:tcPr>
            <w:tcW w:w="513" w:type="pct"/>
            <w:hideMark/>
          </w:tcPr>
          <w:p w14:paraId="30B676C6"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10</w:t>
            </w:r>
          </w:p>
        </w:tc>
        <w:tc>
          <w:tcPr>
            <w:tcW w:w="804" w:type="pct"/>
            <w:hideMark/>
          </w:tcPr>
          <w:p w14:paraId="62F76651"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35</w:t>
            </w:r>
          </w:p>
        </w:tc>
      </w:tr>
      <w:tr w:rsidR="00222C41" w:rsidRPr="00EE3D79" w14:paraId="56B886E6" w14:textId="77777777" w:rsidTr="00222C41">
        <w:trPr>
          <w:trHeight w:val="57"/>
        </w:trPr>
        <w:tc>
          <w:tcPr>
            <w:tcW w:w="1108" w:type="pct"/>
            <w:hideMark/>
          </w:tcPr>
          <w:p w14:paraId="1D0F63D6"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Х + 4</w:t>
            </w:r>
          </w:p>
        </w:tc>
        <w:tc>
          <w:tcPr>
            <w:tcW w:w="492" w:type="pct"/>
            <w:hideMark/>
          </w:tcPr>
          <w:p w14:paraId="7275BD57"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45</w:t>
            </w:r>
          </w:p>
        </w:tc>
        <w:tc>
          <w:tcPr>
            <w:tcW w:w="406" w:type="pct"/>
            <w:hideMark/>
          </w:tcPr>
          <w:p w14:paraId="29EDA014"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45</w:t>
            </w:r>
          </w:p>
        </w:tc>
        <w:tc>
          <w:tcPr>
            <w:tcW w:w="582" w:type="pct"/>
            <w:hideMark/>
          </w:tcPr>
          <w:p w14:paraId="1C22E148"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30</w:t>
            </w:r>
          </w:p>
        </w:tc>
        <w:tc>
          <w:tcPr>
            <w:tcW w:w="511" w:type="pct"/>
            <w:hideMark/>
          </w:tcPr>
          <w:p w14:paraId="01293B9C"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35</w:t>
            </w:r>
          </w:p>
        </w:tc>
        <w:tc>
          <w:tcPr>
            <w:tcW w:w="584" w:type="pct"/>
            <w:hideMark/>
          </w:tcPr>
          <w:p w14:paraId="25E088D8"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30</w:t>
            </w:r>
          </w:p>
        </w:tc>
        <w:tc>
          <w:tcPr>
            <w:tcW w:w="513" w:type="pct"/>
            <w:hideMark/>
          </w:tcPr>
          <w:p w14:paraId="31EE90A6"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15</w:t>
            </w:r>
          </w:p>
        </w:tc>
        <w:tc>
          <w:tcPr>
            <w:tcW w:w="804" w:type="pct"/>
            <w:hideMark/>
          </w:tcPr>
          <w:p w14:paraId="28300EE7"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38</w:t>
            </w:r>
          </w:p>
        </w:tc>
      </w:tr>
      <w:tr w:rsidR="00222C41" w:rsidRPr="00EE3D79" w14:paraId="56672B66" w14:textId="77777777" w:rsidTr="00222C41">
        <w:trPr>
          <w:trHeight w:val="57"/>
        </w:trPr>
        <w:tc>
          <w:tcPr>
            <w:tcW w:w="1108" w:type="pct"/>
            <w:hideMark/>
          </w:tcPr>
          <w:p w14:paraId="001C18FC"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Х + 5</w:t>
            </w:r>
          </w:p>
        </w:tc>
        <w:tc>
          <w:tcPr>
            <w:tcW w:w="492" w:type="pct"/>
            <w:hideMark/>
          </w:tcPr>
          <w:p w14:paraId="50F73B3C"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50</w:t>
            </w:r>
          </w:p>
        </w:tc>
        <w:tc>
          <w:tcPr>
            <w:tcW w:w="406" w:type="pct"/>
            <w:hideMark/>
          </w:tcPr>
          <w:p w14:paraId="37A855C6"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50</w:t>
            </w:r>
          </w:p>
        </w:tc>
        <w:tc>
          <w:tcPr>
            <w:tcW w:w="582" w:type="pct"/>
            <w:hideMark/>
          </w:tcPr>
          <w:p w14:paraId="4FEF6126"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35</w:t>
            </w:r>
          </w:p>
        </w:tc>
        <w:tc>
          <w:tcPr>
            <w:tcW w:w="511" w:type="pct"/>
            <w:hideMark/>
          </w:tcPr>
          <w:p w14:paraId="2D6ECEF0"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40</w:t>
            </w:r>
          </w:p>
        </w:tc>
        <w:tc>
          <w:tcPr>
            <w:tcW w:w="584" w:type="pct"/>
            <w:hideMark/>
          </w:tcPr>
          <w:p w14:paraId="0F05A8C1"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35</w:t>
            </w:r>
          </w:p>
        </w:tc>
        <w:tc>
          <w:tcPr>
            <w:tcW w:w="513" w:type="pct"/>
            <w:hideMark/>
          </w:tcPr>
          <w:p w14:paraId="6727A63D"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20</w:t>
            </w:r>
          </w:p>
        </w:tc>
        <w:tc>
          <w:tcPr>
            <w:tcW w:w="804" w:type="pct"/>
            <w:hideMark/>
          </w:tcPr>
          <w:p w14:paraId="77215FDA"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40</w:t>
            </w:r>
          </w:p>
        </w:tc>
      </w:tr>
      <w:tr w:rsidR="00222C41" w:rsidRPr="00EE3D79" w14:paraId="20F37F44" w14:textId="77777777" w:rsidTr="00222C41">
        <w:trPr>
          <w:trHeight w:val="57"/>
        </w:trPr>
        <w:tc>
          <w:tcPr>
            <w:tcW w:w="1108" w:type="pct"/>
            <w:hideMark/>
          </w:tcPr>
          <w:p w14:paraId="4EF8D5F9"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Х</w:t>
            </w:r>
            <w:r w:rsidRPr="00EE3D79">
              <w:rPr>
                <w:rFonts w:cs="Times New Roman"/>
                <w:sz w:val="20"/>
                <w:lang w:val="en-US" w:eastAsia="ru-RU"/>
              </w:rPr>
              <w:t xml:space="preserve"> </w:t>
            </w:r>
            <w:r w:rsidRPr="00EE3D79">
              <w:rPr>
                <w:rFonts w:cs="Times New Roman"/>
                <w:sz w:val="20"/>
                <w:lang w:eastAsia="ru-RU"/>
              </w:rPr>
              <w:t>+</w:t>
            </w:r>
            <w:r w:rsidRPr="00EE3D79">
              <w:rPr>
                <w:rFonts w:cs="Times New Roman"/>
                <w:sz w:val="20"/>
                <w:lang w:val="en-US" w:eastAsia="ru-RU"/>
              </w:rPr>
              <w:t xml:space="preserve"> </w:t>
            </w:r>
            <w:r w:rsidRPr="00EE3D79">
              <w:rPr>
                <w:rFonts w:cs="Times New Roman"/>
                <w:sz w:val="20"/>
                <w:lang w:eastAsia="ru-RU"/>
              </w:rPr>
              <w:t>6</w:t>
            </w:r>
          </w:p>
        </w:tc>
        <w:tc>
          <w:tcPr>
            <w:tcW w:w="492" w:type="pct"/>
            <w:hideMark/>
          </w:tcPr>
          <w:p w14:paraId="3B359D34"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55</w:t>
            </w:r>
          </w:p>
        </w:tc>
        <w:tc>
          <w:tcPr>
            <w:tcW w:w="406" w:type="pct"/>
            <w:hideMark/>
          </w:tcPr>
          <w:p w14:paraId="12DCB560"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55</w:t>
            </w:r>
          </w:p>
        </w:tc>
        <w:tc>
          <w:tcPr>
            <w:tcW w:w="582" w:type="pct"/>
            <w:hideMark/>
          </w:tcPr>
          <w:p w14:paraId="3826E36A"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40</w:t>
            </w:r>
          </w:p>
        </w:tc>
        <w:tc>
          <w:tcPr>
            <w:tcW w:w="511" w:type="pct"/>
            <w:hideMark/>
          </w:tcPr>
          <w:p w14:paraId="46EF348C"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50</w:t>
            </w:r>
          </w:p>
        </w:tc>
        <w:tc>
          <w:tcPr>
            <w:tcW w:w="584" w:type="pct"/>
            <w:hideMark/>
          </w:tcPr>
          <w:p w14:paraId="61BFACEF"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40</w:t>
            </w:r>
          </w:p>
        </w:tc>
        <w:tc>
          <w:tcPr>
            <w:tcW w:w="513" w:type="pct"/>
            <w:hideMark/>
          </w:tcPr>
          <w:p w14:paraId="115A3102"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25</w:t>
            </w:r>
          </w:p>
        </w:tc>
        <w:tc>
          <w:tcPr>
            <w:tcW w:w="804" w:type="pct"/>
            <w:hideMark/>
          </w:tcPr>
          <w:p w14:paraId="4C16C795"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45</w:t>
            </w:r>
          </w:p>
        </w:tc>
      </w:tr>
      <w:tr w:rsidR="00222C41" w:rsidRPr="00EE3D79" w14:paraId="3D9ABDB4" w14:textId="77777777" w:rsidTr="00222C41">
        <w:trPr>
          <w:trHeight w:val="57"/>
        </w:trPr>
        <w:tc>
          <w:tcPr>
            <w:tcW w:w="1108" w:type="pct"/>
            <w:hideMark/>
          </w:tcPr>
          <w:p w14:paraId="386608E7"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Х</w:t>
            </w:r>
            <w:r w:rsidRPr="00EE3D79">
              <w:rPr>
                <w:rFonts w:cs="Times New Roman"/>
                <w:sz w:val="20"/>
                <w:lang w:val="en-US" w:eastAsia="ru-RU"/>
              </w:rPr>
              <w:t xml:space="preserve"> </w:t>
            </w:r>
            <w:r w:rsidRPr="00EE3D79">
              <w:rPr>
                <w:rFonts w:cs="Times New Roman"/>
                <w:sz w:val="20"/>
                <w:lang w:eastAsia="ru-RU"/>
              </w:rPr>
              <w:t>+</w:t>
            </w:r>
            <w:r w:rsidRPr="00EE3D79">
              <w:rPr>
                <w:rFonts w:cs="Times New Roman"/>
                <w:sz w:val="20"/>
                <w:lang w:val="en-US" w:eastAsia="ru-RU"/>
              </w:rPr>
              <w:t xml:space="preserve"> </w:t>
            </w:r>
            <w:r w:rsidRPr="00EE3D79">
              <w:rPr>
                <w:rFonts w:cs="Times New Roman"/>
                <w:sz w:val="20"/>
                <w:lang w:eastAsia="ru-RU"/>
              </w:rPr>
              <w:t>7</w:t>
            </w:r>
          </w:p>
        </w:tc>
        <w:tc>
          <w:tcPr>
            <w:tcW w:w="492" w:type="pct"/>
            <w:hideMark/>
          </w:tcPr>
          <w:p w14:paraId="3D705E69"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60</w:t>
            </w:r>
          </w:p>
        </w:tc>
        <w:tc>
          <w:tcPr>
            <w:tcW w:w="406" w:type="pct"/>
            <w:hideMark/>
          </w:tcPr>
          <w:p w14:paraId="1AE2A97B"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60</w:t>
            </w:r>
          </w:p>
        </w:tc>
        <w:tc>
          <w:tcPr>
            <w:tcW w:w="582" w:type="pct"/>
            <w:hideMark/>
          </w:tcPr>
          <w:p w14:paraId="048C842B"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45</w:t>
            </w:r>
          </w:p>
        </w:tc>
        <w:tc>
          <w:tcPr>
            <w:tcW w:w="511" w:type="pct"/>
            <w:hideMark/>
          </w:tcPr>
          <w:p w14:paraId="1DB706BE"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60</w:t>
            </w:r>
          </w:p>
        </w:tc>
        <w:tc>
          <w:tcPr>
            <w:tcW w:w="584" w:type="pct"/>
            <w:hideMark/>
          </w:tcPr>
          <w:p w14:paraId="118A6571"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45</w:t>
            </w:r>
          </w:p>
        </w:tc>
        <w:tc>
          <w:tcPr>
            <w:tcW w:w="513" w:type="pct"/>
            <w:hideMark/>
          </w:tcPr>
          <w:p w14:paraId="05625F4B"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27</w:t>
            </w:r>
          </w:p>
        </w:tc>
        <w:tc>
          <w:tcPr>
            <w:tcW w:w="804" w:type="pct"/>
            <w:hideMark/>
          </w:tcPr>
          <w:p w14:paraId="29EE7F6A"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50</w:t>
            </w:r>
          </w:p>
        </w:tc>
      </w:tr>
      <w:tr w:rsidR="00222C41" w:rsidRPr="00EE3D79" w14:paraId="6A17DF8A" w14:textId="77777777" w:rsidTr="00222C41">
        <w:trPr>
          <w:trHeight w:val="57"/>
        </w:trPr>
        <w:tc>
          <w:tcPr>
            <w:tcW w:w="1108" w:type="pct"/>
            <w:hideMark/>
          </w:tcPr>
          <w:p w14:paraId="746C8511"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X</w:t>
            </w:r>
            <w:r w:rsidRPr="00EE3D79">
              <w:rPr>
                <w:rFonts w:cs="Times New Roman"/>
                <w:sz w:val="20"/>
                <w:lang w:val="en-US" w:eastAsia="ru-RU"/>
              </w:rPr>
              <w:t xml:space="preserve"> </w:t>
            </w:r>
            <w:r w:rsidRPr="00EE3D79">
              <w:rPr>
                <w:rFonts w:cs="Times New Roman"/>
                <w:sz w:val="20"/>
                <w:lang w:eastAsia="ru-RU"/>
              </w:rPr>
              <w:t>+</w:t>
            </w:r>
            <w:r w:rsidRPr="00EE3D79">
              <w:rPr>
                <w:rFonts w:cs="Times New Roman"/>
                <w:sz w:val="20"/>
                <w:lang w:val="en-US" w:eastAsia="ru-RU"/>
              </w:rPr>
              <w:t xml:space="preserve"> </w:t>
            </w:r>
            <w:r w:rsidRPr="00EE3D79">
              <w:rPr>
                <w:rFonts w:cs="Times New Roman"/>
                <w:sz w:val="20"/>
                <w:lang w:eastAsia="ru-RU"/>
              </w:rPr>
              <w:t>8</w:t>
            </w:r>
          </w:p>
        </w:tc>
        <w:tc>
          <w:tcPr>
            <w:tcW w:w="492" w:type="pct"/>
            <w:hideMark/>
          </w:tcPr>
          <w:p w14:paraId="0239E5D9"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65</w:t>
            </w:r>
          </w:p>
        </w:tc>
        <w:tc>
          <w:tcPr>
            <w:tcW w:w="406" w:type="pct"/>
            <w:hideMark/>
          </w:tcPr>
          <w:p w14:paraId="0233754D"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65</w:t>
            </w:r>
          </w:p>
        </w:tc>
        <w:tc>
          <w:tcPr>
            <w:tcW w:w="582" w:type="pct"/>
            <w:hideMark/>
          </w:tcPr>
          <w:p w14:paraId="0B27B8AF"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50</w:t>
            </w:r>
          </w:p>
        </w:tc>
        <w:tc>
          <w:tcPr>
            <w:tcW w:w="511" w:type="pct"/>
            <w:hideMark/>
          </w:tcPr>
          <w:p w14:paraId="0DE4D469"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70</w:t>
            </w:r>
          </w:p>
        </w:tc>
        <w:tc>
          <w:tcPr>
            <w:tcW w:w="584" w:type="pct"/>
            <w:hideMark/>
          </w:tcPr>
          <w:p w14:paraId="1EB56CE6"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50</w:t>
            </w:r>
          </w:p>
        </w:tc>
        <w:tc>
          <w:tcPr>
            <w:tcW w:w="513" w:type="pct"/>
            <w:hideMark/>
          </w:tcPr>
          <w:p w14:paraId="311F700B"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30</w:t>
            </w:r>
          </w:p>
        </w:tc>
        <w:tc>
          <w:tcPr>
            <w:tcW w:w="804" w:type="pct"/>
            <w:hideMark/>
          </w:tcPr>
          <w:p w14:paraId="1E1A1803"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55</w:t>
            </w:r>
          </w:p>
        </w:tc>
      </w:tr>
      <w:tr w:rsidR="00222C41" w:rsidRPr="00EE3D79" w14:paraId="40107BA8" w14:textId="77777777" w:rsidTr="00222C41">
        <w:trPr>
          <w:trHeight w:val="57"/>
        </w:trPr>
        <w:tc>
          <w:tcPr>
            <w:tcW w:w="1108" w:type="pct"/>
            <w:hideMark/>
          </w:tcPr>
          <w:p w14:paraId="30E790AB"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X</w:t>
            </w:r>
            <w:r w:rsidRPr="00EE3D79">
              <w:rPr>
                <w:rFonts w:cs="Times New Roman"/>
                <w:sz w:val="20"/>
                <w:lang w:val="en-US" w:eastAsia="ru-RU"/>
              </w:rPr>
              <w:t xml:space="preserve"> </w:t>
            </w:r>
            <w:r w:rsidRPr="00EE3D79">
              <w:rPr>
                <w:rFonts w:cs="Times New Roman"/>
                <w:sz w:val="20"/>
                <w:lang w:eastAsia="ru-RU"/>
              </w:rPr>
              <w:t>+</w:t>
            </w:r>
            <w:r w:rsidRPr="00EE3D79">
              <w:rPr>
                <w:rFonts w:cs="Times New Roman"/>
                <w:sz w:val="20"/>
                <w:lang w:val="en-US" w:eastAsia="ru-RU"/>
              </w:rPr>
              <w:t xml:space="preserve"> </w:t>
            </w:r>
            <w:r w:rsidRPr="00EE3D79">
              <w:rPr>
                <w:rFonts w:cs="Times New Roman"/>
                <w:sz w:val="20"/>
                <w:lang w:eastAsia="ru-RU"/>
              </w:rPr>
              <w:t>9</w:t>
            </w:r>
          </w:p>
        </w:tc>
        <w:tc>
          <w:tcPr>
            <w:tcW w:w="492" w:type="pct"/>
            <w:hideMark/>
          </w:tcPr>
          <w:p w14:paraId="3EA5BA4D"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70</w:t>
            </w:r>
          </w:p>
        </w:tc>
        <w:tc>
          <w:tcPr>
            <w:tcW w:w="406" w:type="pct"/>
            <w:hideMark/>
          </w:tcPr>
          <w:p w14:paraId="76E8EF11"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70</w:t>
            </w:r>
          </w:p>
        </w:tc>
        <w:tc>
          <w:tcPr>
            <w:tcW w:w="582" w:type="pct"/>
            <w:hideMark/>
          </w:tcPr>
          <w:p w14:paraId="612849DF"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55</w:t>
            </w:r>
          </w:p>
        </w:tc>
        <w:tc>
          <w:tcPr>
            <w:tcW w:w="511" w:type="pct"/>
            <w:hideMark/>
          </w:tcPr>
          <w:p w14:paraId="61A6E306"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75</w:t>
            </w:r>
          </w:p>
        </w:tc>
        <w:tc>
          <w:tcPr>
            <w:tcW w:w="584" w:type="pct"/>
            <w:hideMark/>
          </w:tcPr>
          <w:p w14:paraId="5A60566A"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55</w:t>
            </w:r>
          </w:p>
        </w:tc>
        <w:tc>
          <w:tcPr>
            <w:tcW w:w="513" w:type="pct"/>
            <w:hideMark/>
          </w:tcPr>
          <w:p w14:paraId="3CDFF64D"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33</w:t>
            </w:r>
          </w:p>
        </w:tc>
        <w:tc>
          <w:tcPr>
            <w:tcW w:w="804" w:type="pct"/>
            <w:hideMark/>
          </w:tcPr>
          <w:p w14:paraId="76F8C0FC"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60</w:t>
            </w:r>
          </w:p>
        </w:tc>
      </w:tr>
      <w:tr w:rsidR="00222C41" w:rsidRPr="00EE3D79" w14:paraId="754B4BE0" w14:textId="77777777" w:rsidTr="00222C41">
        <w:trPr>
          <w:trHeight w:val="57"/>
        </w:trPr>
        <w:tc>
          <w:tcPr>
            <w:tcW w:w="1108" w:type="pct"/>
            <w:hideMark/>
          </w:tcPr>
          <w:p w14:paraId="5364BC77" w14:textId="77777777" w:rsidR="00760D36" w:rsidRPr="00EE3D79" w:rsidRDefault="00760D36" w:rsidP="00EE3D79">
            <w:pPr>
              <w:spacing w:before="0" w:after="0" w:line="240" w:lineRule="auto"/>
              <w:rPr>
                <w:rFonts w:cs="Times New Roman"/>
                <w:sz w:val="20"/>
                <w:lang w:eastAsia="ru-RU"/>
              </w:rPr>
            </w:pPr>
            <w:r w:rsidRPr="00EE3D79">
              <w:rPr>
                <w:rFonts w:cs="Times New Roman"/>
                <w:sz w:val="20"/>
                <w:lang w:eastAsia="ru-RU"/>
              </w:rPr>
              <w:t>X</w:t>
            </w:r>
            <w:r w:rsidRPr="00EE3D79">
              <w:rPr>
                <w:rFonts w:cs="Times New Roman"/>
                <w:sz w:val="20"/>
                <w:lang w:val="en-US" w:eastAsia="ru-RU"/>
              </w:rPr>
              <w:t xml:space="preserve"> </w:t>
            </w:r>
            <w:r w:rsidRPr="00EE3D79">
              <w:rPr>
                <w:rFonts w:cs="Times New Roman"/>
                <w:sz w:val="20"/>
                <w:lang w:eastAsia="ru-RU"/>
              </w:rPr>
              <w:t>+</w:t>
            </w:r>
            <w:r w:rsidRPr="00EE3D79">
              <w:rPr>
                <w:rFonts w:cs="Times New Roman"/>
                <w:sz w:val="20"/>
                <w:lang w:val="en-US" w:eastAsia="ru-RU"/>
              </w:rPr>
              <w:t xml:space="preserve"> </w:t>
            </w:r>
            <w:r w:rsidRPr="00EE3D79">
              <w:rPr>
                <w:rFonts w:cs="Times New Roman"/>
                <w:sz w:val="20"/>
                <w:lang w:eastAsia="ru-RU"/>
              </w:rPr>
              <w:t>n</w:t>
            </w:r>
          </w:p>
        </w:tc>
        <w:tc>
          <w:tcPr>
            <w:tcW w:w="492" w:type="pct"/>
            <w:hideMark/>
          </w:tcPr>
          <w:p w14:paraId="5A9EF24D"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75</w:t>
            </w:r>
          </w:p>
        </w:tc>
        <w:tc>
          <w:tcPr>
            <w:tcW w:w="406" w:type="pct"/>
            <w:hideMark/>
          </w:tcPr>
          <w:p w14:paraId="1EC26258"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75</w:t>
            </w:r>
          </w:p>
        </w:tc>
        <w:tc>
          <w:tcPr>
            <w:tcW w:w="582" w:type="pct"/>
            <w:hideMark/>
          </w:tcPr>
          <w:p w14:paraId="224392CD"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60</w:t>
            </w:r>
          </w:p>
        </w:tc>
        <w:tc>
          <w:tcPr>
            <w:tcW w:w="511" w:type="pct"/>
            <w:hideMark/>
          </w:tcPr>
          <w:p w14:paraId="15638B3B"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80</w:t>
            </w:r>
          </w:p>
        </w:tc>
        <w:tc>
          <w:tcPr>
            <w:tcW w:w="584" w:type="pct"/>
            <w:hideMark/>
          </w:tcPr>
          <w:p w14:paraId="26E11839"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60</w:t>
            </w:r>
          </w:p>
        </w:tc>
        <w:tc>
          <w:tcPr>
            <w:tcW w:w="513" w:type="pct"/>
            <w:hideMark/>
          </w:tcPr>
          <w:p w14:paraId="246B089E"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35</w:t>
            </w:r>
          </w:p>
        </w:tc>
        <w:tc>
          <w:tcPr>
            <w:tcW w:w="804" w:type="pct"/>
            <w:hideMark/>
          </w:tcPr>
          <w:p w14:paraId="39365AEF" w14:textId="77777777" w:rsidR="00760D36" w:rsidRPr="00EE3D79" w:rsidRDefault="00760D36" w:rsidP="00EE3D79">
            <w:pPr>
              <w:spacing w:before="0" w:after="0" w:line="240" w:lineRule="auto"/>
              <w:rPr>
                <w:rFonts w:cs="Times New Roman"/>
                <w:sz w:val="20"/>
                <w:lang w:eastAsia="ru-RU"/>
              </w:rPr>
            </w:pPr>
            <w:r w:rsidRPr="00EE3D79">
              <w:rPr>
                <w:rFonts w:eastAsia="Calibri" w:cs="Times New Roman"/>
                <w:sz w:val="20"/>
                <w:lang w:eastAsia="ru-RU"/>
              </w:rPr>
              <w:t>65</w:t>
            </w:r>
          </w:p>
        </w:tc>
      </w:tr>
    </w:tbl>
    <w:p w14:paraId="4B56D9F1" w14:textId="200BF5F7" w:rsidR="009C5FEC" w:rsidRDefault="000328A3" w:rsidP="008B1E83">
      <w:r w:rsidRPr="000328A3">
        <w:t>n = 10, 11, 12...</w:t>
      </w:r>
    </w:p>
    <w:p w14:paraId="5FD5CEBE" w14:textId="77777777" w:rsidR="009C5FEC" w:rsidRPr="00C22C49" w:rsidRDefault="009C5FEC" w:rsidP="008B1E83"/>
    <w:p w14:paraId="0896BE5E" w14:textId="77777777" w:rsidR="008D5A56" w:rsidRPr="00C22C49" w:rsidRDefault="0058773D" w:rsidP="0014374A">
      <w:pPr>
        <w:pStyle w:val="Heading4boldRED"/>
        <w:rPr>
          <w:rStyle w:val="affe"/>
          <w:iCs w:val="0"/>
          <w:sz w:val="26"/>
          <w:lang w:val="uk-UA"/>
        </w:rPr>
      </w:pPr>
      <w:r w:rsidRPr="00C22C49">
        <w:rPr>
          <w:lang w:val="uk-UA"/>
        </w:rPr>
        <w:t xml:space="preserve">Цільові показники з управління відходами </w:t>
      </w:r>
      <w:r w:rsidRPr="00C22C49">
        <w:rPr>
          <w:rStyle w:val="affe"/>
          <w:iCs w:val="0"/>
          <w:sz w:val="26"/>
          <w:lang w:val="uk-UA"/>
        </w:rPr>
        <w:t>батарей та акумул</w:t>
      </w:r>
      <w:r w:rsidR="00F32985" w:rsidRPr="00C22C49">
        <w:rPr>
          <w:rStyle w:val="affe"/>
          <w:iCs w:val="0"/>
          <w:sz w:val="26"/>
          <w:lang w:val="uk-UA"/>
        </w:rPr>
        <w:t>я</w:t>
      </w:r>
      <w:r w:rsidRPr="00C22C49">
        <w:rPr>
          <w:rStyle w:val="affe"/>
          <w:iCs w:val="0"/>
          <w:sz w:val="26"/>
          <w:lang w:val="uk-UA"/>
        </w:rPr>
        <w:t>торів</w:t>
      </w:r>
    </w:p>
    <w:p w14:paraId="1AB5DBD6" w14:textId="32F76BB5" w:rsidR="00E5146F" w:rsidRDefault="00F43D96" w:rsidP="00F47DFD">
      <w:pPr>
        <w:pStyle w:val="REDBoldonly"/>
      </w:pPr>
      <w:r w:rsidRPr="00C22C49">
        <w:t>Мінімальні цільові показники зі збирання відходів портативних батарей і акумуляторів</w:t>
      </w:r>
    </w:p>
    <w:p w14:paraId="1837C513" w14:textId="5590B838" w:rsidR="00E5146F" w:rsidRPr="00E66635" w:rsidRDefault="00E04324" w:rsidP="00525054">
      <w:pPr>
        <w:pStyle w:val="af9"/>
        <w:rPr>
          <w:lang w:val="en-US"/>
        </w:rPr>
      </w:pPr>
      <w:r w:rsidRPr="00E04324">
        <w:t xml:space="preserve">Цільові показники </w:t>
      </w:r>
      <w:r w:rsidR="00F65E93">
        <w:t>щодо</w:t>
      </w:r>
      <w:r w:rsidRPr="00E04324">
        <w:t xml:space="preserve"> відходів </w:t>
      </w:r>
      <w:r w:rsidR="00F65E93">
        <w:t>батарей та акумуляторів</w:t>
      </w:r>
      <w:r w:rsidRPr="00E04324">
        <w:t xml:space="preserve"> визначаються законодавством про </w:t>
      </w:r>
      <w:r w:rsidR="00F65E93" w:rsidRPr="00F65E93">
        <w:t xml:space="preserve">батарей та акумуляторів </w:t>
      </w:r>
      <w:r w:rsidRPr="00E04324">
        <w:t xml:space="preserve">та запроваджуються після прийняття відповідного законопроєкту «Про </w:t>
      </w:r>
      <w:r w:rsidR="00F65E93" w:rsidRPr="00F65E93">
        <w:t>батарей та акумуляторів</w:t>
      </w:r>
      <w:r w:rsidRPr="00E04324">
        <w:t>»</w:t>
      </w:r>
      <w:r w:rsidR="00F65E93">
        <w:t>, який імпле</w:t>
      </w:r>
      <w:r w:rsidR="0045506F">
        <w:t>м</w:t>
      </w:r>
      <w:r w:rsidR="00F65E93">
        <w:t xml:space="preserve">ентує </w:t>
      </w:r>
      <w:r w:rsidR="0045506F">
        <w:t xml:space="preserve">новий </w:t>
      </w:r>
      <w:r w:rsidR="00FF27E8">
        <w:t>європейськ</w:t>
      </w:r>
      <w:r w:rsidR="0045506F">
        <w:t>ий</w:t>
      </w:r>
      <w:r w:rsidR="00FF27E8">
        <w:t xml:space="preserve"> </w:t>
      </w:r>
      <w:r w:rsidR="0045506F" w:rsidRPr="0045506F">
        <w:t>Регламент</w:t>
      </w:r>
      <w:r w:rsidR="0045506F">
        <w:t>, що</w:t>
      </w:r>
      <w:r w:rsidR="0045506F" w:rsidRPr="0045506F">
        <w:t xml:space="preserve"> замін</w:t>
      </w:r>
      <w:r w:rsidR="0045506F">
        <w:t>ює</w:t>
      </w:r>
      <w:r w:rsidR="0045506F" w:rsidRPr="0045506F">
        <w:t xml:space="preserve"> існуючу Директиву </w:t>
      </w:r>
      <w:r w:rsidR="0045506F">
        <w:t>про</w:t>
      </w:r>
      <w:r w:rsidR="0045506F" w:rsidRPr="0045506F">
        <w:t xml:space="preserve"> батаре</w:t>
      </w:r>
      <w:r w:rsidR="0045506F">
        <w:t>ї</w:t>
      </w:r>
      <w:r w:rsidR="0045506F" w:rsidRPr="0045506F">
        <w:t xml:space="preserve"> від 2006 року. Ця нова комплексна нормативна база для батарей </w:t>
      </w:r>
      <w:r w:rsidR="0045506F">
        <w:t xml:space="preserve">та акумуляторів </w:t>
      </w:r>
      <w:r w:rsidR="0045506F" w:rsidRPr="0045506F">
        <w:t>вимагатиме прийняття великої кількості більш детальних нормативних актів (підзаконні акти) у період з 2024 по 2028 рік для того, щоб повністю запрацювати.</w:t>
      </w:r>
      <w:r w:rsidR="0045506F">
        <w:t xml:space="preserve"> </w:t>
      </w:r>
    </w:p>
    <w:p w14:paraId="0896BECA" w14:textId="77777777" w:rsidR="00F43D96" w:rsidRPr="00C22C49" w:rsidRDefault="00F43D96" w:rsidP="008B1E83"/>
    <w:p w14:paraId="0896BECB" w14:textId="77777777" w:rsidR="008D5A56" w:rsidRPr="00C22C49" w:rsidRDefault="0058773D" w:rsidP="00525054">
      <w:pPr>
        <w:pStyle w:val="REDBoldonly"/>
        <w:rPr>
          <w:rStyle w:val="affe"/>
          <w:b w:val="0"/>
        </w:rPr>
      </w:pPr>
      <w:r w:rsidRPr="00C22C49">
        <w:t xml:space="preserve">Цільові показники з управління відходами </w:t>
      </w:r>
      <w:r w:rsidRPr="00C22C49">
        <w:rPr>
          <w:rStyle w:val="affe"/>
        </w:rPr>
        <w:t>ВЕЕО</w:t>
      </w:r>
    </w:p>
    <w:p w14:paraId="4D80FB27" w14:textId="2BF81F7A" w:rsidR="00E66DB6" w:rsidRPr="00C22C49" w:rsidRDefault="00E66DB6" w:rsidP="00525054">
      <w:r w:rsidRPr="00E66DB6">
        <w:t>Цільові показники</w:t>
      </w:r>
      <w:r w:rsidR="001475F1">
        <w:rPr>
          <w:lang w:val="en-US"/>
        </w:rPr>
        <w:t xml:space="preserve"> </w:t>
      </w:r>
      <w:r w:rsidR="00164876">
        <w:t xml:space="preserve">з </w:t>
      </w:r>
      <w:r w:rsidR="001475F1">
        <w:t xml:space="preserve">збирання, </w:t>
      </w:r>
      <w:r w:rsidR="001475F1" w:rsidRPr="001475F1">
        <w:t>підготовки до повторного використання, рециклінгу та відновлення ВЕЕО</w:t>
      </w:r>
      <w:r w:rsidRPr="00E66DB6">
        <w:t xml:space="preserve"> визначаються законодавством про </w:t>
      </w:r>
      <w:r w:rsidR="00DD09FE">
        <w:t>ВЕЕО</w:t>
      </w:r>
      <w:r w:rsidRPr="00E66DB6">
        <w:t xml:space="preserve"> та запроваджуються після прийняття відповідного законопроєкту «Про</w:t>
      </w:r>
      <w:r w:rsidR="0092317E">
        <w:t xml:space="preserve"> відходи електричного та електронного обладнання</w:t>
      </w:r>
      <w:r w:rsidRPr="00E66DB6">
        <w:t>»</w:t>
      </w:r>
      <w:r w:rsidR="00AE64BC">
        <w:t xml:space="preserve">, який встановлюватиме </w:t>
      </w:r>
      <w:r w:rsidR="004036D6">
        <w:t>розширену відповідальність виробника</w:t>
      </w:r>
      <w:r w:rsidR="000F5ED7">
        <w:t xml:space="preserve"> </w:t>
      </w:r>
      <w:r w:rsidR="004036D6">
        <w:t xml:space="preserve">для відходів </w:t>
      </w:r>
      <w:r w:rsidR="004036D6" w:rsidRPr="004036D6">
        <w:t>електричного та електронного обладнання</w:t>
      </w:r>
      <w:r w:rsidRPr="00E66DB6">
        <w:t xml:space="preserve">. Проєкт </w:t>
      </w:r>
      <w:r w:rsidR="00481660">
        <w:t xml:space="preserve">закону </w:t>
      </w:r>
      <w:r w:rsidRPr="00E66DB6">
        <w:t>містить наступні цільові показники для відходів упаковки.</w:t>
      </w:r>
    </w:p>
    <w:tbl>
      <w:tblPr>
        <w:tblW w:w="4937" w:type="pct"/>
        <w:tblLayout w:type="fixed"/>
        <w:tblCellMar>
          <w:left w:w="57" w:type="dxa"/>
          <w:right w:w="57" w:type="dxa"/>
        </w:tblCellMar>
        <w:tblLook w:val="04A0" w:firstRow="1" w:lastRow="0" w:firstColumn="1" w:lastColumn="0" w:noHBand="0" w:noVBand="1"/>
      </w:tblPr>
      <w:tblGrid>
        <w:gridCol w:w="1218"/>
        <w:gridCol w:w="1674"/>
        <w:gridCol w:w="1823"/>
        <w:gridCol w:w="2602"/>
        <w:gridCol w:w="1214"/>
        <w:gridCol w:w="1199"/>
      </w:tblGrid>
      <w:tr w:rsidR="00812A00" w:rsidRPr="00C22C49" w14:paraId="0896BED4" w14:textId="4C1C9036" w:rsidTr="003805F8">
        <w:trPr>
          <w:trHeight w:val="680"/>
        </w:trPr>
        <w:tc>
          <w:tcPr>
            <w:tcW w:w="626" w:type="pct"/>
            <w:tcBorders>
              <w:top w:val="single" w:sz="4" w:space="0" w:color="000000"/>
              <w:left w:val="single" w:sz="4" w:space="0" w:color="000000"/>
              <w:bottom w:val="single" w:sz="4" w:space="0" w:color="000000"/>
              <w:right w:val="nil"/>
            </w:tcBorders>
            <w:hideMark/>
          </w:tcPr>
          <w:p w14:paraId="0896BECD" w14:textId="2AA61B11"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Рік</w:t>
            </w:r>
          </w:p>
        </w:tc>
        <w:tc>
          <w:tcPr>
            <w:tcW w:w="860" w:type="pct"/>
            <w:tcBorders>
              <w:top w:val="single" w:sz="4" w:space="0" w:color="000000"/>
              <w:left w:val="single" w:sz="4" w:space="0" w:color="000000"/>
              <w:bottom w:val="single" w:sz="4" w:space="0" w:color="000000"/>
              <w:right w:val="nil"/>
            </w:tcBorders>
            <w:hideMark/>
          </w:tcPr>
          <w:p w14:paraId="0896BECE" w14:textId="7A0A244E" w:rsidR="00812A00" w:rsidRPr="00C22C49" w:rsidRDefault="00812A00" w:rsidP="0024293E">
            <w:pPr>
              <w:tabs>
                <w:tab w:val="clear" w:pos="284"/>
                <w:tab w:val="left" w:pos="571"/>
                <w:tab w:val="left" w:pos="2856"/>
              </w:tabs>
              <w:spacing w:before="60" w:after="60"/>
              <w:ind w:firstLine="4"/>
              <w:rPr>
                <w:rFonts w:cs="Times New Roman"/>
                <w:sz w:val="18"/>
                <w:szCs w:val="18"/>
              </w:rPr>
            </w:pPr>
            <w:r w:rsidRPr="00C22C49">
              <w:rPr>
                <w:rFonts w:cs="Times New Roman"/>
                <w:sz w:val="18"/>
                <w:szCs w:val="18"/>
              </w:rPr>
              <w:t>Введення в обіг  (П)</w:t>
            </w:r>
          </w:p>
        </w:tc>
        <w:tc>
          <w:tcPr>
            <w:tcW w:w="937" w:type="pct"/>
            <w:tcBorders>
              <w:top w:val="single" w:sz="4" w:space="0" w:color="000000"/>
              <w:left w:val="single" w:sz="4" w:space="0" w:color="000000"/>
              <w:bottom w:val="single" w:sz="4" w:space="0" w:color="000000"/>
              <w:right w:val="nil"/>
            </w:tcBorders>
            <w:hideMark/>
          </w:tcPr>
          <w:p w14:paraId="0896BECF" w14:textId="3545CDDB" w:rsidR="00812A00" w:rsidRPr="00C22C49" w:rsidRDefault="00812A00" w:rsidP="0024293E">
            <w:pPr>
              <w:tabs>
                <w:tab w:val="left" w:pos="2856"/>
              </w:tabs>
              <w:spacing w:before="60" w:after="60"/>
              <w:rPr>
                <w:rFonts w:cs="Times New Roman"/>
                <w:sz w:val="18"/>
                <w:szCs w:val="18"/>
              </w:rPr>
            </w:pPr>
            <w:r w:rsidRPr="00C22C49">
              <w:rPr>
                <w:rFonts w:cs="Times New Roman"/>
                <w:sz w:val="18"/>
                <w:szCs w:val="18"/>
              </w:rPr>
              <w:t>Дані по збиранню</w:t>
            </w:r>
            <w:r w:rsidR="0024293E" w:rsidRPr="00C22C49">
              <w:rPr>
                <w:rFonts w:cs="Times New Roman"/>
                <w:sz w:val="18"/>
                <w:szCs w:val="18"/>
              </w:rPr>
              <w:t xml:space="preserve"> </w:t>
            </w:r>
            <w:r w:rsidRPr="00C22C49">
              <w:rPr>
                <w:rFonts w:cs="Times New Roman"/>
                <w:sz w:val="18"/>
                <w:szCs w:val="18"/>
              </w:rPr>
              <w:t>(Зб)</w:t>
            </w:r>
          </w:p>
        </w:tc>
        <w:tc>
          <w:tcPr>
            <w:tcW w:w="1337" w:type="pct"/>
            <w:tcBorders>
              <w:top w:val="single" w:sz="4" w:space="0" w:color="000000"/>
              <w:left w:val="single" w:sz="4" w:space="0" w:color="000000"/>
              <w:bottom w:val="single" w:sz="4" w:space="0" w:color="000000"/>
              <w:right w:val="nil"/>
            </w:tcBorders>
            <w:hideMark/>
          </w:tcPr>
          <w:p w14:paraId="0896BED0" w14:textId="1108710F" w:rsidR="00812A00" w:rsidRPr="00C22C49" w:rsidRDefault="00812A00" w:rsidP="00045198">
            <w:pPr>
              <w:tabs>
                <w:tab w:val="left" w:pos="2856"/>
              </w:tabs>
              <w:snapToGrid w:val="0"/>
              <w:spacing w:before="60" w:after="60"/>
              <w:rPr>
                <w:rFonts w:cs="Times New Roman"/>
                <w:sz w:val="18"/>
                <w:szCs w:val="18"/>
              </w:rPr>
            </w:pPr>
            <w:r w:rsidRPr="00C22C49">
              <w:rPr>
                <w:rFonts w:cs="Times New Roman"/>
                <w:sz w:val="18"/>
                <w:szCs w:val="18"/>
              </w:rPr>
              <w:t xml:space="preserve">Розрахунок показника по збиранню </w:t>
            </w:r>
          </w:p>
          <w:p w14:paraId="0896BED1" w14:textId="1124FDF2" w:rsidR="00812A00" w:rsidRPr="00C22C49" w:rsidRDefault="00812A00" w:rsidP="00045198">
            <w:pPr>
              <w:tabs>
                <w:tab w:val="left" w:pos="2856"/>
              </w:tabs>
              <w:snapToGrid w:val="0"/>
              <w:spacing w:before="60" w:after="60"/>
              <w:rPr>
                <w:rFonts w:cs="Times New Roman"/>
                <w:sz w:val="18"/>
                <w:szCs w:val="18"/>
              </w:rPr>
            </w:pPr>
            <w:r w:rsidRPr="00C22C49">
              <w:rPr>
                <w:rFonts w:cs="Times New Roman"/>
                <w:sz w:val="18"/>
                <w:szCs w:val="18"/>
              </w:rPr>
              <w:t>(ПЗб)</w:t>
            </w:r>
          </w:p>
        </w:tc>
        <w:tc>
          <w:tcPr>
            <w:tcW w:w="624" w:type="pct"/>
            <w:tcBorders>
              <w:top w:val="single" w:sz="4" w:space="0" w:color="000000"/>
              <w:left w:val="single" w:sz="4" w:space="0" w:color="000000"/>
              <w:bottom w:val="single" w:sz="4" w:space="0" w:color="000000"/>
              <w:right w:val="single" w:sz="4" w:space="0" w:color="000000"/>
            </w:tcBorders>
            <w:hideMark/>
          </w:tcPr>
          <w:p w14:paraId="0896BED2" w14:textId="4A06DB1E" w:rsidR="00812A00" w:rsidRPr="00C22C49" w:rsidRDefault="00812A00" w:rsidP="00045198">
            <w:pPr>
              <w:tabs>
                <w:tab w:val="left" w:pos="2856"/>
              </w:tabs>
              <w:snapToGrid w:val="0"/>
              <w:spacing w:before="60" w:after="60"/>
              <w:rPr>
                <w:rFonts w:cs="Times New Roman"/>
                <w:sz w:val="18"/>
                <w:szCs w:val="18"/>
              </w:rPr>
            </w:pPr>
            <w:r w:rsidRPr="00C22C49">
              <w:rPr>
                <w:rFonts w:cs="Times New Roman"/>
                <w:sz w:val="18"/>
                <w:szCs w:val="18"/>
              </w:rPr>
              <w:t>Показник по збиранню (ПЗб), %</w:t>
            </w:r>
          </w:p>
        </w:tc>
        <w:tc>
          <w:tcPr>
            <w:tcW w:w="616" w:type="pct"/>
            <w:tcBorders>
              <w:top w:val="single" w:sz="4" w:space="0" w:color="000000"/>
              <w:left w:val="single" w:sz="4" w:space="0" w:color="000000"/>
              <w:bottom w:val="single" w:sz="4" w:space="0" w:color="000000"/>
              <w:right w:val="single" w:sz="4" w:space="0" w:color="000000"/>
            </w:tcBorders>
          </w:tcPr>
          <w:p w14:paraId="0896BED3" w14:textId="19577B29"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Вимоги до звітності</w:t>
            </w:r>
          </w:p>
        </w:tc>
      </w:tr>
      <w:tr w:rsidR="00812A00" w:rsidRPr="00C22C49" w14:paraId="0896BEDB" w14:textId="72733E38" w:rsidTr="003805F8">
        <w:trPr>
          <w:trHeight w:val="680"/>
        </w:trPr>
        <w:tc>
          <w:tcPr>
            <w:tcW w:w="626" w:type="pct"/>
            <w:tcBorders>
              <w:top w:val="single" w:sz="4" w:space="0" w:color="000000"/>
              <w:left w:val="single" w:sz="4" w:space="0" w:color="000000"/>
              <w:bottom w:val="single" w:sz="4" w:space="0" w:color="000000"/>
              <w:right w:val="nil"/>
            </w:tcBorders>
            <w:hideMark/>
          </w:tcPr>
          <w:p w14:paraId="0896BED5" w14:textId="5781C890"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X (набрання чинності Законом)</w:t>
            </w:r>
          </w:p>
        </w:tc>
        <w:tc>
          <w:tcPr>
            <w:tcW w:w="860" w:type="pct"/>
            <w:tcBorders>
              <w:top w:val="single" w:sz="4" w:space="0" w:color="000000"/>
              <w:left w:val="single" w:sz="4" w:space="0" w:color="000000"/>
              <w:bottom w:val="single" w:sz="4" w:space="0" w:color="000000"/>
              <w:right w:val="nil"/>
            </w:tcBorders>
          </w:tcPr>
          <w:p w14:paraId="0896BED6" w14:textId="28F81075" w:rsidR="00812A00" w:rsidRPr="00C22C49" w:rsidRDefault="00812A00" w:rsidP="00045198">
            <w:pPr>
              <w:tabs>
                <w:tab w:val="left" w:pos="2856"/>
              </w:tabs>
              <w:spacing w:before="60" w:after="60"/>
              <w:rPr>
                <w:rFonts w:cs="Times New Roman"/>
                <w:sz w:val="18"/>
                <w:szCs w:val="18"/>
              </w:rPr>
            </w:pPr>
          </w:p>
        </w:tc>
        <w:tc>
          <w:tcPr>
            <w:tcW w:w="937" w:type="pct"/>
            <w:tcBorders>
              <w:top w:val="single" w:sz="4" w:space="0" w:color="000000"/>
              <w:left w:val="single" w:sz="4" w:space="0" w:color="000000"/>
              <w:bottom w:val="single" w:sz="4" w:space="0" w:color="000000"/>
              <w:right w:val="nil"/>
            </w:tcBorders>
            <w:hideMark/>
          </w:tcPr>
          <w:p w14:paraId="0896BED7" w14:textId="4F9C31AB" w:rsidR="00812A00" w:rsidRPr="00C22C49" w:rsidRDefault="00812A00" w:rsidP="00045198">
            <w:pPr>
              <w:tabs>
                <w:tab w:val="left" w:pos="2856"/>
              </w:tabs>
              <w:spacing w:before="60" w:after="60"/>
              <w:rPr>
                <w:rFonts w:cs="Times New Roman"/>
                <w:sz w:val="18"/>
                <w:szCs w:val="18"/>
              </w:rPr>
            </w:pPr>
          </w:p>
        </w:tc>
        <w:tc>
          <w:tcPr>
            <w:tcW w:w="1337" w:type="pct"/>
            <w:tcBorders>
              <w:top w:val="single" w:sz="4" w:space="0" w:color="000000"/>
              <w:left w:val="single" w:sz="4" w:space="0" w:color="000000"/>
              <w:bottom w:val="single" w:sz="4" w:space="0" w:color="000000"/>
              <w:right w:val="nil"/>
            </w:tcBorders>
          </w:tcPr>
          <w:p w14:paraId="0896BED8" w14:textId="362A4CCE" w:rsidR="00812A00" w:rsidRPr="00C22C49" w:rsidRDefault="00812A00" w:rsidP="00045198">
            <w:pPr>
              <w:tabs>
                <w:tab w:val="left" w:pos="2856"/>
              </w:tabs>
              <w:snapToGrid w:val="0"/>
              <w:spacing w:before="60" w:after="60"/>
              <w:rPr>
                <w:rFonts w:cs="Times New Roman"/>
                <w:sz w:val="18"/>
                <w:szCs w:val="18"/>
              </w:rPr>
            </w:pPr>
          </w:p>
        </w:tc>
        <w:tc>
          <w:tcPr>
            <w:tcW w:w="624" w:type="pct"/>
            <w:tcBorders>
              <w:top w:val="single" w:sz="4" w:space="0" w:color="000000"/>
              <w:left w:val="single" w:sz="4" w:space="0" w:color="000000"/>
              <w:bottom w:val="single" w:sz="4" w:space="0" w:color="000000"/>
              <w:right w:val="single" w:sz="4" w:space="0" w:color="000000"/>
            </w:tcBorders>
          </w:tcPr>
          <w:p w14:paraId="0896BED9" w14:textId="0FD152F4" w:rsidR="00812A00" w:rsidRPr="00C22C49" w:rsidRDefault="00812A00" w:rsidP="00045198">
            <w:pPr>
              <w:tabs>
                <w:tab w:val="left" w:pos="2856"/>
              </w:tabs>
              <w:snapToGrid w:val="0"/>
              <w:spacing w:before="60" w:after="60"/>
              <w:jc w:val="center"/>
              <w:rPr>
                <w:rFonts w:cs="Times New Roman"/>
                <w:sz w:val="18"/>
                <w:szCs w:val="18"/>
              </w:rPr>
            </w:pPr>
          </w:p>
        </w:tc>
        <w:tc>
          <w:tcPr>
            <w:tcW w:w="616" w:type="pct"/>
            <w:tcBorders>
              <w:top w:val="single" w:sz="4" w:space="0" w:color="000000"/>
              <w:left w:val="single" w:sz="4" w:space="0" w:color="000000"/>
              <w:bottom w:val="single" w:sz="4" w:space="0" w:color="000000"/>
              <w:right w:val="single" w:sz="4" w:space="0" w:color="000000"/>
            </w:tcBorders>
          </w:tcPr>
          <w:p w14:paraId="0896BEDA" w14:textId="6C68257E" w:rsidR="00812A00" w:rsidRPr="00C22C49" w:rsidRDefault="00812A00" w:rsidP="00045198">
            <w:pPr>
              <w:tabs>
                <w:tab w:val="left" w:pos="2856"/>
              </w:tabs>
              <w:snapToGrid w:val="0"/>
              <w:spacing w:before="60" w:after="60"/>
              <w:rPr>
                <w:rFonts w:cs="Times New Roman"/>
                <w:sz w:val="18"/>
                <w:szCs w:val="18"/>
              </w:rPr>
            </w:pPr>
          </w:p>
        </w:tc>
      </w:tr>
      <w:tr w:rsidR="00812A00" w:rsidRPr="00C22C49" w14:paraId="0896BEE2" w14:textId="28770117" w:rsidTr="003805F8">
        <w:trPr>
          <w:trHeight w:val="680"/>
        </w:trPr>
        <w:tc>
          <w:tcPr>
            <w:tcW w:w="626" w:type="pct"/>
            <w:tcBorders>
              <w:top w:val="single" w:sz="4" w:space="0" w:color="000000"/>
              <w:left w:val="single" w:sz="4" w:space="0" w:color="000000"/>
              <w:bottom w:val="single" w:sz="4" w:space="0" w:color="000000"/>
              <w:right w:val="nil"/>
            </w:tcBorders>
            <w:hideMark/>
          </w:tcPr>
          <w:p w14:paraId="0896BEDC" w14:textId="4EFE7144"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X +1</w:t>
            </w:r>
          </w:p>
        </w:tc>
        <w:tc>
          <w:tcPr>
            <w:tcW w:w="860" w:type="pct"/>
            <w:tcBorders>
              <w:top w:val="single" w:sz="4" w:space="0" w:color="000000"/>
              <w:left w:val="single" w:sz="4" w:space="0" w:color="000000"/>
              <w:bottom w:val="single" w:sz="4" w:space="0" w:color="000000"/>
              <w:right w:val="nil"/>
            </w:tcBorders>
          </w:tcPr>
          <w:p w14:paraId="0896BEDD" w14:textId="1CE2F84F"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Продажі у першому році П</w:t>
            </w:r>
            <w:r w:rsidRPr="00C22C49">
              <w:rPr>
                <w:rFonts w:cs="Times New Roman"/>
                <w:sz w:val="18"/>
                <w:szCs w:val="18"/>
                <w:vertAlign w:val="subscript"/>
              </w:rPr>
              <w:t>1</w:t>
            </w:r>
          </w:p>
        </w:tc>
        <w:tc>
          <w:tcPr>
            <w:tcW w:w="937" w:type="pct"/>
            <w:tcBorders>
              <w:top w:val="single" w:sz="4" w:space="0" w:color="000000"/>
              <w:left w:val="single" w:sz="4" w:space="0" w:color="000000"/>
              <w:bottom w:val="single" w:sz="4" w:space="0" w:color="000000"/>
              <w:right w:val="nil"/>
            </w:tcBorders>
            <w:hideMark/>
          </w:tcPr>
          <w:p w14:paraId="0896BEDE" w14:textId="619AC96D"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tcPr>
          <w:p w14:paraId="0896BEDF" w14:textId="0A2E57A8" w:rsidR="00812A00" w:rsidRPr="00C22C49" w:rsidRDefault="00812A00" w:rsidP="00045198">
            <w:pPr>
              <w:tabs>
                <w:tab w:val="left" w:pos="2856"/>
              </w:tabs>
              <w:snapToGrid w:val="0"/>
              <w:spacing w:before="60" w:after="60"/>
              <w:rPr>
                <w:rFonts w:cs="Times New Roman"/>
                <w:sz w:val="18"/>
                <w:szCs w:val="18"/>
              </w:rPr>
            </w:pPr>
          </w:p>
        </w:tc>
        <w:tc>
          <w:tcPr>
            <w:tcW w:w="624" w:type="pct"/>
            <w:tcBorders>
              <w:top w:val="single" w:sz="4" w:space="0" w:color="000000"/>
              <w:left w:val="single" w:sz="4" w:space="0" w:color="000000"/>
              <w:bottom w:val="single" w:sz="4" w:space="0" w:color="000000"/>
              <w:right w:val="single" w:sz="4" w:space="0" w:color="000000"/>
            </w:tcBorders>
          </w:tcPr>
          <w:p w14:paraId="0896BEE0" w14:textId="2EE58194" w:rsidR="00812A00" w:rsidRPr="00C22C49" w:rsidRDefault="00812A00" w:rsidP="00045198">
            <w:pPr>
              <w:tabs>
                <w:tab w:val="left" w:pos="2856"/>
              </w:tabs>
              <w:snapToGrid w:val="0"/>
              <w:spacing w:before="60" w:after="60"/>
              <w:jc w:val="center"/>
              <w:rPr>
                <w:rFonts w:cs="Times New Roman"/>
                <w:sz w:val="18"/>
                <w:szCs w:val="18"/>
              </w:rPr>
            </w:pPr>
          </w:p>
        </w:tc>
        <w:tc>
          <w:tcPr>
            <w:tcW w:w="616" w:type="pct"/>
            <w:tcBorders>
              <w:top w:val="single" w:sz="4" w:space="0" w:color="000000"/>
              <w:left w:val="single" w:sz="4" w:space="0" w:color="000000"/>
              <w:bottom w:val="single" w:sz="4" w:space="0" w:color="000000"/>
              <w:right w:val="single" w:sz="4" w:space="0" w:color="000000"/>
            </w:tcBorders>
          </w:tcPr>
          <w:p w14:paraId="0896BEE1" w14:textId="35A8D16D" w:rsidR="00812A00" w:rsidRPr="00C22C49" w:rsidRDefault="00812A00" w:rsidP="00045198">
            <w:pPr>
              <w:tabs>
                <w:tab w:val="left" w:pos="2856"/>
              </w:tabs>
              <w:snapToGrid w:val="0"/>
              <w:spacing w:before="60" w:after="60"/>
              <w:rPr>
                <w:rFonts w:cs="Times New Roman"/>
                <w:sz w:val="18"/>
                <w:szCs w:val="18"/>
              </w:rPr>
            </w:pPr>
          </w:p>
        </w:tc>
      </w:tr>
      <w:tr w:rsidR="00812A00" w:rsidRPr="00C22C49" w14:paraId="0896BEE9" w14:textId="3F4B5EF0" w:rsidTr="003805F8">
        <w:trPr>
          <w:trHeight w:val="680"/>
        </w:trPr>
        <w:tc>
          <w:tcPr>
            <w:tcW w:w="626" w:type="pct"/>
            <w:tcBorders>
              <w:top w:val="single" w:sz="4" w:space="0" w:color="000000"/>
              <w:left w:val="single" w:sz="4" w:space="0" w:color="000000"/>
              <w:bottom w:val="single" w:sz="4" w:space="0" w:color="000000"/>
              <w:right w:val="nil"/>
            </w:tcBorders>
            <w:hideMark/>
          </w:tcPr>
          <w:p w14:paraId="0896BEE3" w14:textId="388396B8"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X+2</w:t>
            </w:r>
          </w:p>
        </w:tc>
        <w:tc>
          <w:tcPr>
            <w:tcW w:w="860" w:type="pct"/>
            <w:tcBorders>
              <w:top w:val="single" w:sz="4" w:space="0" w:color="000000"/>
              <w:left w:val="single" w:sz="4" w:space="0" w:color="000000"/>
              <w:bottom w:val="single" w:sz="4" w:space="0" w:color="000000"/>
              <w:right w:val="nil"/>
            </w:tcBorders>
            <w:hideMark/>
          </w:tcPr>
          <w:p w14:paraId="0896BEE4" w14:textId="56D623D7"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Продажі у другому році П</w:t>
            </w:r>
            <w:r w:rsidRPr="00C22C49">
              <w:rPr>
                <w:rFonts w:cs="Times New Roman"/>
                <w:sz w:val="18"/>
                <w:szCs w:val="18"/>
                <w:vertAlign w:val="subscript"/>
              </w:rPr>
              <w:t>2</w:t>
            </w:r>
          </w:p>
        </w:tc>
        <w:tc>
          <w:tcPr>
            <w:tcW w:w="937" w:type="pct"/>
            <w:tcBorders>
              <w:top w:val="single" w:sz="4" w:space="0" w:color="000000"/>
              <w:left w:val="single" w:sz="4" w:space="0" w:color="000000"/>
              <w:bottom w:val="single" w:sz="4" w:space="0" w:color="000000"/>
              <w:right w:val="nil"/>
            </w:tcBorders>
            <w:hideMark/>
          </w:tcPr>
          <w:p w14:paraId="0896BEE5" w14:textId="102285AA"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tcPr>
          <w:p w14:paraId="0896BEE6" w14:textId="176E82BB" w:rsidR="00812A00" w:rsidRPr="00C22C49" w:rsidRDefault="00812A00" w:rsidP="00045198">
            <w:pPr>
              <w:tabs>
                <w:tab w:val="left" w:pos="2856"/>
              </w:tabs>
              <w:snapToGrid w:val="0"/>
              <w:spacing w:before="60" w:after="60"/>
              <w:rPr>
                <w:rFonts w:cs="Times New Roman"/>
                <w:sz w:val="18"/>
                <w:szCs w:val="18"/>
              </w:rPr>
            </w:pPr>
          </w:p>
        </w:tc>
        <w:tc>
          <w:tcPr>
            <w:tcW w:w="624" w:type="pct"/>
            <w:tcBorders>
              <w:top w:val="single" w:sz="4" w:space="0" w:color="000000"/>
              <w:left w:val="single" w:sz="4" w:space="0" w:color="000000"/>
              <w:bottom w:val="single" w:sz="4" w:space="0" w:color="000000"/>
              <w:right w:val="single" w:sz="4" w:space="0" w:color="000000"/>
            </w:tcBorders>
          </w:tcPr>
          <w:p w14:paraId="0896BEE7" w14:textId="059A0DB7" w:rsidR="00812A00" w:rsidRPr="00C22C49" w:rsidRDefault="00812A00" w:rsidP="00045198">
            <w:pPr>
              <w:tabs>
                <w:tab w:val="left" w:pos="2856"/>
              </w:tabs>
              <w:snapToGrid w:val="0"/>
              <w:spacing w:before="60" w:after="60"/>
              <w:jc w:val="center"/>
              <w:rPr>
                <w:rFonts w:cs="Times New Roman"/>
                <w:sz w:val="18"/>
                <w:szCs w:val="18"/>
              </w:rPr>
            </w:pPr>
          </w:p>
        </w:tc>
        <w:tc>
          <w:tcPr>
            <w:tcW w:w="616" w:type="pct"/>
            <w:tcBorders>
              <w:top w:val="single" w:sz="4" w:space="0" w:color="000000"/>
              <w:left w:val="single" w:sz="4" w:space="0" w:color="000000"/>
              <w:bottom w:val="single" w:sz="4" w:space="0" w:color="000000"/>
              <w:right w:val="single" w:sz="4" w:space="0" w:color="000000"/>
            </w:tcBorders>
          </w:tcPr>
          <w:p w14:paraId="0896BEE8" w14:textId="020CC76D" w:rsidR="00812A00" w:rsidRPr="00C22C49" w:rsidRDefault="00812A00" w:rsidP="00045198">
            <w:pPr>
              <w:tabs>
                <w:tab w:val="left" w:pos="2856"/>
              </w:tabs>
              <w:snapToGrid w:val="0"/>
              <w:spacing w:before="60" w:after="60"/>
              <w:rPr>
                <w:rFonts w:cs="Times New Roman"/>
                <w:sz w:val="18"/>
                <w:szCs w:val="18"/>
              </w:rPr>
            </w:pPr>
          </w:p>
        </w:tc>
      </w:tr>
      <w:tr w:rsidR="00812A00" w:rsidRPr="00C22C49" w14:paraId="0896BEF0" w14:textId="11857D44" w:rsidTr="003805F8">
        <w:trPr>
          <w:trHeight w:val="680"/>
        </w:trPr>
        <w:tc>
          <w:tcPr>
            <w:tcW w:w="626" w:type="pct"/>
            <w:tcBorders>
              <w:top w:val="single" w:sz="4" w:space="0" w:color="000000"/>
              <w:left w:val="single" w:sz="4" w:space="0" w:color="000000"/>
              <w:bottom w:val="single" w:sz="4" w:space="0" w:color="000000"/>
              <w:right w:val="nil"/>
            </w:tcBorders>
            <w:hideMark/>
          </w:tcPr>
          <w:p w14:paraId="0896BEEA" w14:textId="341AA7F1" w:rsidR="00812A00" w:rsidRPr="00C22C49" w:rsidRDefault="00812A00" w:rsidP="00045198">
            <w:pPr>
              <w:spacing w:before="60" w:after="60"/>
              <w:rPr>
                <w:rFonts w:cs="Times New Roman"/>
                <w:sz w:val="18"/>
                <w:szCs w:val="18"/>
              </w:rPr>
            </w:pPr>
            <w:r w:rsidRPr="00C22C49">
              <w:rPr>
                <w:rFonts w:cs="Times New Roman"/>
                <w:sz w:val="18"/>
                <w:szCs w:val="18"/>
              </w:rPr>
              <w:t>X+3</w:t>
            </w:r>
          </w:p>
        </w:tc>
        <w:tc>
          <w:tcPr>
            <w:tcW w:w="860" w:type="pct"/>
            <w:tcBorders>
              <w:top w:val="single" w:sz="4" w:space="0" w:color="000000"/>
              <w:left w:val="single" w:sz="4" w:space="0" w:color="000000"/>
              <w:bottom w:val="single" w:sz="4" w:space="0" w:color="000000"/>
              <w:right w:val="nil"/>
            </w:tcBorders>
            <w:hideMark/>
          </w:tcPr>
          <w:p w14:paraId="0896BEEB" w14:textId="3630D25B" w:rsidR="00812A00" w:rsidRPr="00C22C49" w:rsidRDefault="00812A00" w:rsidP="00045198">
            <w:pPr>
              <w:spacing w:before="60" w:after="60"/>
              <w:rPr>
                <w:rFonts w:cs="Times New Roman"/>
                <w:sz w:val="18"/>
                <w:szCs w:val="18"/>
              </w:rPr>
            </w:pPr>
            <w:r w:rsidRPr="00C22C49">
              <w:rPr>
                <w:rFonts w:cs="Times New Roman"/>
                <w:sz w:val="18"/>
                <w:szCs w:val="18"/>
              </w:rPr>
              <w:t>Продажі у третьому році П</w:t>
            </w:r>
            <w:r w:rsidRPr="00C22C49">
              <w:rPr>
                <w:rFonts w:cs="Times New Roman"/>
                <w:sz w:val="18"/>
                <w:szCs w:val="18"/>
                <w:vertAlign w:val="subscript"/>
              </w:rPr>
              <w:t>3</w:t>
            </w:r>
          </w:p>
        </w:tc>
        <w:tc>
          <w:tcPr>
            <w:tcW w:w="937" w:type="pct"/>
            <w:tcBorders>
              <w:top w:val="single" w:sz="4" w:space="0" w:color="000000"/>
              <w:left w:val="single" w:sz="4" w:space="0" w:color="000000"/>
              <w:bottom w:val="single" w:sz="4" w:space="0" w:color="000000"/>
              <w:right w:val="nil"/>
            </w:tcBorders>
            <w:hideMark/>
          </w:tcPr>
          <w:p w14:paraId="0896BEEC" w14:textId="131B01DB"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Збирання у третьому році (Зб</w:t>
            </w:r>
            <w:r w:rsidRPr="00C22C49">
              <w:rPr>
                <w:rFonts w:cs="Times New Roman"/>
                <w:sz w:val="18"/>
                <w:szCs w:val="18"/>
                <w:vertAlign w:val="subscript"/>
              </w:rPr>
              <w:t xml:space="preserve"> 3</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EED" w14:textId="0E22E7BB" w:rsidR="00812A00" w:rsidRPr="00C22C49" w:rsidRDefault="00812A00" w:rsidP="00045198">
            <w:pPr>
              <w:spacing w:before="60" w:after="60"/>
              <w:rPr>
                <w:rFonts w:cs="Times New Roman"/>
                <w:sz w:val="18"/>
                <w:szCs w:val="18"/>
              </w:rPr>
            </w:pPr>
          </w:p>
        </w:tc>
        <w:tc>
          <w:tcPr>
            <w:tcW w:w="624" w:type="pct"/>
            <w:tcBorders>
              <w:top w:val="single" w:sz="4" w:space="0" w:color="000000"/>
              <w:left w:val="single" w:sz="4" w:space="0" w:color="000000"/>
              <w:bottom w:val="single" w:sz="4" w:space="0" w:color="000000"/>
              <w:right w:val="single" w:sz="4" w:space="0" w:color="000000"/>
            </w:tcBorders>
            <w:hideMark/>
          </w:tcPr>
          <w:p w14:paraId="0896BEEE" w14:textId="6C20BB1C" w:rsidR="00812A00" w:rsidRPr="00C22C49" w:rsidRDefault="00812A00" w:rsidP="00045198">
            <w:pPr>
              <w:tabs>
                <w:tab w:val="left" w:pos="2856"/>
              </w:tabs>
              <w:spacing w:before="60" w:after="60"/>
              <w:jc w:val="center"/>
              <w:rPr>
                <w:rFonts w:cs="Times New Roman"/>
                <w:sz w:val="18"/>
                <w:szCs w:val="18"/>
              </w:rPr>
            </w:pPr>
          </w:p>
        </w:tc>
        <w:tc>
          <w:tcPr>
            <w:tcW w:w="616" w:type="pct"/>
            <w:tcBorders>
              <w:top w:val="single" w:sz="4" w:space="0" w:color="000000"/>
              <w:left w:val="single" w:sz="4" w:space="0" w:color="000000"/>
              <w:bottom w:val="single" w:sz="4" w:space="0" w:color="000000"/>
              <w:right w:val="single" w:sz="4" w:space="0" w:color="000000"/>
            </w:tcBorders>
          </w:tcPr>
          <w:p w14:paraId="0896BEEF" w14:textId="3EB71AA2" w:rsidR="00812A00" w:rsidRPr="00C22C49" w:rsidRDefault="00812A00" w:rsidP="00045198">
            <w:pPr>
              <w:tabs>
                <w:tab w:val="left" w:pos="2856"/>
              </w:tabs>
              <w:snapToGrid w:val="0"/>
              <w:spacing w:before="60" w:after="60"/>
              <w:rPr>
                <w:rFonts w:cs="Times New Roman"/>
                <w:sz w:val="18"/>
                <w:szCs w:val="18"/>
              </w:rPr>
            </w:pPr>
          </w:p>
        </w:tc>
      </w:tr>
      <w:tr w:rsidR="00812A00" w:rsidRPr="00C22C49" w14:paraId="0896BEF7" w14:textId="5D670C78" w:rsidTr="003805F8">
        <w:trPr>
          <w:trHeight w:val="680"/>
        </w:trPr>
        <w:tc>
          <w:tcPr>
            <w:tcW w:w="626" w:type="pct"/>
            <w:tcBorders>
              <w:top w:val="single" w:sz="4" w:space="0" w:color="000000"/>
              <w:left w:val="single" w:sz="4" w:space="0" w:color="000000"/>
              <w:bottom w:val="single" w:sz="4" w:space="0" w:color="000000"/>
              <w:right w:val="nil"/>
            </w:tcBorders>
            <w:hideMark/>
          </w:tcPr>
          <w:p w14:paraId="0896BEF1" w14:textId="69661A1D" w:rsidR="00812A00" w:rsidRPr="00C22C49" w:rsidRDefault="00812A00" w:rsidP="00045198">
            <w:pPr>
              <w:spacing w:before="60" w:after="60"/>
              <w:rPr>
                <w:rFonts w:cs="Times New Roman"/>
                <w:sz w:val="18"/>
                <w:szCs w:val="18"/>
              </w:rPr>
            </w:pPr>
            <w:r w:rsidRPr="00C22C49">
              <w:rPr>
                <w:rFonts w:cs="Times New Roman"/>
                <w:sz w:val="18"/>
                <w:szCs w:val="18"/>
              </w:rPr>
              <w:t>X+4</w:t>
            </w:r>
          </w:p>
        </w:tc>
        <w:tc>
          <w:tcPr>
            <w:tcW w:w="860" w:type="pct"/>
            <w:tcBorders>
              <w:top w:val="single" w:sz="4" w:space="0" w:color="000000"/>
              <w:left w:val="single" w:sz="4" w:space="0" w:color="000000"/>
              <w:bottom w:val="single" w:sz="4" w:space="0" w:color="000000"/>
              <w:right w:val="nil"/>
            </w:tcBorders>
            <w:hideMark/>
          </w:tcPr>
          <w:p w14:paraId="0896BEF2" w14:textId="70CDFFA0" w:rsidR="00812A00" w:rsidRPr="00C22C49" w:rsidRDefault="00812A00" w:rsidP="00045198">
            <w:pPr>
              <w:spacing w:before="60" w:after="60"/>
              <w:rPr>
                <w:rFonts w:cs="Times New Roman"/>
                <w:sz w:val="18"/>
                <w:szCs w:val="18"/>
              </w:rPr>
            </w:pPr>
            <w:r w:rsidRPr="00C22C49">
              <w:rPr>
                <w:rFonts w:cs="Times New Roman"/>
                <w:sz w:val="18"/>
                <w:szCs w:val="18"/>
              </w:rPr>
              <w:t>Продажі у четвертому році П</w:t>
            </w:r>
            <w:r w:rsidRPr="00C22C49">
              <w:rPr>
                <w:rFonts w:cs="Times New Roman"/>
                <w:sz w:val="18"/>
                <w:szCs w:val="18"/>
                <w:vertAlign w:val="subscript"/>
              </w:rPr>
              <w:t>4</w:t>
            </w:r>
          </w:p>
        </w:tc>
        <w:tc>
          <w:tcPr>
            <w:tcW w:w="937" w:type="pct"/>
            <w:tcBorders>
              <w:top w:val="single" w:sz="4" w:space="0" w:color="000000"/>
              <w:left w:val="single" w:sz="4" w:space="0" w:color="000000"/>
              <w:bottom w:val="single" w:sz="4" w:space="0" w:color="000000"/>
              <w:right w:val="nil"/>
            </w:tcBorders>
            <w:hideMark/>
          </w:tcPr>
          <w:p w14:paraId="0896BEF3" w14:textId="25830707"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Збирання у четвертому році (Зб</w:t>
            </w:r>
            <w:r w:rsidRPr="00C22C49">
              <w:rPr>
                <w:rFonts w:cs="Times New Roman"/>
                <w:sz w:val="18"/>
                <w:szCs w:val="18"/>
                <w:vertAlign w:val="subscript"/>
              </w:rPr>
              <w:t>4</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EF4" w14:textId="1693BDC5"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4</w:t>
            </w:r>
            <w:r w:rsidRPr="00C22C49">
              <w:rPr>
                <w:rFonts w:cs="Times New Roman"/>
                <w:sz w:val="18"/>
                <w:szCs w:val="18"/>
              </w:rPr>
              <w:t>=[3*Зб</w:t>
            </w:r>
            <w:r w:rsidRPr="00C22C49">
              <w:rPr>
                <w:rFonts w:cs="Times New Roman"/>
                <w:sz w:val="18"/>
                <w:szCs w:val="18"/>
                <w:vertAlign w:val="subscript"/>
              </w:rPr>
              <w:t>4</w:t>
            </w:r>
            <w:r w:rsidRPr="00C22C49">
              <w:rPr>
                <w:rFonts w:cs="Times New Roman"/>
                <w:sz w:val="18"/>
                <w:szCs w:val="18"/>
              </w:rPr>
              <w:t>/(П</w:t>
            </w:r>
            <w:r w:rsidRPr="00C22C49">
              <w:rPr>
                <w:rFonts w:cs="Times New Roman"/>
                <w:sz w:val="18"/>
                <w:szCs w:val="18"/>
                <w:vertAlign w:val="subscript"/>
              </w:rPr>
              <w:t>1</w:t>
            </w:r>
            <w:r w:rsidRPr="00C22C49">
              <w:rPr>
                <w:rFonts w:cs="Times New Roman"/>
                <w:sz w:val="18"/>
                <w:szCs w:val="18"/>
              </w:rPr>
              <w:t>+П</w:t>
            </w:r>
            <w:r w:rsidRPr="00C22C49">
              <w:rPr>
                <w:rFonts w:cs="Times New Roman"/>
                <w:sz w:val="18"/>
                <w:szCs w:val="18"/>
                <w:vertAlign w:val="subscript"/>
              </w:rPr>
              <w:t>2</w:t>
            </w:r>
            <w:r w:rsidRPr="00C22C49">
              <w:rPr>
                <w:rFonts w:cs="Times New Roman"/>
                <w:sz w:val="18"/>
                <w:szCs w:val="18"/>
              </w:rPr>
              <w:t>+П</w:t>
            </w:r>
            <w:r w:rsidRPr="00C22C49">
              <w:rPr>
                <w:rFonts w:cs="Times New Roman"/>
                <w:sz w:val="18"/>
                <w:szCs w:val="18"/>
                <w:vertAlign w:val="subscript"/>
              </w:rPr>
              <w:t>3</w:t>
            </w:r>
            <w:r w:rsidRPr="00C22C49">
              <w:rPr>
                <w:rFonts w:cs="Times New Roman"/>
                <w:sz w:val="18"/>
                <w:szCs w:val="18"/>
              </w:rPr>
              <w:t>)]*100</w:t>
            </w:r>
          </w:p>
        </w:tc>
        <w:tc>
          <w:tcPr>
            <w:tcW w:w="624" w:type="pct"/>
            <w:tcBorders>
              <w:top w:val="single" w:sz="4" w:space="0" w:color="000000"/>
              <w:left w:val="single" w:sz="4" w:space="0" w:color="000000"/>
              <w:bottom w:val="single" w:sz="4" w:space="0" w:color="000000"/>
              <w:right w:val="single" w:sz="4" w:space="0" w:color="000000"/>
            </w:tcBorders>
            <w:hideMark/>
          </w:tcPr>
          <w:p w14:paraId="0896BEF5" w14:textId="10DBC9B6"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10</w:t>
            </w:r>
          </w:p>
        </w:tc>
        <w:tc>
          <w:tcPr>
            <w:tcW w:w="616" w:type="pct"/>
            <w:tcBorders>
              <w:top w:val="single" w:sz="4" w:space="0" w:color="000000"/>
              <w:left w:val="single" w:sz="4" w:space="0" w:color="000000"/>
              <w:bottom w:val="single" w:sz="4" w:space="0" w:color="000000"/>
              <w:right w:val="single" w:sz="4" w:space="0" w:color="000000"/>
            </w:tcBorders>
          </w:tcPr>
          <w:p w14:paraId="0896BEF6" w14:textId="5AD5F6B9" w:rsidR="00812A00" w:rsidRPr="00C22C49" w:rsidRDefault="00812A00" w:rsidP="00045198">
            <w:pPr>
              <w:tabs>
                <w:tab w:val="left" w:pos="2856"/>
              </w:tabs>
              <w:spacing w:before="60" w:after="60"/>
              <w:rPr>
                <w:rFonts w:cs="Times New Roman"/>
                <w:sz w:val="18"/>
                <w:szCs w:val="18"/>
              </w:rPr>
            </w:pPr>
          </w:p>
        </w:tc>
      </w:tr>
      <w:tr w:rsidR="00812A00" w:rsidRPr="00C22C49" w14:paraId="0896BEFE" w14:textId="302F15DA" w:rsidTr="003805F8">
        <w:trPr>
          <w:trHeight w:val="680"/>
        </w:trPr>
        <w:tc>
          <w:tcPr>
            <w:tcW w:w="626" w:type="pct"/>
            <w:tcBorders>
              <w:top w:val="single" w:sz="4" w:space="0" w:color="000000"/>
              <w:left w:val="single" w:sz="4" w:space="0" w:color="000000"/>
              <w:bottom w:val="single" w:sz="4" w:space="0" w:color="000000"/>
              <w:right w:val="nil"/>
            </w:tcBorders>
            <w:hideMark/>
          </w:tcPr>
          <w:p w14:paraId="0896BEF8" w14:textId="683D0F47" w:rsidR="00812A00" w:rsidRPr="00C22C49" w:rsidRDefault="00812A00" w:rsidP="00045198">
            <w:pPr>
              <w:spacing w:before="60" w:after="60"/>
              <w:rPr>
                <w:rFonts w:cs="Times New Roman"/>
                <w:sz w:val="18"/>
                <w:szCs w:val="18"/>
              </w:rPr>
            </w:pPr>
            <w:r w:rsidRPr="00C22C49">
              <w:rPr>
                <w:rFonts w:cs="Times New Roman"/>
                <w:sz w:val="18"/>
                <w:szCs w:val="18"/>
              </w:rPr>
              <w:t>X+5</w:t>
            </w:r>
          </w:p>
        </w:tc>
        <w:tc>
          <w:tcPr>
            <w:tcW w:w="860" w:type="pct"/>
            <w:tcBorders>
              <w:top w:val="single" w:sz="4" w:space="0" w:color="000000"/>
              <w:left w:val="single" w:sz="4" w:space="0" w:color="000000"/>
              <w:bottom w:val="single" w:sz="4" w:space="0" w:color="000000"/>
              <w:right w:val="nil"/>
            </w:tcBorders>
            <w:hideMark/>
          </w:tcPr>
          <w:p w14:paraId="0896BEF9" w14:textId="31A10AF3" w:rsidR="00812A00" w:rsidRPr="00C22C49" w:rsidRDefault="00812A00" w:rsidP="00045198">
            <w:pPr>
              <w:spacing w:before="60" w:after="60"/>
              <w:rPr>
                <w:rFonts w:cs="Times New Roman"/>
                <w:sz w:val="18"/>
                <w:szCs w:val="18"/>
              </w:rPr>
            </w:pPr>
            <w:r w:rsidRPr="00C22C49">
              <w:rPr>
                <w:rFonts w:cs="Times New Roman"/>
                <w:sz w:val="18"/>
                <w:szCs w:val="18"/>
              </w:rPr>
              <w:t>Продажі у п’ятому році (П</w:t>
            </w:r>
            <w:r w:rsidRPr="00C22C49">
              <w:rPr>
                <w:rFonts w:cs="Times New Roman"/>
                <w:sz w:val="18"/>
                <w:szCs w:val="18"/>
                <w:vertAlign w:val="subscript"/>
              </w:rPr>
              <w:t>5</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EFA" w14:textId="5B4C9047"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Збирання у п’ятому році (Зб</w:t>
            </w:r>
            <w:r w:rsidRPr="00C22C49">
              <w:rPr>
                <w:rFonts w:cs="Times New Roman"/>
                <w:sz w:val="18"/>
                <w:szCs w:val="18"/>
                <w:vertAlign w:val="subscript"/>
              </w:rPr>
              <w:t>5</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EFB" w14:textId="7F7B2F9C"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5</w:t>
            </w:r>
            <w:r w:rsidRPr="00C22C49">
              <w:rPr>
                <w:rFonts w:cs="Times New Roman"/>
                <w:sz w:val="18"/>
                <w:szCs w:val="18"/>
              </w:rPr>
              <w:t>=[3*Зб</w:t>
            </w:r>
            <w:r w:rsidRPr="00C22C49">
              <w:rPr>
                <w:rFonts w:cs="Times New Roman"/>
                <w:sz w:val="18"/>
                <w:szCs w:val="18"/>
                <w:vertAlign w:val="subscript"/>
              </w:rPr>
              <w:t>5</w:t>
            </w:r>
            <w:r w:rsidRPr="00C22C49">
              <w:rPr>
                <w:rFonts w:cs="Times New Roman"/>
                <w:sz w:val="18"/>
                <w:szCs w:val="18"/>
              </w:rPr>
              <w:t>/(П</w:t>
            </w:r>
            <w:r w:rsidRPr="00C22C49">
              <w:rPr>
                <w:rFonts w:cs="Times New Roman"/>
                <w:sz w:val="18"/>
                <w:szCs w:val="18"/>
                <w:vertAlign w:val="subscript"/>
              </w:rPr>
              <w:t>2</w:t>
            </w:r>
            <w:r w:rsidRPr="00C22C49">
              <w:rPr>
                <w:rFonts w:cs="Times New Roman"/>
                <w:sz w:val="18"/>
                <w:szCs w:val="18"/>
              </w:rPr>
              <w:t>+П</w:t>
            </w:r>
            <w:r w:rsidRPr="00C22C49">
              <w:rPr>
                <w:rFonts w:cs="Times New Roman"/>
                <w:sz w:val="18"/>
                <w:szCs w:val="18"/>
                <w:vertAlign w:val="subscript"/>
              </w:rPr>
              <w:t>3</w:t>
            </w:r>
            <w:r w:rsidRPr="00C22C49">
              <w:rPr>
                <w:rFonts w:cs="Times New Roman"/>
                <w:sz w:val="18"/>
                <w:szCs w:val="18"/>
              </w:rPr>
              <w:t>+П</w:t>
            </w:r>
            <w:r w:rsidRPr="00C22C49">
              <w:rPr>
                <w:rFonts w:cs="Times New Roman"/>
                <w:sz w:val="18"/>
                <w:szCs w:val="18"/>
                <w:vertAlign w:val="subscript"/>
              </w:rPr>
              <w:t>4</w:t>
            </w:r>
            <w:r w:rsidRPr="00C22C49">
              <w:rPr>
                <w:rFonts w:cs="Times New Roman"/>
                <w:sz w:val="18"/>
                <w:szCs w:val="18"/>
              </w:rPr>
              <w:t>)]*100</w:t>
            </w:r>
          </w:p>
        </w:tc>
        <w:tc>
          <w:tcPr>
            <w:tcW w:w="624" w:type="pct"/>
            <w:tcBorders>
              <w:top w:val="single" w:sz="4" w:space="0" w:color="000000"/>
              <w:left w:val="single" w:sz="4" w:space="0" w:color="000000"/>
              <w:bottom w:val="single" w:sz="4" w:space="0" w:color="000000"/>
              <w:right w:val="single" w:sz="4" w:space="0" w:color="000000"/>
            </w:tcBorders>
            <w:hideMark/>
          </w:tcPr>
          <w:p w14:paraId="0896BEFC" w14:textId="74C8CFE2"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15</w:t>
            </w:r>
          </w:p>
        </w:tc>
        <w:tc>
          <w:tcPr>
            <w:tcW w:w="616" w:type="pct"/>
            <w:tcBorders>
              <w:top w:val="single" w:sz="4" w:space="0" w:color="000000"/>
              <w:left w:val="single" w:sz="4" w:space="0" w:color="000000"/>
              <w:bottom w:val="single" w:sz="4" w:space="0" w:color="000000"/>
              <w:right w:val="single" w:sz="4" w:space="0" w:color="000000"/>
            </w:tcBorders>
          </w:tcPr>
          <w:p w14:paraId="0896BEFD" w14:textId="596C70C5" w:rsidR="00812A00" w:rsidRPr="00C22C49" w:rsidRDefault="00812A00" w:rsidP="00045198">
            <w:pPr>
              <w:tabs>
                <w:tab w:val="left" w:pos="2856"/>
              </w:tabs>
              <w:spacing w:before="60" w:after="60"/>
              <w:rPr>
                <w:rFonts w:cs="Times New Roman"/>
                <w:sz w:val="18"/>
                <w:szCs w:val="18"/>
              </w:rPr>
            </w:pPr>
            <w:r w:rsidRPr="00C22C49">
              <w:rPr>
                <w:rFonts w:cs="Times New Roman"/>
                <w:sz w:val="18"/>
                <w:szCs w:val="18"/>
              </w:rPr>
              <w:t>ПЗб</w:t>
            </w:r>
            <w:r w:rsidRPr="00C22C49">
              <w:rPr>
                <w:rFonts w:cs="Times New Roman"/>
                <w:sz w:val="18"/>
                <w:szCs w:val="18"/>
                <w:vertAlign w:val="subscript"/>
              </w:rPr>
              <w:t>3</w:t>
            </w:r>
          </w:p>
        </w:tc>
      </w:tr>
      <w:tr w:rsidR="00812A00" w:rsidRPr="00C22C49" w14:paraId="0896BF05" w14:textId="115C18F1" w:rsidTr="003805F8">
        <w:trPr>
          <w:trHeight w:val="680"/>
        </w:trPr>
        <w:tc>
          <w:tcPr>
            <w:tcW w:w="626" w:type="pct"/>
            <w:tcBorders>
              <w:top w:val="single" w:sz="4" w:space="0" w:color="000000"/>
              <w:left w:val="single" w:sz="4" w:space="0" w:color="000000"/>
              <w:bottom w:val="single" w:sz="4" w:space="0" w:color="000000"/>
              <w:right w:val="nil"/>
            </w:tcBorders>
            <w:hideMark/>
          </w:tcPr>
          <w:p w14:paraId="0896BEFF" w14:textId="7B670020" w:rsidR="00812A00" w:rsidRPr="00C22C49" w:rsidRDefault="00812A00" w:rsidP="00045198">
            <w:pPr>
              <w:spacing w:before="60" w:after="60"/>
              <w:rPr>
                <w:rFonts w:cs="Times New Roman"/>
                <w:sz w:val="18"/>
                <w:szCs w:val="18"/>
              </w:rPr>
            </w:pPr>
            <w:r w:rsidRPr="00C22C49">
              <w:rPr>
                <w:rFonts w:cs="Times New Roman"/>
                <w:sz w:val="18"/>
                <w:szCs w:val="18"/>
              </w:rPr>
              <w:t>X+6</w:t>
            </w:r>
          </w:p>
        </w:tc>
        <w:tc>
          <w:tcPr>
            <w:tcW w:w="860" w:type="pct"/>
            <w:tcBorders>
              <w:top w:val="single" w:sz="4" w:space="0" w:color="000000"/>
              <w:left w:val="single" w:sz="4" w:space="0" w:color="000000"/>
              <w:bottom w:val="single" w:sz="4" w:space="0" w:color="000000"/>
              <w:right w:val="nil"/>
            </w:tcBorders>
            <w:hideMark/>
          </w:tcPr>
          <w:p w14:paraId="0896BF00" w14:textId="337D6A78" w:rsidR="00812A00" w:rsidRPr="00C22C49" w:rsidRDefault="00812A00" w:rsidP="00045198">
            <w:pPr>
              <w:spacing w:before="60" w:after="60"/>
              <w:rPr>
                <w:rFonts w:cs="Times New Roman"/>
                <w:sz w:val="18"/>
                <w:szCs w:val="18"/>
              </w:rPr>
            </w:pPr>
            <w:r w:rsidRPr="00C22C49">
              <w:rPr>
                <w:rFonts w:cs="Times New Roman"/>
                <w:sz w:val="18"/>
                <w:szCs w:val="18"/>
              </w:rPr>
              <w:t>Продажі у шостому році (П</w:t>
            </w:r>
            <w:r w:rsidRPr="00C22C49">
              <w:rPr>
                <w:rFonts w:cs="Times New Roman"/>
                <w:sz w:val="18"/>
                <w:szCs w:val="18"/>
                <w:vertAlign w:val="subscript"/>
              </w:rPr>
              <w:t>6</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F01" w14:textId="6355AA5A" w:rsidR="00812A00" w:rsidRPr="00C22C49" w:rsidRDefault="00812A00" w:rsidP="00045198">
            <w:pPr>
              <w:spacing w:before="60" w:after="60"/>
              <w:rPr>
                <w:rFonts w:cs="Times New Roman"/>
                <w:sz w:val="18"/>
                <w:szCs w:val="18"/>
              </w:rPr>
            </w:pPr>
            <w:r w:rsidRPr="00C22C49">
              <w:rPr>
                <w:rFonts w:cs="Times New Roman"/>
                <w:sz w:val="18"/>
                <w:szCs w:val="18"/>
              </w:rPr>
              <w:t>Збирання у шостому році (Зб</w:t>
            </w:r>
            <w:r w:rsidRPr="00C22C49">
              <w:rPr>
                <w:rFonts w:cs="Times New Roman"/>
                <w:sz w:val="18"/>
                <w:szCs w:val="18"/>
                <w:vertAlign w:val="subscript"/>
              </w:rPr>
              <w:t xml:space="preserve"> 6</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F02" w14:textId="72ECDF40"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6</w:t>
            </w:r>
            <w:r w:rsidRPr="00C22C49">
              <w:rPr>
                <w:rFonts w:cs="Times New Roman"/>
                <w:sz w:val="18"/>
                <w:szCs w:val="18"/>
              </w:rPr>
              <w:t>=[3*Зб</w:t>
            </w:r>
            <w:r w:rsidRPr="00C22C49">
              <w:rPr>
                <w:rFonts w:cs="Times New Roman"/>
                <w:sz w:val="18"/>
                <w:szCs w:val="18"/>
                <w:vertAlign w:val="subscript"/>
              </w:rPr>
              <w:t>6</w:t>
            </w:r>
            <w:r w:rsidRPr="00C22C49">
              <w:rPr>
                <w:rFonts w:cs="Times New Roman"/>
                <w:sz w:val="18"/>
                <w:szCs w:val="18"/>
              </w:rPr>
              <w:t>/(П</w:t>
            </w:r>
            <w:r w:rsidRPr="00C22C49">
              <w:rPr>
                <w:rFonts w:cs="Times New Roman"/>
                <w:sz w:val="18"/>
                <w:szCs w:val="18"/>
                <w:vertAlign w:val="subscript"/>
              </w:rPr>
              <w:t>3</w:t>
            </w:r>
            <w:r w:rsidRPr="00C22C49">
              <w:rPr>
                <w:rFonts w:cs="Times New Roman"/>
                <w:sz w:val="18"/>
                <w:szCs w:val="18"/>
              </w:rPr>
              <w:t>+П</w:t>
            </w:r>
            <w:r w:rsidRPr="00C22C49">
              <w:rPr>
                <w:rFonts w:cs="Times New Roman"/>
                <w:sz w:val="18"/>
                <w:szCs w:val="18"/>
                <w:vertAlign w:val="subscript"/>
              </w:rPr>
              <w:t>4</w:t>
            </w:r>
            <w:r w:rsidRPr="00C22C49">
              <w:rPr>
                <w:rFonts w:cs="Times New Roman"/>
                <w:sz w:val="18"/>
                <w:szCs w:val="18"/>
              </w:rPr>
              <w:t>+П</w:t>
            </w:r>
            <w:r w:rsidRPr="00C22C49">
              <w:rPr>
                <w:rFonts w:cs="Times New Roman"/>
                <w:sz w:val="18"/>
                <w:szCs w:val="18"/>
                <w:vertAlign w:val="subscript"/>
              </w:rPr>
              <w:t>5</w:t>
            </w:r>
            <w:r w:rsidRPr="00C22C49">
              <w:rPr>
                <w:rFonts w:cs="Times New Roman"/>
                <w:sz w:val="18"/>
                <w:szCs w:val="18"/>
              </w:rPr>
              <w:t>)]*100</w:t>
            </w:r>
          </w:p>
        </w:tc>
        <w:tc>
          <w:tcPr>
            <w:tcW w:w="624" w:type="pct"/>
            <w:tcBorders>
              <w:top w:val="single" w:sz="4" w:space="0" w:color="000000"/>
              <w:left w:val="single" w:sz="4" w:space="0" w:color="000000"/>
              <w:bottom w:val="single" w:sz="4" w:space="0" w:color="000000"/>
              <w:right w:val="single" w:sz="4" w:space="0" w:color="000000"/>
            </w:tcBorders>
            <w:hideMark/>
          </w:tcPr>
          <w:p w14:paraId="0896BF03" w14:textId="475758A6"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20</w:t>
            </w:r>
          </w:p>
        </w:tc>
        <w:tc>
          <w:tcPr>
            <w:tcW w:w="616" w:type="pct"/>
            <w:tcBorders>
              <w:top w:val="single" w:sz="4" w:space="0" w:color="000000"/>
              <w:left w:val="single" w:sz="4" w:space="0" w:color="000000"/>
              <w:bottom w:val="single" w:sz="4" w:space="0" w:color="000000"/>
              <w:right w:val="single" w:sz="4" w:space="0" w:color="000000"/>
            </w:tcBorders>
          </w:tcPr>
          <w:p w14:paraId="0896BF04" w14:textId="1984A935" w:rsidR="00812A00" w:rsidRPr="00C22C49" w:rsidRDefault="00812A00" w:rsidP="00045198">
            <w:pPr>
              <w:rPr>
                <w:rFonts w:cs="Times New Roman"/>
                <w:sz w:val="18"/>
                <w:szCs w:val="18"/>
              </w:rPr>
            </w:pPr>
            <w:r w:rsidRPr="00C22C49">
              <w:rPr>
                <w:rFonts w:cs="Times New Roman"/>
                <w:sz w:val="18"/>
                <w:szCs w:val="18"/>
              </w:rPr>
              <w:t>ПЗб</w:t>
            </w:r>
            <w:r w:rsidRPr="00C22C49">
              <w:rPr>
                <w:rFonts w:cs="Times New Roman"/>
                <w:sz w:val="18"/>
                <w:szCs w:val="18"/>
                <w:vertAlign w:val="subscript"/>
              </w:rPr>
              <w:t>4</w:t>
            </w:r>
          </w:p>
        </w:tc>
      </w:tr>
      <w:tr w:rsidR="00812A00" w:rsidRPr="00C22C49" w14:paraId="0896BF0C" w14:textId="180FDE13" w:rsidTr="003805F8">
        <w:trPr>
          <w:trHeight w:val="680"/>
        </w:trPr>
        <w:tc>
          <w:tcPr>
            <w:tcW w:w="626" w:type="pct"/>
            <w:tcBorders>
              <w:top w:val="single" w:sz="4" w:space="0" w:color="000000"/>
              <w:left w:val="single" w:sz="4" w:space="0" w:color="000000"/>
              <w:bottom w:val="single" w:sz="4" w:space="0" w:color="000000"/>
              <w:right w:val="nil"/>
            </w:tcBorders>
            <w:hideMark/>
          </w:tcPr>
          <w:p w14:paraId="0896BF06" w14:textId="45A23781" w:rsidR="00812A00" w:rsidRPr="00C22C49" w:rsidRDefault="00812A00" w:rsidP="00045198">
            <w:pPr>
              <w:spacing w:before="60" w:after="60"/>
              <w:rPr>
                <w:rFonts w:cs="Times New Roman"/>
                <w:sz w:val="18"/>
                <w:szCs w:val="18"/>
              </w:rPr>
            </w:pPr>
            <w:r w:rsidRPr="00C22C49">
              <w:rPr>
                <w:rFonts w:cs="Times New Roman"/>
                <w:sz w:val="18"/>
                <w:szCs w:val="18"/>
              </w:rPr>
              <w:t>X+7</w:t>
            </w:r>
          </w:p>
        </w:tc>
        <w:tc>
          <w:tcPr>
            <w:tcW w:w="860" w:type="pct"/>
            <w:tcBorders>
              <w:top w:val="single" w:sz="4" w:space="0" w:color="000000"/>
              <w:left w:val="single" w:sz="4" w:space="0" w:color="000000"/>
              <w:bottom w:val="single" w:sz="4" w:space="0" w:color="000000"/>
              <w:right w:val="nil"/>
            </w:tcBorders>
            <w:hideMark/>
          </w:tcPr>
          <w:p w14:paraId="0896BF07" w14:textId="51590A9A" w:rsidR="00812A00" w:rsidRPr="00C22C49" w:rsidRDefault="00812A00" w:rsidP="00045198">
            <w:pPr>
              <w:spacing w:before="60" w:after="60"/>
              <w:rPr>
                <w:rFonts w:cs="Times New Roman"/>
                <w:sz w:val="18"/>
                <w:szCs w:val="18"/>
              </w:rPr>
            </w:pPr>
            <w:r w:rsidRPr="00C22C49">
              <w:rPr>
                <w:rFonts w:cs="Times New Roman"/>
                <w:sz w:val="18"/>
                <w:szCs w:val="18"/>
              </w:rPr>
              <w:t>Продажі у сьомому році (П</w:t>
            </w:r>
            <w:r w:rsidRPr="00C22C49">
              <w:rPr>
                <w:rFonts w:cs="Times New Roman"/>
                <w:sz w:val="18"/>
                <w:szCs w:val="18"/>
                <w:vertAlign w:val="subscript"/>
              </w:rPr>
              <w:t>7</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F08" w14:textId="732BE398" w:rsidR="00812A00" w:rsidRPr="00C22C49" w:rsidRDefault="00812A00" w:rsidP="00045198">
            <w:pPr>
              <w:spacing w:before="60" w:after="60"/>
              <w:rPr>
                <w:rFonts w:cs="Times New Roman"/>
                <w:sz w:val="18"/>
                <w:szCs w:val="18"/>
              </w:rPr>
            </w:pPr>
            <w:r w:rsidRPr="00C22C49">
              <w:rPr>
                <w:rFonts w:cs="Times New Roman"/>
                <w:sz w:val="18"/>
                <w:szCs w:val="18"/>
              </w:rPr>
              <w:t>Збирання у сьомому році (Зб</w:t>
            </w:r>
            <w:r w:rsidRPr="00C22C49">
              <w:rPr>
                <w:rFonts w:cs="Times New Roman"/>
                <w:sz w:val="18"/>
                <w:szCs w:val="18"/>
                <w:vertAlign w:val="subscript"/>
              </w:rPr>
              <w:t>7</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F09" w14:textId="139AFFB2"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7</w:t>
            </w:r>
            <w:r w:rsidRPr="00C22C49">
              <w:rPr>
                <w:rFonts w:cs="Times New Roman"/>
                <w:sz w:val="18"/>
                <w:szCs w:val="18"/>
              </w:rPr>
              <w:t>=[3* Зб</w:t>
            </w:r>
            <w:r w:rsidRPr="00C22C49">
              <w:rPr>
                <w:rFonts w:cs="Times New Roman"/>
                <w:sz w:val="18"/>
                <w:szCs w:val="18"/>
                <w:vertAlign w:val="subscript"/>
              </w:rPr>
              <w:t>7</w:t>
            </w:r>
            <w:r w:rsidRPr="00C22C49">
              <w:rPr>
                <w:rFonts w:cs="Times New Roman"/>
                <w:sz w:val="18"/>
                <w:szCs w:val="18"/>
              </w:rPr>
              <w:t>/(П</w:t>
            </w:r>
            <w:r w:rsidRPr="00C22C49">
              <w:rPr>
                <w:rFonts w:cs="Times New Roman"/>
                <w:sz w:val="18"/>
                <w:szCs w:val="18"/>
                <w:vertAlign w:val="subscript"/>
              </w:rPr>
              <w:t>4</w:t>
            </w:r>
            <w:r w:rsidRPr="00C22C49">
              <w:rPr>
                <w:rFonts w:cs="Times New Roman"/>
                <w:sz w:val="18"/>
                <w:szCs w:val="18"/>
              </w:rPr>
              <w:t>+П</w:t>
            </w:r>
            <w:r w:rsidRPr="00C22C49">
              <w:rPr>
                <w:rFonts w:cs="Times New Roman"/>
                <w:sz w:val="18"/>
                <w:szCs w:val="18"/>
                <w:vertAlign w:val="subscript"/>
              </w:rPr>
              <w:t>5</w:t>
            </w:r>
            <w:r w:rsidRPr="00C22C49">
              <w:rPr>
                <w:rFonts w:cs="Times New Roman"/>
                <w:sz w:val="18"/>
                <w:szCs w:val="18"/>
              </w:rPr>
              <w:t>+П</w:t>
            </w:r>
            <w:r w:rsidRPr="00C22C49">
              <w:rPr>
                <w:rFonts w:cs="Times New Roman"/>
                <w:sz w:val="18"/>
                <w:szCs w:val="18"/>
                <w:vertAlign w:val="subscript"/>
              </w:rPr>
              <w:t>6</w:t>
            </w:r>
            <w:r w:rsidRPr="00C22C49">
              <w:rPr>
                <w:rFonts w:cs="Times New Roman"/>
                <w:sz w:val="18"/>
                <w:szCs w:val="18"/>
              </w:rPr>
              <w:t>)]*100</w:t>
            </w:r>
          </w:p>
        </w:tc>
        <w:tc>
          <w:tcPr>
            <w:tcW w:w="624" w:type="pct"/>
            <w:tcBorders>
              <w:top w:val="single" w:sz="4" w:space="0" w:color="000000"/>
              <w:left w:val="single" w:sz="4" w:space="0" w:color="000000"/>
              <w:bottom w:val="single" w:sz="4" w:space="0" w:color="000000"/>
              <w:right w:val="single" w:sz="4" w:space="0" w:color="000000"/>
            </w:tcBorders>
            <w:hideMark/>
          </w:tcPr>
          <w:p w14:paraId="0896BF0A" w14:textId="679D6AD4"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25</w:t>
            </w:r>
          </w:p>
        </w:tc>
        <w:tc>
          <w:tcPr>
            <w:tcW w:w="616" w:type="pct"/>
            <w:tcBorders>
              <w:top w:val="single" w:sz="4" w:space="0" w:color="000000"/>
              <w:left w:val="single" w:sz="4" w:space="0" w:color="000000"/>
              <w:bottom w:val="single" w:sz="4" w:space="0" w:color="000000"/>
              <w:right w:val="single" w:sz="4" w:space="0" w:color="000000"/>
            </w:tcBorders>
          </w:tcPr>
          <w:p w14:paraId="0896BF0B" w14:textId="630D80B7" w:rsidR="00812A00" w:rsidRPr="00C22C49" w:rsidRDefault="00812A00" w:rsidP="00045198">
            <w:pPr>
              <w:rPr>
                <w:rFonts w:cs="Times New Roman"/>
                <w:sz w:val="18"/>
                <w:szCs w:val="18"/>
              </w:rPr>
            </w:pPr>
            <w:r w:rsidRPr="00C22C49">
              <w:rPr>
                <w:rFonts w:cs="Times New Roman"/>
                <w:sz w:val="18"/>
                <w:szCs w:val="18"/>
              </w:rPr>
              <w:t>ПЗб</w:t>
            </w:r>
            <w:r w:rsidRPr="00C22C49">
              <w:rPr>
                <w:rFonts w:cs="Times New Roman"/>
                <w:sz w:val="18"/>
                <w:szCs w:val="18"/>
                <w:vertAlign w:val="subscript"/>
              </w:rPr>
              <w:t>5</w:t>
            </w:r>
          </w:p>
        </w:tc>
      </w:tr>
      <w:tr w:rsidR="00812A00" w:rsidRPr="00C22C49" w14:paraId="0896BF13" w14:textId="4C237F98" w:rsidTr="003805F8">
        <w:trPr>
          <w:trHeight w:val="680"/>
        </w:trPr>
        <w:tc>
          <w:tcPr>
            <w:tcW w:w="626" w:type="pct"/>
            <w:tcBorders>
              <w:top w:val="single" w:sz="4" w:space="0" w:color="000000"/>
              <w:left w:val="single" w:sz="4" w:space="0" w:color="000000"/>
              <w:bottom w:val="single" w:sz="4" w:space="0" w:color="000000"/>
              <w:right w:val="nil"/>
            </w:tcBorders>
            <w:hideMark/>
          </w:tcPr>
          <w:p w14:paraId="0896BF0D" w14:textId="7E00EC98" w:rsidR="00812A00" w:rsidRPr="00C22C49" w:rsidRDefault="00812A00" w:rsidP="00045198">
            <w:pPr>
              <w:spacing w:before="60" w:after="60"/>
              <w:rPr>
                <w:rFonts w:cs="Times New Roman"/>
                <w:sz w:val="18"/>
                <w:szCs w:val="18"/>
              </w:rPr>
            </w:pPr>
            <w:r w:rsidRPr="00C22C49">
              <w:rPr>
                <w:rFonts w:cs="Times New Roman"/>
                <w:sz w:val="18"/>
                <w:szCs w:val="18"/>
              </w:rPr>
              <w:t>X+8</w:t>
            </w:r>
          </w:p>
        </w:tc>
        <w:tc>
          <w:tcPr>
            <w:tcW w:w="860" w:type="pct"/>
            <w:tcBorders>
              <w:top w:val="single" w:sz="4" w:space="0" w:color="000000"/>
              <w:left w:val="single" w:sz="4" w:space="0" w:color="000000"/>
              <w:bottom w:val="single" w:sz="4" w:space="0" w:color="000000"/>
              <w:right w:val="nil"/>
            </w:tcBorders>
            <w:hideMark/>
          </w:tcPr>
          <w:p w14:paraId="0896BF0E" w14:textId="0E12611C" w:rsidR="00812A00" w:rsidRPr="00C22C49" w:rsidRDefault="00812A00" w:rsidP="00045198">
            <w:pPr>
              <w:spacing w:before="60" w:after="60"/>
              <w:rPr>
                <w:rFonts w:cs="Times New Roman"/>
                <w:sz w:val="18"/>
                <w:szCs w:val="18"/>
              </w:rPr>
            </w:pPr>
            <w:r w:rsidRPr="00C22C49">
              <w:rPr>
                <w:rFonts w:cs="Times New Roman"/>
                <w:sz w:val="18"/>
                <w:szCs w:val="18"/>
              </w:rPr>
              <w:t>Продажі у восьмому році (П</w:t>
            </w:r>
            <w:r w:rsidRPr="00C22C49">
              <w:rPr>
                <w:rFonts w:cs="Times New Roman"/>
                <w:sz w:val="18"/>
                <w:szCs w:val="18"/>
                <w:vertAlign w:val="subscript"/>
              </w:rPr>
              <w:t>8</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F0F" w14:textId="1C077F98" w:rsidR="00812A00" w:rsidRPr="00C22C49" w:rsidRDefault="00812A00" w:rsidP="00045198">
            <w:pPr>
              <w:spacing w:before="60" w:after="60"/>
              <w:rPr>
                <w:rFonts w:cs="Times New Roman"/>
                <w:sz w:val="18"/>
                <w:szCs w:val="18"/>
              </w:rPr>
            </w:pPr>
            <w:r w:rsidRPr="00C22C49">
              <w:rPr>
                <w:rFonts w:cs="Times New Roman"/>
                <w:sz w:val="18"/>
                <w:szCs w:val="18"/>
              </w:rPr>
              <w:t>Збирання у восьмому році (Зb</w:t>
            </w:r>
            <w:r w:rsidRPr="00C22C49">
              <w:rPr>
                <w:rFonts w:cs="Times New Roman"/>
                <w:sz w:val="18"/>
                <w:szCs w:val="18"/>
                <w:vertAlign w:val="subscript"/>
              </w:rPr>
              <w:t>8</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F10" w14:textId="21604E2A"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8</w:t>
            </w:r>
            <w:r w:rsidRPr="00C22C49">
              <w:rPr>
                <w:rFonts w:cs="Times New Roman"/>
                <w:sz w:val="18"/>
                <w:szCs w:val="18"/>
              </w:rPr>
              <w:t>=[3* Зб</w:t>
            </w:r>
            <w:r w:rsidRPr="00C22C49">
              <w:rPr>
                <w:rFonts w:cs="Times New Roman"/>
                <w:sz w:val="18"/>
                <w:szCs w:val="18"/>
                <w:vertAlign w:val="subscript"/>
              </w:rPr>
              <w:t>8</w:t>
            </w:r>
            <w:r w:rsidRPr="00C22C49">
              <w:rPr>
                <w:rFonts w:cs="Times New Roman"/>
                <w:sz w:val="18"/>
                <w:szCs w:val="18"/>
              </w:rPr>
              <w:t>/(П</w:t>
            </w:r>
            <w:r w:rsidRPr="00C22C49">
              <w:rPr>
                <w:rFonts w:cs="Times New Roman"/>
                <w:sz w:val="18"/>
                <w:szCs w:val="18"/>
                <w:vertAlign w:val="subscript"/>
              </w:rPr>
              <w:t>5</w:t>
            </w:r>
            <w:r w:rsidRPr="00C22C49">
              <w:rPr>
                <w:rFonts w:cs="Times New Roman"/>
                <w:sz w:val="18"/>
                <w:szCs w:val="18"/>
              </w:rPr>
              <w:t>+П</w:t>
            </w:r>
            <w:r w:rsidRPr="00C22C49">
              <w:rPr>
                <w:rFonts w:cs="Times New Roman"/>
                <w:sz w:val="18"/>
                <w:szCs w:val="18"/>
                <w:vertAlign w:val="subscript"/>
              </w:rPr>
              <w:t>6</w:t>
            </w:r>
            <w:r w:rsidRPr="00C22C49">
              <w:rPr>
                <w:rFonts w:cs="Times New Roman"/>
                <w:sz w:val="18"/>
                <w:szCs w:val="18"/>
              </w:rPr>
              <w:t>+П</w:t>
            </w:r>
            <w:r w:rsidRPr="00C22C49">
              <w:rPr>
                <w:rFonts w:cs="Times New Roman"/>
                <w:sz w:val="18"/>
                <w:szCs w:val="18"/>
                <w:vertAlign w:val="subscript"/>
              </w:rPr>
              <w:t>7</w:t>
            </w:r>
            <w:r w:rsidRPr="00C22C49">
              <w:rPr>
                <w:rFonts w:cs="Times New Roman"/>
                <w:sz w:val="18"/>
                <w:szCs w:val="18"/>
              </w:rPr>
              <w:t>)]*100</w:t>
            </w:r>
          </w:p>
        </w:tc>
        <w:tc>
          <w:tcPr>
            <w:tcW w:w="624" w:type="pct"/>
            <w:tcBorders>
              <w:top w:val="single" w:sz="4" w:space="0" w:color="000000"/>
              <w:left w:val="single" w:sz="4" w:space="0" w:color="000000"/>
              <w:bottom w:val="single" w:sz="4" w:space="0" w:color="000000"/>
              <w:right w:val="single" w:sz="4" w:space="0" w:color="000000"/>
            </w:tcBorders>
            <w:hideMark/>
          </w:tcPr>
          <w:p w14:paraId="0896BF11" w14:textId="43BCD90C"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35</w:t>
            </w:r>
          </w:p>
        </w:tc>
        <w:tc>
          <w:tcPr>
            <w:tcW w:w="616" w:type="pct"/>
            <w:tcBorders>
              <w:top w:val="single" w:sz="4" w:space="0" w:color="000000"/>
              <w:left w:val="single" w:sz="4" w:space="0" w:color="000000"/>
              <w:bottom w:val="single" w:sz="4" w:space="0" w:color="000000"/>
              <w:right w:val="single" w:sz="4" w:space="0" w:color="000000"/>
            </w:tcBorders>
          </w:tcPr>
          <w:p w14:paraId="0896BF12" w14:textId="219E2CA5" w:rsidR="00812A00" w:rsidRPr="00C22C49" w:rsidRDefault="00812A00" w:rsidP="00045198">
            <w:pPr>
              <w:rPr>
                <w:rFonts w:cs="Times New Roman"/>
                <w:sz w:val="18"/>
                <w:szCs w:val="18"/>
              </w:rPr>
            </w:pPr>
            <w:r w:rsidRPr="00C22C49">
              <w:rPr>
                <w:rFonts w:cs="Times New Roman"/>
                <w:sz w:val="18"/>
                <w:szCs w:val="18"/>
              </w:rPr>
              <w:t>ПЗб</w:t>
            </w:r>
            <w:r w:rsidRPr="00C22C49">
              <w:rPr>
                <w:rFonts w:cs="Times New Roman"/>
                <w:sz w:val="18"/>
                <w:szCs w:val="18"/>
                <w:vertAlign w:val="subscript"/>
              </w:rPr>
              <w:t>6</w:t>
            </w:r>
          </w:p>
        </w:tc>
      </w:tr>
      <w:tr w:rsidR="00812A00" w:rsidRPr="00C22C49" w14:paraId="0896BF1B" w14:textId="19DD5092" w:rsidTr="003805F8">
        <w:trPr>
          <w:trHeight w:val="680"/>
        </w:trPr>
        <w:tc>
          <w:tcPr>
            <w:tcW w:w="626" w:type="pct"/>
            <w:tcBorders>
              <w:top w:val="single" w:sz="4" w:space="0" w:color="000000"/>
              <w:left w:val="single" w:sz="4" w:space="0" w:color="000000"/>
              <w:bottom w:val="single" w:sz="4" w:space="0" w:color="000000"/>
              <w:right w:val="nil"/>
            </w:tcBorders>
            <w:hideMark/>
          </w:tcPr>
          <w:p w14:paraId="0896BF14" w14:textId="01B5C087" w:rsidR="00812A00" w:rsidRPr="00C22C49" w:rsidRDefault="00812A00" w:rsidP="00045198">
            <w:pPr>
              <w:spacing w:before="60" w:after="60"/>
              <w:rPr>
                <w:rFonts w:cs="Times New Roman"/>
                <w:sz w:val="18"/>
                <w:szCs w:val="18"/>
              </w:rPr>
            </w:pPr>
            <w:r w:rsidRPr="00C22C49">
              <w:rPr>
                <w:rFonts w:cs="Times New Roman"/>
                <w:sz w:val="18"/>
                <w:szCs w:val="18"/>
              </w:rPr>
              <w:t>X+9</w:t>
            </w:r>
          </w:p>
        </w:tc>
        <w:tc>
          <w:tcPr>
            <w:tcW w:w="860" w:type="pct"/>
            <w:tcBorders>
              <w:top w:val="single" w:sz="4" w:space="0" w:color="000000"/>
              <w:left w:val="single" w:sz="4" w:space="0" w:color="000000"/>
              <w:bottom w:val="single" w:sz="4" w:space="0" w:color="000000"/>
              <w:right w:val="nil"/>
            </w:tcBorders>
            <w:hideMark/>
          </w:tcPr>
          <w:p w14:paraId="0896BF15" w14:textId="3CF6E9B6" w:rsidR="00812A00" w:rsidRPr="00C22C49" w:rsidRDefault="00812A00" w:rsidP="00045198">
            <w:pPr>
              <w:spacing w:before="60" w:after="60"/>
              <w:rPr>
                <w:rFonts w:cs="Times New Roman"/>
                <w:sz w:val="18"/>
                <w:szCs w:val="18"/>
              </w:rPr>
            </w:pPr>
            <w:r w:rsidRPr="00C22C49">
              <w:rPr>
                <w:rFonts w:cs="Times New Roman"/>
                <w:sz w:val="18"/>
                <w:szCs w:val="18"/>
              </w:rPr>
              <w:t>Продажі у дев’ятому році (П</w:t>
            </w:r>
            <w:r w:rsidRPr="00C22C49">
              <w:rPr>
                <w:rFonts w:cs="Times New Roman"/>
                <w:sz w:val="18"/>
                <w:szCs w:val="18"/>
                <w:vertAlign w:val="subscript"/>
              </w:rPr>
              <w:t xml:space="preserve"> 9</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F16" w14:textId="6EC33EE4" w:rsidR="00812A00" w:rsidRPr="00C22C49" w:rsidRDefault="00812A00" w:rsidP="00045198">
            <w:pPr>
              <w:spacing w:before="60" w:after="60"/>
              <w:rPr>
                <w:rFonts w:cs="Times New Roman"/>
                <w:sz w:val="18"/>
                <w:szCs w:val="18"/>
              </w:rPr>
            </w:pPr>
            <w:r w:rsidRPr="00C22C49">
              <w:rPr>
                <w:rFonts w:cs="Times New Roman"/>
                <w:sz w:val="18"/>
                <w:szCs w:val="18"/>
              </w:rPr>
              <w:t>Збирання у дев’ятому році (Зb</w:t>
            </w:r>
            <w:r w:rsidRPr="00C22C49">
              <w:rPr>
                <w:rFonts w:cs="Times New Roman"/>
                <w:sz w:val="18"/>
                <w:szCs w:val="18"/>
                <w:vertAlign w:val="subscript"/>
              </w:rPr>
              <w:t xml:space="preserve"> 9</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F17" w14:textId="708FEFBD"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9</w:t>
            </w:r>
            <w:r w:rsidRPr="00C22C49">
              <w:rPr>
                <w:rFonts w:cs="Times New Roman"/>
                <w:sz w:val="18"/>
                <w:szCs w:val="18"/>
              </w:rPr>
              <w:t>=[3* Зб</w:t>
            </w:r>
            <w:r w:rsidRPr="00C22C49">
              <w:rPr>
                <w:rFonts w:cs="Times New Roman"/>
                <w:sz w:val="18"/>
                <w:szCs w:val="18"/>
                <w:vertAlign w:val="subscript"/>
              </w:rPr>
              <w:t>9</w:t>
            </w:r>
            <w:r w:rsidRPr="00C22C49">
              <w:rPr>
                <w:rFonts w:cs="Times New Roman"/>
                <w:sz w:val="18"/>
                <w:szCs w:val="18"/>
              </w:rPr>
              <w:t>/(П</w:t>
            </w:r>
            <w:r w:rsidRPr="00C22C49">
              <w:rPr>
                <w:rFonts w:cs="Times New Roman"/>
                <w:sz w:val="18"/>
                <w:szCs w:val="18"/>
                <w:vertAlign w:val="subscript"/>
              </w:rPr>
              <w:t>6</w:t>
            </w:r>
            <w:r w:rsidRPr="00C22C49">
              <w:rPr>
                <w:rFonts w:cs="Times New Roman"/>
                <w:sz w:val="18"/>
                <w:szCs w:val="18"/>
              </w:rPr>
              <w:t>+П</w:t>
            </w:r>
            <w:r w:rsidRPr="00C22C49">
              <w:rPr>
                <w:rFonts w:cs="Times New Roman"/>
                <w:sz w:val="18"/>
                <w:szCs w:val="18"/>
                <w:vertAlign w:val="subscript"/>
              </w:rPr>
              <w:t>7</w:t>
            </w:r>
            <w:r w:rsidRPr="00C22C49">
              <w:rPr>
                <w:rFonts w:cs="Times New Roman"/>
                <w:sz w:val="18"/>
                <w:szCs w:val="18"/>
              </w:rPr>
              <w:t>+П</w:t>
            </w:r>
            <w:r w:rsidRPr="00C22C49">
              <w:rPr>
                <w:rFonts w:cs="Times New Roman"/>
                <w:sz w:val="18"/>
                <w:szCs w:val="18"/>
                <w:vertAlign w:val="subscript"/>
              </w:rPr>
              <w:t>8</w:t>
            </w:r>
            <w:r w:rsidRPr="00C22C49">
              <w:rPr>
                <w:rFonts w:cs="Times New Roman"/>
                <w:sz w:val="18"/>
                <w:szCs w:val="18"/>
              </w:rPr>
              <w:t>)]*100</w:t>
            </w:r>
          </w:p>
          <w:p w14:paraId="0896BF18" w14:textId="5CED0830" w:rsidR="00812A00" w:rsidRPr="00C22C49" w:rsidRDefault="00812A00" w:rsidP="00045198">
            <w:pPr>
              <w:widowControl w:val="0"/>
              <w:autoSpaceDE w:val="0"/>
              <w:autoSpaceDN w:val="0"/>
              <w:adjustRightInd w:val="0"/>
              <w:spacing w:line="288" w:lineRule="auto"/>
              <w:ind w:right="140"/>
              <w:rPr>
                <w:rFonts w:cs="Times New Roman"/>
                <w:sz w:val="18"/>
                <w:szCs w:val="18"/>
              </w:rPr>
            </w:pPr>
          </w:p>
        </w:tc>
        <w:tc>
          <w:tcPr>
            <w:tcW w:w="624" w:type="pct"/>
            <w:tcBorders>
              <w:top w:val="single" w:sz="4" w:space="0" w:color="000000"/>
              <w:left w:val="single" w:sz="4" w:space="0" w:color="000000"/>
              <w:bottom w:val="single" w:sz="4" w:space="0" w:color="000000"/>
              <w:right w:val="single" w:sz="4" w:space="0" w:color="000000"/>
            </w:tcBorders>
            <w:hideMark/>
          </w:tcPr>
          <w:p w14:paraId="0896BF19" w14:textId="5CF5838F"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45</w:t>
            </w:r>
          </w:p>
        </w:tc>
        <w:tc>
          <w:tcPr>
            <w:tcW w:w="616" w:type="pct"/>
            <w:tcBorders>
              <w:top w:val="single" w:sz="4" w:space="0" w:color="000000"/>
              <w:left w:val="single" w:sz="4" w:space="0" w:color="000000"/>
              <w:bottom w:val="single" w:sz="4" w:space="0" w:color="000000"/>
              <w:right w:val="single" w:sz="4" w:space="0" w:color="000000"/>
            </w:tcBorders>
          </w:tcPr>
          <w:p w14:paraId="0896BF1A" w14:textId="6E5DA705" w:rsidR="00812A00" w:rsidRPr="00C22C49" w:rsidRDefault="00812A00" w:rsidP="00045198">
            <w:pPr>
              <w:rPr>
                <w:rFonts w:cs="Times New Roman"/>
                <w:sz w:val="18"/>
                <w:szCs w:val="18"/>
              </w:rPr>
            </w:pPr>
            <w:r w:rsidRPr="00C22C49">
              <w:rPr>
                <w:rFonts w:cs="Times New Roman"/>
                <w:sz w:val="18"/>
                <w:szCs w:val="18"/>
              </w:rPr>
              <w:t>ПЗб</w:t>
            </w:r>
            <w:r w:rsidRPr="00C22C49">
              <w:rPr>
                <w:rFonts w:cs="Times New Roman"/>
                <w:sz w:val="18"/>
                <w:szCs w:val="18"/>
                <w:vertAlign w:val="subscript"/>
              </w:rPr>
              <w:t>7</w:t>
            </w:r>
          </w:p>
        </w:tc>
      </w:tr>
      <w:tr w:rsidR="00812A00" w:rsidRPr="00C22C49" w14:paraId="0896BF23" w14:textId="5C35E939" w:rsidTr="003805F8">
        <w:trPr>
          <w:trHeight w:val="680"/>
        </w:trPr>
        <w:tc>
          <w:tcPr>
            <w:tcW w:w="626" w:type="pct"/>
            <w:tcBorders>
              <w:top w:val="single" w:sz="4" w:space="0" w:color="000000"/>
              <w:left w:val="single" w:sz="4" w:space="0" w:color="000000"/>
              <w:bottom w:val="single" w:sz="4" w:space="0" w:color="000000"/>
              <w:right w:val="nil"/>
            </w:tcBorders>
            <w:hideMark/>
          </w:tcPr>
          <w:p w14:paraId="0896BF1C" w14:textId="7F590122" w:rsidR="00812A00" w:rsidRPr="00C22C49" w:rsidRDefault="00812A00" w:rsidP="00045198">
            <w:pPr>
              <w:spacing w:before="60" w:after="60"/>
              <w:rPr>
                <w:rFonts w:cs="Times New Roman"/>
                <w:sz w:val="18"/>
                <w:szCs w:val="18"/>
              </w:rPr>
            </w:pPr>
            <w:r w:rsidRPr="00C22C49">
              <w:rPr>
                <w:rFonts w:cs="Times New Roman"/>
                <w:sz w:val="18"/>
                <w:szCs w:val="18"/>
              </w:rPr>
              <w:t>X+10</w:t>
            </w:r>
          </w:p>
        </w:tc>
        <w:tc>
          <w:tcPr>
            <w:tcW w:w="860" w:type="pct"/>
            <w:tcBorders>
              <w:top w:val="single" w:sz="4" w:space="0" w:color="000000"/>
              <w:left w:val="single" w:sz="4" w:space="0" w:color="000000"/>
              <w:bottom w:val="single" w:sz="4" w:space="0" w:color="000000"/>
              <w:right w:val="nil"/>
            </w:tcBorders>
            <w:hideMark/>
          </w:tcPr>
          <w:p w14:paraId="0896BF1D" w14:textId="767584E9" w:rsidR="00812A00" w:rsidRPr="00C22C49" w:rsidRDefault="00812A00" w:rsidP="00045198">
            <w:pPr>
              <w:spacing w:before="60" w:after="60"/>
              <w:rPr>
                <w:rFonts w:cs="Times New Roman"/>
                <w:sz w:val="18"/>
                <w:szCs w:val="18"/>
              </w:rPr>
            </w:pPr>
            <w:r w:rsidRPr="00C22C49">
              <w:rPr>
                <w:rFonts w:cs="Times New Roman"/>
                <w:sz w:val="18"/>
                <w:szCs w:val="18"/>
              </w:rPr>
              <w:t>Продажі у десятому році (П</w:t>
            </w:r>
            <w:r w:rsidRPr="00C22C49">
              <w:rPr>
                <w:rFonts w:cs="Times New Roman"/>
                <w:sz w:val="18"/>
                <w:szCs w:val="18"/>
                <w:vertAlign w:val="subscript"/>
              </w:rPr>
              <w:t xml:space="preserve"> 10</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F1E" w14:textId="548D609B" w:rsidR="00812A00" w:rsidRPr="00C22C49" w:rsidRDefault="00812A00" w:rsidP="00045198">
            <w:pPr>
              <w:spacing w:before="60" w:after="60"/>
              <w:rPr>
                <w:rFonts w:cs="Times New Roman"/>
                <w:sz w:val="18"/>
                <w:szCs w:val="18"/>
              </w:rPr>
            </w:pPr>
            <w:r w:rsidRPr="00C22C49">
              <w:rPr>
                <w:rFonts w:cs="Times New Roman"/>
                <w:sz w:val="18"/>
                <w:szCs w:val="18"/>
              </w:rPr>
              <w:t>Збирання у десятому році (Зb</w:t>
            </w:r>
            <w:r w:rsidRPr="00C22C49">
              <w:rPr>
                <w:rFonts w:cs="Times New Roman"/>
                <w:sz w:val="18"/>
                <w:szCs w:val="18"/>
                <w:vertAlign w:val="subscript"/>
              </w:rPr>
              <w:t xml:space="preserve"> 10</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F1F" w14:textId="1EA56C73"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10</w:t>
            </w:r>
            <w:r w:rsidRPr="00C22C49">
              <w:rPr>
                <w:rFonts w:cs="Times New Roman"/>
                <w:sz w:val="18"/>
                <w:szCs w:val="18"/>
              </w:rPr>
              <w:t>=[3*Зб</w:t>
            </w:r>
            <w:r w:rsidRPr="00C22C49">
              <w:rPr>
                <w:rFonts w:cs="Times New Roman"/>
                <w:sz w:val="18"/>
                <w:szCs w:val="18"/>
                <w:vertAlign w:val="subscript"/>
              </w:rPr>
              <w:t>10</w:t>
            </w:r>
            <w:r w:rsidRPr="00C22C49">
              <w:rPr>
                <w:rFonts w:cs="Times New Roman"/>
                <w:sz w:val="18"/>
                <w:szCs w:val="18"/>
              </w:rPr>
              <w:t>/П</w:t>
            </w:r>
            <w:r w:rsidRPr="00C22C49">
              <w:rPr>
                <w:rFonts w:cs="Times New Roman"/>
                <w:sz w:val="18"/>
                <w:szCs w:val="18"/>
                <w:vertAlign w:val="subscript"/>
              </w:rPr>
              <w:t>7</w:t>
            </w:r>
            <w:r w:rsidRPr="00C22C49">
              <w:rPr>
                <w:rFonts w:cs="Times New Roman"/>
                <w:sz w:val="18"/>
                <w:szCs w:val="18"/>
              </w:rPr>
              <w:t>+П</w:t>
            </w:r>
            <w:r w:rsidRPr="00C22C49">
              <w:rPr>
                <w:rFonts w:cs="Times New Roman"/>
                <w:sz w:val="18"/>
                <w:szCs w:val="18"/>
                <w:vertAlign w:val="subscript"/>
              </w:rPr>
              <w:t>8</w:t>
            </w:r>
            <w:r w:rsidRPr="00C22C49">
              <w:rPr>
                <w:rFonts w:cs="Times New Roman"/>
                <w:sz w:val="18"/>
                <w:szCs w:val="18"/>
              </w:rPr>
              <w:t>+П</w:t>
            </w:r>
            <w:r w:rsidRPr="00C22C49">
              <w:rPr>
                <w:rFonts w:cs="Times New Roman"/>
                <w:sz w:val="18"/>
                <w:szCs w:val="18"/>
                <w:vertAlign w:val="subscript"/>
              </w:rPr>
              <w:t>9</w:t>
            </w:r>
            <w:r w:rsidRPr="00C22C49">
              <w:rPr>
                <w:rFonts w:cs="Times New Roman"/>
                <w:sz w:val="18"/>
                <w:szCs w:val="18"/>
              </w:rPr>
              <w:t>)]*100</w:t>
            </w:r>
          </w:p>
          <w:p w14:paraId="0896BF20" w14:textId="4B3E36B7" w:rsidR="00812A00" w:rsidRPr="00C22C49" w:rsidRDefault="00812A00" w:rsidP="00045198">
            <w:pPr>
              <w:spacing w:line="288" w:lineRule="auto"/>
              <w:rPr>
                <w:rFonts w:cs="Times New Roman"/>
                <w:sz w:val="18"/>
                <w:szCs w:val="18"/>
              </w:rPr>
            </w:pPr>
          </w:p>
        </w:tc>
        <w:tc>
          <w:tcPr>
            <w:tcW w:w="624" w:type="pct"/>
            <w:tcBorders>
              <w:top w:val="single" w:sz="4" w:space="0" w:color="000000"/>
              <w:left w:val="single" w:sz="4" w:space="0" w:color="000000"/>
              <w:bottom w:val="single" w:sz="4" w:space="0" w:color="000000"/>
              <w:right w:val="single" w:sz="4" w:space="0" w:color="000000"/>
            </w:tcBorders>
            <w:hideMark/>
          </w:tcPr>
          <w:p w14:paraId="0896BF21" w14:textId="4227C92E"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55</w:t>
            </w:r>
          </w:p>
        </w:tc>
        <w:tc>
          <w:tcPr>
            <w:tcW w:w="616" w:type="pct"/>
            <w:tcBorders>
              <w:top w:val="single" w:sz="4" w:space="0" w:color="000000"/>
              <w:left w:val="single" w:sz="4" w:space="0" w:color="000000"/>
              <w:bottom w:val="single" w:sz="4" w:space="0" w:color="000000"/>
              <w:right w:val="single" w:sz="4" w:space="0" w:color="000000"/>
            </w:tcBorders>
          </w:tcPr>
          <w:p w14:paraId="0896BF22" w14:textId="59F9B8DD" w:rsidR="00812A00" w:rsidRPr="00C22C49" w:rsidRDefault="00812A00" w:rsidP="00045198">
            <w:pPr>
              <w:rPr>
                <w:rFonts w:cs="Times New Roman"/>
                <w:sz w:val="18"/>
                <w:szCs w:val="18"/>
              </w:rPr>
            </w:pPr>
            <w:r w:rsidRPr="00C22C49">
              <w:rPr>
                <w:rFonts w:cs="Times New Roman"/>
                <w:sz w:val="18"/>
                <w:szCs w:val="18"/>
              </w:rPr>
              <w:t>ПЗб</w:t>
            </w:r>
            <w:r w:rsidRPr="00C22C49">
              <w:rPr>
                <w:rFonts w:cs="Times New Roman"/>
                <w:sz w:val="18"/>
                <w:szCs w:val="18"/>
                <w:vertAlign w:val="subscript"/>
              </w:rPr>
              <w:t>8</w:t>
            </w:r>
          </w:p>
        </w:tc>
      </w:tr>
      <w:tr w:rsidR="00812A00" w:rsidRPr="00C22C49" w14:paraId="0896BF2A" w14:textId="0007D993" w:rsidTr="003805F8">
        <w:trPr>
          <w:trHeight w:val="680"/>
        </w:trPr>
        <w:tc>
          <w:tcPr>
            <w:tcW w:w="626" w:type="pct"/>
            <w:tcBorders>
              <w:top w:val="single" w:sz="4" w:space="0" w:color="000000"/>
              <w:left w:val="single" w:sz="4" w:space="0" w:color="000000"/>
              <w:bottom w:val="single" w:sz="4" w:space="0" w:color="000000"/>
              <w:right w:val="nil"/>
            </w:tcBorders>
            <w:hideMark/>
          </w:tcPr>
          <w:p w14:paraId="0896BF24" w14:textId="2CC1275F" w:rsidR="00812A00" w:rsidRPr="00C22C49" w:rsidRDefault="00812A00" w:rsidP="00045198">
            <w:pPr>
              <w:spacing w:before="60" w:after="60"/>
              <w:rPr>
                <w:rFonts w:cs="Times New Roman"/>
                <w:sz w:val="18"/>
                <w:szCs w:val="18"/>
              </w:rPr>
            </w:pPr>
            <w:r w:rsidRPr="00C22C49">
              <w:rPr>
                <w:rFonts w:cs="Times New Roman"/>
                <w:sz w:val="18"/>
                <w:szCs w:val="18"/>
              </w:rPr>
              <w:t>X+11</w:t>
            </w:r>
          </w:p>
        </w:tc>
        <w:tc>
          <w:tcPr>
            <w:tcW w:w="860" w:type="pct"/>
            <w:tcBorders>
              <w:top w:val="single" w:sz="4" w:space="0" w:color="000000"/>
              <w:left w:val="single" w:sz="4" w:space="0" w:color="000000"/>
              <w:bottom w:val="single" w:sz="4" w:space="0" w:color="000000"/>
              <w:right w:val="nil"/>
            </w:tcBorders>
            <w:hideMark/>
          </w:tcPr>
          <w:p w14:paraId="0896BF25" w14:textId="16F5CF1E" w:rsidR="00812A00" w:rsidRPr="00C22C49" w:rsidRDefault="00812A00" w:rsidP="00045198">
            <w:pPr>
              <w:spacing w:before="60" w:after="60"/>
              <w:rPr>
                <w:rFonts w:cs="Times New Roman"/>
                <w:sz w:val="18"/>
                <w:szCs w:val="18"/>
              </w:rPr>
            </w:pPr>
            <w:r w:rsidRPr="00C22C49">
              <w:rPr>
                <w:rFonts w:cs="Times New Roman"/>
                <w:sz w:val="18"/>
                <w:szCs w:val="18"/>
              </w:rPr>
              <w:t>Продажі у одинадцятому році (П</w:t>
            </w:r>
            <w:r w:rsidRPr="00C22C49">
              <w:rPr>
                <w:rFonts w:cs="Times New Roman"/>
                <w:sz w:val="18"/>
                <w:szCs w:val="18"/>
                <w:vertAlign w:val="subscript"/>
              </w:rPr>
              <w:t xml:space="preserve"> 11</w:t>
            </w:r>
            <w:r w:rsidRPr="00C22C49">
              <w:rPr>
                <w:rFonts w:cs="Times New Roman"/>
                <w:sz w:val="18"/>
                <w:szCs w:val="18"/>
              </w:rPr>
              <w:t>)</w:t>
            </w:r>
          </w:p>
        </w:tc>
        <w:tc>
          <w:tcPr>
            <w:tcW w:w="937" w:type="pct"/>
            <w:tcBorders>
              <w:top w:val="single" w:sz="4" w:space="0" w:color="000000"/>
              <w:left w:val="single" w:sz="4" w:space="0" w:color="000000"/>
              <w:bottom w:val="single" w:sz="4" w:space="0" w:color="000000"/>
              <w:right w:val="nil"/>
            </w:tcBorders>
            <w:hideMark/>
          </w:tcPr>
          <w:p w14:paraId="0896BF26" w14:textId="027B40D7" w:rsidR="00812A00" w:rsidRPr="00C22C49" w:rsidRDefault="00812A00" w:rsidP="00045198">
            <w:pPr>
              <w:spacing w:before="60" w:after="60"/>
              <w:rPr>
                <w:rFonts w:cs="Times New Roman"/>
                <w:sz w:val="18"/>
                <w:szCs w:val="18"/>
              </w:rPr>
            </w:pPr>
            <w:r w:rsidRPr="00C22C49">
              <w:rPr>
                <w:rFonts w:cs="Times New Roman"/>
                <w:sz w:val="18"/>
                <w:szCs w:val="18"/>
              </w:rPr>
              <w:t>Збирання у  11 році (Зb</w:t>
            </w:r>
            <w:r w:rsidRPr="00C22C49">
              <w:rPr>
                <w:rFonts w:cs="Times New Roman"/>
                <w:sz w:val="18"/>
                <w:szCs w:val="18"/>
                <w:vertAlign w:val="subscript"/>
              </w:rPr>
              <w:t>11</w:t>
            </w:r>
            <w:r w:rsidRPr="00C22C49">
              <w:rPr>
                <w:rFonts w:cs="Times New Roman"/>
                <w:sz w:val="18"/>
                <w:szCs w:val="18"/>
              </w:rPr>
              <w:t>)</w:t>
            </w:r>
          </w:p>
        </w:tc>
        <w:tc>
          <w:tcPr>
            <w:tcW w:w="1337" w:type="pct"/>
            <w:tcBorders>
              <w:top w:val="single" w:sz="4" w:space="0" w:color="000000"/>
              <w:left w:val="single" w:sz="4" w:space="0" w:color="000000"/>
              <w:bottom w:val="single" w:sz="4" w:space="0" w:color="000000"/>
              <w:right w:val="nil"/>
            </w:tcBorders>
            <w:hideMark/>
          </w:tcPr>
          <w:p w14:paraId="0896BF27" w14:textId="6DCB8F99" w:rsidR="00812A00" w:rsidRPr="00C22C49" w:rsidRDefault="00812A00" w:rsidP="00045198">
            <w:pPr>
              <w:tabs>
                <w:tab w:val="left" w:pos="2856"/>
              </w:tabs>
              <w:snapToGrid w:val="0"/>
              <w:spacing w:line="288" w:lineRule="auto"/>
              <w:rPr>
                <w:rFonts w:cs="Times New Roman"/>
                <w:sz w:val="18"/>
                <w:szCs w:val="18"/>
              </w:rPr>
            </w:pPr>
            <w:r w:rsidRPr="00C22C49">
              <w:rPr>
                <w:rFonts w:cs="Times New Roman"/>
                <w:sz w:val="18"/>
                <w:szCs w:val="18"/>
              </w:rPr>
              <w:t>ПЗб</w:t>
            </w:r>
            <w:r w:rsidRPr="00C22C49">
              <w:rPr>
                <w:rFonts w:cs="Times New Roman"/>
                <w:sz w:val="18"/>
                <w:szCs w:val="18"/>
                <w:vertAlign w:val="subscript"/>
              </w:rPr>
              <w:t>11</w:t>
            </w:r>
            <w:r w:rsidRPr="00C22C49">
              <w:rPr>
                <w:rFonts w:cs="Times New Roman"/>
                <w:sz w:val="18"/>
                <w:szCs w:val="18"/>
              </w:rPr>
              <w:t>=[3*Зб</w:t>
            </w:r>
            <w:r w:rsidRPr="00C22C49">
              <w:rPr>
                <w:rFonts w:cs="Times New Roman"/>
                <w:sz w:val="18"/>
                <w:szCs w:val="18"/>
                <w:vertAlign w:val="subscript"/>
              </w:rPr>
              <w:t>11</w:t>
            </w:r>
            <w:r w:rsidRPr="00C22C49">
              <w:rPr>
                <w:rFonts w:cs="Times New Roman"/>
                <w:sz w:val="18"/>
                <w:szCs w:val="18"/>
              </w:rPr>
              <w:t>/(П</w:t>
            </w:r>
            <w:r w:rsidRPr="00C22C49">
              <w:rPr>
                <w:rFonts w:cs="Times New Roman"/>
                <w:sz w:val="18"/>
                <w:szCs w:val="18"/>
                <w:vertAlign w:val="subscript"/>
              </w:rPr>
              <w:t>8</w:t>
            </w:r>
            <w:r w:rsidRPr="00C22C49">
              <w:rPr>
                <w:rFonts w:cs="Times New Roman"/>
                <w:sz w:val="18"/>
                <w:szCs w:val="18"/>
              </w:rPr>
              <w:t>+П</w:t>
            </w:r>
            <w:r w:rsidRPr="00C22C49">
              <w:rPr>
                <w:rFonts w:cs="Times New Roman"/>
                <w:sz w:val="18"/>
                <w:szCs w:val="18"/>
                <w:vertAlign w:val="subscript"/>
              </w:rPr>
              <w:t>9</w:t>
            </w:r>
            <w:r w:rsidRPr="00C22C49">
              <w:rPr>
                <w:rFonts w:cs="Times New Roman"/>
                <w:sz w:val="18"/>
                <w:szCs w:val="18"/>
              </w:rPr>
              <w:t>+П</w:t>
            </w:r>
            <w:r w:rsidRPr="00C22C49">
              <w:rPr>
                <w:rFonts w:cs="Times New Roman"/>
                <w:sz w:val="18"/>
                <w:szCs w:val="18"/>
                <w:vertAlign w:val="subscript"/>
              </w:rPr>
              <w:t>10</w:t>
            </w:r>
            <w:r w:rsidRPr="00C22C49">
              <w:rPr>
                <w:rFonts w:cs="Times New Roman"/>
                <w:sz w:val="18"/>
                <w:szCs w:val="18"/>
              </w:rPr>
              <w:t>)]*100</w:t>
            </w:r>
          </w:p>
        </w:tc>
        <w:tc>
          <w:tcPr>
            <w:tcW w:w="624" w:type="pct"/>
            <w:tcBorders>
              <w:top w:val="single" w:sz="4" w:space="0" w:color="000000"/>
              <w:left w:val="single" w:sz="4" w:space="0" w:color="000000"/>
              <w:bottom w:val="single" w:sz="4" w:space="0" w:color="000000"/>
              <w:right w:val="single" w:sz="4" w:space="0" w:color="000000"/>
            </w:tcBorders>
            <w:hideMark/>
          </w:tcPr>
          <w:p w14:paraId="0896BF28" w14:textId="78766BAA"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65</w:t>
            </w:r>
          </w:p>
        </w:tc>
        <w:tc>
          <w:tcPr>
            <w:tcW w:w="616" w:type="pct"/>
            <w:tcBorders>
              <w:top w:val="single" w:sz="4" w:space="0" w:color="000000"/>
              <w:left w:val="single" w:sz="4" w:space="0" w:color="000000"/>
              <w:bottom w:val="single" w:sz="4" w:space="0" w:color="000000"/>
              <w:right w:val="single" w:sz="4" w:space="0" w:color="000000"/>
            </w:tcBorders>
          </w:tcPr>
          <w:p w14:paraId="0896BF29" w14:textId="280FC511" w:rsidR="00812A00" w:rsidRPr="00C22C49" w:rsidRDefault="00812A00" w:rsidP="00045198">
            <w:pPr>
              <w:rPr>
                <w:rFonts w:cs="Times New Roman"/>
                <w:sz w:val="18"/>
                <w:szCs w:val="18"/>
              </w:rPr>
            </w:pPr>
            <w:r w:rsidRPr="00C22C49">
              <w:rPr>
                <w:rFonts w:cs="Times New Roman"/>
                <w:sz w:val="18"/>
                <w:szCs w:val="18"/>
              </w:rPr>
              <w:t>ПЗб</w:t>
            </w:r>
            <w:r w:rsidRPr="00C22C49">
              <w:rPr>
                <w:rFonts w:cs="Times New Roman"/>
                <w:sz w:val="18"/>
                <w:szCs w:val="18"/>
                <w:vertAlign w:val="subscript"/>
              </w:rPr>
              <w:t>9</w:t>
            </w:r>
          </w:p>
        </w:tc>
      </w:tr>
      <w:tr w:rsidR="00812A00" w:rsidRPr="00C22C49" w14:paraId="0896BF31" w14:textId="6721354E" w:rsidTr="003805F8">
        <w:trPr>
          <w:trHeight w:val="680"/>
        </w:trPr>
        <w:tc>
          <w:tcPr>
            <w:tcW w:w="626" w:type="pct"/>
            <w:tcBorders>
              <w:top w:val="single" w:sz="4" w:space="0" w:color="000000"/>
              <w:left w:val="single" w:sz="4" w:space="0" w:color="000000"/>
              <w:bottom w:val="single" w:sz="4" w:space="0" w:color="000000"/>
              <w:right w:val="nil"/>
            </w:tcBorders>
            <w:hideMark/>
          </w:tcPr>
          <w:p w14:paraId="0896BF2B" w14:textId="56C95C48" w:rsidR="00812A00" w:rsidRPr="00C22C49" w:rsidRDefault="00812A00" w:rsidP="00045198">
            <w:pPr>
              <w:spacing w:before="60" w:after="60"/>
              <w:rPr>
                <w:rFonts w:cs="Times New Roman"/>
                <w:sz w:val="18"/>
                <w:szCs w:val="18"/>
              </w:rPr>
            </w:pPr>
            <w:r w:rsidRPr="00C22C49">
              <w:rPr>
                <w:rFonts w:cs="Times New Roman"/>
                <w:sz w:val="18"/>
                <w:szCs w:val="18"/>
              </w:rPr>
              <w:t>X+n</w:t>
            </w:r>
          </w:p>
        </w:tc>
        <w:tc>
          <w:tcPr>
            <w:tcW w:w="860" w:type="pct"/>
            <w:tcBorders>
              <w:top w:val="single" w:sz="4" w:space="0" w:color="000000"/>
              <w:left w:val="single" w:sz="4" w:space="0" w:color="000000"/>
              <w:bottom w:val="single" w:sz="4" w:space="0" w:color="000000"/>
              <w:right w:val="nil"/>
            </w:tcBorders>
          </w:tcPr>
          <w:p w14:paraId="0896BF2C" w14:textId="6269AC1D" w:rsidR="00812A00" w:rsidRPr="00C22C49" w:rsidRDefault="00812A00" w:rsidP="003805F8">
            <w:pPr>
              <w:spacing w:before="60" w:after="60"/>
              <w:rPr>
                <w:rFonts w:cs="Times New Roman"/>
                <w:sz w:val="18"/>
                <w:szCs w:val="18"/>
              </w:rPr>
            </w:pPr>
            <w:r w:rsidRPr="00C22C49">
              <w:rPr>
                <w:rFonts w:cs="Times New Roman"/>
                <w:sz w:val="18"/>
                <w:szCs w:val="18"/>
              </w:rPr>
              <w:t>Продажі у поточному році</w:t>
            </w:r>
            <w:r w:rsidR="003805F8" w:rsidRPr="00C22C49">
              <w:rPr>
                <w:rFonts w:cs="Times New Roman"/>
                <w:sz w:val="18"/>
                <w:szCs w:val="18"/>
              </w:rPr>
              <w:t xml:space="preserve">  </w:t>
            </w:r>
            <w:r w:rsidRPr="00C22C49">
              <w:rPr>
                <w:rFonts w:cs="Times New Roman"/>
                <w:sz w:val="18"/>
                <w:szCs w:val="18"/>
              </w:rPr>
              <w:t>n</w:t>
            </w:r>
          </w:p>
        </w:tc>
        <w:tc>
          <w:tcPr>
            <w:tcW w:w="937" w:type="pct"/>
            <w:tcBorders>
              <w:top w:val="single" w:sz="4" w:space="0" w:color="000000"/>
              <w:left w:val="single" w:sz="4" w:space="0" w:color="000000"/>
              <w:bottom w:val="single" w:sz="4" w:space="0" w:color="000000"/>
              <w:right w:val="nil"/>
            </w:tcBorders>
          </w:tcPr>
          <w:p w14:paraId="0896BF2D" w14:textId="1DBFA7C3" w:rsidR="00812A00" w:rsidRPr="00C22C49" w:rsidRDefault="00812A00" w:rsidP="00045198">
            <w:pPr>
              <w:spacing w:before="60" w:after="60"/>
              <w:rPr>
                <w:rFonts w:cs="Times New Roman"/>
                <w:sz w:val="18"/>
                <w:szCs w:val="18"/>
              </w:rPr>
            </w:pPr>
            <w:r w:rsidRPr="00C22C49">
              <w:rPr>
                <w:rFonts w:cs="Times New Roman"/>
                <w:sz w:val="18"/>
                <w:szCs w:val="18"/>
              </w:rPr>
              <w:t>Збирання у поточному році  n</w:t>
            </w:r>
          </w:p>
        </w:tc>
        <w:tc>
          <w:tcPr>
            <w:tcW w:w="1337" w:type="pct"/>
            <w:tcBorders>
              <w:top w:val="single" w:sz="4" w:space="0" w:color="000000"/>
              <w:left w:val="single" w:sz="4" w:space="0" w:color="000000"/>
              <w:bottom w:val="single" w:sz="4" w:space="0" w:color="000000"/>
              <w:right w:val="nil"/>
            </w:tcBorders>
          </w:tcPr>
          <w:p w14:paraId="0896BF2E" w14:textId="35C99955" w:rsidR="00812A00" w:rsidRPr="00C22C49" w:rsidRDefault="00812A00" w:rsidP="00045198">
            <w:pPr>
              <w:spacing w:before="60" w:after="60"/>
              <w:rPr>
                <w:rFonts w:cs="Times New Roman"/>
                <w:sz w:val="18"/>
                <w:szCs w:val="18"/>
              </w:rPr>
            </w:pPr>
            <w:r w:rsidRPr="00C22C49">
              <w:rPr>
                <w:rFonts w:cs="Times New Roman"/>
                <w:sz w:val="18"/>
                <w:szCs w:val="18"/>
              </w:rPr>
              <w:t>ПЗбn = [3*Збn/(Пn-3+Пn-2+Пn-1)]*100</w:t>
            </w:r>
          </w:p>
        </w:tc>
        <w:tc>
          <w:tcPr>
            <w:tcW w:w="624" w:type="pct"/>
            <w:tcBorders>
              <w:top w:val="single" w:sz="4" w:space="0" w:color="000000"/>
              <w:left w:val="single" w:sz="4" w:space="0" w:color="000000"/>
              <w:bottom w:val="single" w:sz="4" w:space="0" w:color="000000"/>
              <w:right w:val="single" w:sz="4" w:space="0" w:color="000000"/>
            </w:tcBorders>
          </w:tcPr>
          <w:p w14:paraId="0896BF2F" w14:textId="78DBF92B" w:rsidR="00812A00" w:rsidRPr="00C22C49" w:rsidRDefault="00812A00" w:rsidP="00045198">
            <w:pPr>
              <w:tabs>
                <w:tab w:val="left" w:pos="2856"/>
              </w:tabs>
              <w:spacing w:before="60" w:after="60"/>
              <w:jc w:val="center"/>
              <w:rPr>
                <w:rFonts w:cs="Times New Roman"/>
                <w:sz w:val="18"/>
                <w:szCs w:val="18"/>
              </w:rPr>
            </w:pPr>
            <w:r w:rsidRPr="00C22C49">
              <w:rPr>
                <w:rFonts w:cs="Times New Roman"/>
                <w:sz w:val="18"/>
                <w:szCs w:val="18"/>
              </w:rPr>
              <w:t>65</w:t>
            </w:r>
          </w:p>
        </w:tc>
        <w:tc>
          <w:tcPr>
            <w:tcW w:w="616" w:type="pct"/>
            <w:tcBorders>
              <w:top w:val="single" w:sz="4" w:space="0" w:color="000000"/>
              <w:left w:val="single" w:sz="4" w:space="0" w:color="000000"/>
              <w:bottom w:val="single" w:sz="4" w:space="0" w:color="000000"/>
              <w:right w:val="single" w:sz="4" w:space="0" w:color="000000"/>
            </w:tcBorders>
          </w:tcPr>
          <w:p w14:paraId="0896BF30" w14:textId="6312E67D" w:rsidR="00812A00" w:rsidRPr="00C22C49" w:rsidRDefault="00812A00" w:rsidP="00045198">
            <w:pPr>
              <w:tabs>
                <w:tab w:val="left" w:pos="2856"/>
              </w:tabs>
              <w:spacing w:before="60" w:after="60"/>
              <w:rPr>
                <w:rFonts w:cs="Times New Roman"/>
                <w:sz w:val="18"/>
                <w:szCs w:val="18"/>
                <w:highlight w:val="yellow"/>
              </w:rPr>
            </w:pPr>
            <w:r w:rsidRPr="00C22C49">
              <w:rPr>
                <w:rFonts w:cs="Times New Roman"/>
                <w:sz w:val="18"/>
                <w:szCs w:val="18"/>
              </w:rPr>
              <w:t>ПЗбn-2</w:t>
            </w:r>
          </w:p>
        </w:tc>
      </w:tr>
    </w:tbl>
    <w:p w14:paraId="0896BF32" w14:textId="0D7A7521" w:rsidR="005D1DA4" w:rsidRPr="00C22C49" w:rsidRDefault="0024293E" w:rsidP="008B1E83">
      <w:r w:rsidRPr="00C22C49">
        <w:t>n= 12, 13, 14, 15….тощо.</w:t>
      </w:r>
    </w:p>
    <w:p w14:paraId="0896BF33" w14:textId="03E59E7E" w:rsidR="00A62312" w:rsidRPr="00C22C49" w:rsidRDefault="00A62312" w:rsidP="00F47DFD">
      <w:pPr>
        <w:pStyle w:val="REDBoldonly"/>
      </w:pPr>
      <w:r w:rsidRPr="00C22C49">
        <w:t>Мінімальні цільові показники з підготовки до повторного використання, рециклінгу та відновлення ВЕЕО</w:t>
      </w:r>
    </w:p>
    <w:p w14:paraId="0896BF34" w14:textId="1A29F41E" w:rsidR="00A62312" w:rsidRPr="00C22C49" w:rsidRDefault="00A62312" w:rsidP="00A62312">
      <w:r w:rsidRPr="00C22C49">
        <w:t>Виробники ЕЕО а також суб’єкти господарювання у сфері управління відходами, що здійснюють відновлння ВЕЕО, забезпечують досягнення таких мінімальних цільових показників з підготовки  для повторного використання, рециклінгу та відновлення ВЕЕО:</w:t>
      </w:r>
    </w:p>
    <w:p w14:paraId="0896BF35" w14:textId="1030D7A6" w:rsidR="00A62312" w:rsidRPr="00C22C49" w:rsidRDefault="00A62312" w:rsidP="00A62312">
      <w:r w:rsidRPr="00C22C49">
        <w:t>(a) для ВЕЕО категорій 1 та 4:</w:t>
      </w:r>
    </w:p>
    <w:p w14:paraId="0896BF36" w14:textId="3D6B95A7" w:rsidR="00A62312" w:rsidRPr="00C22C49" w:rsidRDefault="00A62312" w:rsidP="003805F8">
      <w:pPr>
        <w:pStyle w:val="BulletRED"/>
      </w:pPr>
      <w:r w:rsidRPr="00C22C49">
        <w:t>85 % ваги обладнання повинно бути відновлене, з нього</w:t>
      </w:r>
    </w:p>
    <w:p w14:paraId="0896BF37" w14:textId="65F5486B" w:rsidR="00A62312" w:rsidRPr="00C22C49" w:rsidRDefault="00A62312" w:rsidP="003805F8">
      <w:pPr>
        <w:pStyle w:val="BulletRED"/>
      </w:pPr>
      <w:r w:rsidRPr="00C22C49">
        <w:t>80 % ваги обладнання повинно бути підготовленого для повторного використання і рециклінгу;</w:t>
      </w:r>
    </w:p>
    <w:p w14:paraId="0896BF38" w14:textId="1BE3E34A" w:rsidR="00A62312" w:rsidRPr="00C22C49" w:rsidRDefault="00A62312" w:rsidP="00A62312">
      <w:r w:rsidRPr="00C22C49">
        <w:t>(б) для ВЕЕО категорії 2:</w:t>
      </w:r>
    </w:p>
    <w:p w14:paraId="0896BF39" w14:textId="7DF4246F" w:rsidR="00A62312" w:rsidRPr="00C22C49" w:rsidRDefault="00A62312" w:rsidP="003805F8">
      <w:pPr>
        <w:pStyle w:val="BulletRED"/>
      </w:pPr>
      <w:r w:rsidRPr="00C22C49">
        <w:t>80 % ваги обладнання повинно бути відновлене, з нього</w:t>
      </w:r>
    </w:p>
    <w:p w14:paraId="0896BF3A" w14:textId="50DB6EC4" w:rsidR="00A62312" w:rsidRPr="00C22C49" w:rsidRDefault="00A62312" w:rsidP="003805F8">
      <w:pPr>
        <w:pStyle w:val="BulletRED"/>
      </w:pPr>
      <w:r w:rsidRPr="00C22C49">
        <w:t>70 % ваги обладнання, повинно бути підготовленого для повторного використання і рециклінгу;</w:t>
      </w:r>
    </w:p>
    <w:p w14:paraId="0896BF3B" w14:textId="4BB991E9" w:rsidR="00A62312" w:rsidRPr="00C22C49" w:rsidRDefault="00A62312" w:rsidP="00A62312">
      <w:r w:rsidRPr="00C22C49">
        <w:t xml:space="preserve">(в) для ВЕЕО категорій 5 та 6: </w:t>
      </w:r>
    </w:p>
    <w:p w14:paraId="0896BF3C" w14:textId="36573376" w:rsidR="00A62312" w:rsidRPr="00C22C49" w:rsidRDefault="00A62312" w:rsidP="003805F8">
      <w:pPr>
        <w:pStyle w:val="BulletRED"/>
      </w:pPr>
      <w:r w:rsidRPr="00C22C49">
        <w:t>75 % ваги обладнання повинно бути відновлене, з нього</w:t>
      </w:r>
    </w:p>
    <w:p w14:paraId="0896BF3D" w14:textId="143FF36E" w:rsidR="00A62312" w:rsidRPr="00C22C49" w:rsidRDefault="00A62312" w:rsidP="003805F8">
      <w:pPr>
        <w:pStyle w:val="BulletRED"/>
      </w:pPr>
      <w:r w:rsidRPr="00C22C49">
        <w:t>55 % ваги обладнання, повинно бути підготовленого для повторного використання і рециклінгу;</w:t>
      </w:r>
    </w:p>
    <w:p w14:paraId="0896BF3E" w14:textId="35E39A9E" w:rsidR="00A62312" w:rsidRPr="00C22C49" w:rsidRDefault="00A62312" w:rsidP="00A62312">
      <w:r w:rsidRPr="00C22C49">
        <w:t>(г) для ВЕЕО категорії 3:</w:t>
      </w:r>
    </w:p>
    <w:p w14:paraId="0896BF3F" w14:textId="1DA91A6D" w:rsidR="00D77AF7" w:rsidRPr="00C22C49" w:rsidRDefault="00A62312" w:rsidP="003805F8">
      <w:pPr>
        <w:pStyle w:val="BulletRED"/>
      </w:pPr>
      <w:r w:rsidRPr="00C22C49">
        <w:t>80 % ваги обладнання повинно бути рецикльовано.</w:t>
      </w:r>
    </w:p>
    <w:p w14:paraId="0896BF40" w14:textId="77777777" w:rsidR="00A04543" w:rsidRPr="00C22C49" w:rsidRDefault="00A04543" w:rsidP="003805F8">
      <w:pPr>
        <w:pStyle w:val="BulletRED"/>
        <w:numPr>
          <w:ilvl w:val="0"/>
          <w:numId w:val="0"/>
        </w:numPr>
      </w:pPr>
    </w:p>
    <w:p w14:paraId="0896BF41" w14:textId="68DC4AB5" w:rsidR="00A04543" w:rsidRPr="00C22C49" w:rsidRDefault="0058773D" w:rsidP="00525054">
      <w:pPr>
        <w:pStyle w:val="REDBoldonly"/>
      </w:pPr>
      <w:r w:rsidRPr="00C22C49">
        <w:t xml:space="preserve">Цільові показники з управління відходами </w:t>
      </w:r>
      <w:r w:rsidR="00D26C6F" w:rsidRPr="00D26C6F">
        <w:t>знят</w:t>
      </w:r>
      <w:r w:rsidR="00D26C6F">
        <w:t>их</w:t>
      </w:r>
      <w:r w:rsidR="00D26C6F" w:rsidRPr="00D26C6F">
        <w:t xml:space="preserve"> з експлуатації транспортн</w:t>
      </w:r>
      <w:r w:rsidR="00D26C6F">
        <w:t>их</w:t>
      </w:r>
      <w:r w:rsidR="00D26C6F" w:rsidRPr="00D26C6F">
        <w:t xml:space="preserve"> засоб</w:t>
      </w:r>
      <w:r w:rsidR="00D26C6F">
        <w:t xml:space="preserve">ів </w:t>
      </w:r>
    </w:p>
    <w:p w14:paraId="0896BF42" w14:textId="383F1947" w:rsidR="001A10BC" w:rsidRPr="00C22C49" w:rsidRDefault="00F06837" w:rsidP="00F06837">
      <w:r w:rsidRPr="00F06837">
        <w:t xml:space="preserve">Цільові показники </w:t>
      </w:r>
      <w:r w:rsidR="003E6A0C">
        <w:t xml:space="preserve">з </w:t>
      </w:r>
      <w:r w:rsidR="00900ECB" w:rsidRPr="00900ECB">
        <w:t>повторн</w:t>
      </w:r>
      <w:r w:rsidR="00900ECB">
        <w:t>ого</w:t>
      </w:r>
      <w:r w:rsidR="00900ECB" w:rsidRPr="00900ECB">
        <w:t xml:space="preserve"> використання</w:t>
      </w:r>
      <w:r w:rsidR="00900ECB">
        <w:t>, рециклінгу</w:t>
      </w:r>
      <w:r w:rsidR="00900ECB" w:rsidRPr="00900ECB">
        <w:t xml:space="preserve"> та відновлення </w:t>
      </w:r>
      <w:r w:rsidRPr="00F06837">
        <w:t xml:space="preserve">відходів </w:t>
      </w:r>
      <w:r w:rsidR="00900ECB" w:rsidRPr="00900ECB">
        <w:t>знятих з експлуатації транспортних засобів</w:t>
      </w:r>
      <w:r w:rsidRPr="00F06837">
        <w:t xml:space="preserve"> </w:t>
      </w:r>
      <w:r w:rsidR="00484EEA">
        <w:t>впроваджуються після прийняття</w:t>
      </w:r>
      <w:r w:rsidRPr="00F06837">
        <w:t xml:space="preserve"> законодавств</w:t>
      </w:r>
      <w:r w:rsidR="00484EEA">
        <w:t>а, яке встановлює розширену від</w:t>
      </w:r>
      <w:r w:rsidR="00B40B2C">
        <w:t xml:space="preserve">повідальність виробника на </w:t>
      </w:r>
      <w:r w:rsidR="00B40B2C" w:rsidRPr="00B40B2C">
        <w:t>знят</w:t>
      </w:r>
      <w:r w:rsidR="00B40B2C">
        <w:t>і</w:t>
      </w:r>
      <w:r w:rsidR="00B40B2C" w:rsidRPr="00B40B2C">
        <w:t xml:space="preserve"> з експлуатації транспортн</w:t>
      </w:r>
      <w:r w:rsidR="00B40B2C">
        <w:t>і</w:t>
      </w:r>
      <w:r w:rsidR="00B40B2C" w:rsidRPr="00B40B2C">
        <w:t xml:space="preserve"> засоб</w:t>
      </w:r>
      <w:r w:rsidR="00B40B2C">
        <w:t>и</w:t>
      </w:r>
      <w:r w:rsidR="00C0717A">
        <w:t>.</w:t>
      </w:r>
      <w:r w:rsidR="00B40B2C" w:rsidRPr="00B40B2C">
        <w:t xml:space="preserve"> </w:t>
      </w:r>
      <w:r w:rsidR="001A10BC" w:rsidRPr="00C22C49">
        <w:t>Щодо знятих з експлуатації транспортних засобів, держава забезпечує досягнення суб'єктами господарювання наступних цілей</w:t>
      </w:r>
      <w:r w:rsidR="00477BA9">
        <w:t xml:space="preserve"> </w:t>
      </w:r>
      <w:r w:rsidR="001A10BC" w:rsidRPr="00C22C49">
        <w:t>:</w:t>
      </w:r>
    </w:p>
    <w:p w14:paraId="0896BF43" w14:textId="218B75FE" w:rsidR="001A10BC" w:rsidRPr="00C22C49" w:rsidRDefault="00413FB8" w:rsidP="001A10BC">
      <w:pPr>
        <w:pStyle w:val="BulletRED"/>
      </w:pPr>
      <w:r w:rsidRPr="00525054">
        <w:rPr>
          <w:highlight w:val="green"/>
        </w:rPr>
        <w:t xml:space="preserve">Через </w:t>
      </w:r>
      <w:r w:rsidR="00652B27">
        <w:rPr>
          <w:highlight w:val="green"/>
        </w:rPr>
        <w:t>6</w:t>
      </w:r>
      <w:r w:rsidRPr="00525054">
        <w:rPr>
          <w:highlight w:val="green"/>
        </w:rPr>
        <w:t xml:space="preserve"> рок</w:t>
      </w:r>
      <w:r w:rsidR="00652B27">
        <w:rPr>
          <w:highlight w:val="green"/>
        </w:rPr>
        <w:t>ів</w:t>
      </w:r>
      <w:r w:rsidRPr="00525054">
        <w:rPr>
          <w:highlight w:val="green"/>
        </w:rPr>
        <w:t xml:space="preserve"> після прийняття закону, який вправаджує </w:t>
      </w:r>
      <w:r w:rsidR="00E7400C" w:rsidRPr="00E7400C">
        <w:t>розширену відповідальність виробника на зняті з експлуатації транспортні засоби</w:t>
      </w:r>
      <w:r w:rsidR="00E7400C" w:rsidRPr="00E7400C" w:rsidDel="00413FB8">
        <w:t xml:space="preserve"> </w:t>
      </w:r>
      <w:r w:rsidR="001A10BC" w:rsidRPr="00C22C49">
        <w:t>для всіх транспортних засобів, термін експлуатації яких закінчився, повторне використання та відновлення повинні бути збільшені до мінімум 85% від середньої ваги на транспортний засіб та рік. У той самий термін повторне використання та рециклінг повинні бути збільшені щонайменше 80 % від середньої ваги на транспортний засіб за рік;</w:t>
      </w:r>
    </w:p>
    <w:p w14:paraId="0896BF45" w14:textId="77777777" w:rsidR="00A81448" w:rsidRPr="00C22C49" w:rsidRDefault="00A81448" w:rsidP="00A81448"/>
    <w:p w14:paraId="0896BF46" w14:textId="77777777" w:rsidR="003805F8" w:rsidRPr="00C22C49" w:rsidRDefault="0058773D" w:rsidP="009C1159">
      <w:pPr>
        <w:pStyle w:val="Heading4boldRED"/>
        <w:rPr>
          <w:lang w:val="uk-UA"/>
        </w:rPr>
      </w:pPr>
      <w:r w:rsidRPr="00C22C49">
        <w:rPr>
          <w:lang w:val="uk-UA"/>
        </w:rPr>
        <w:t>Цільові показники з управління відходами мастил (олив)</w:t>
      </w:r>
    </w:p>
    <w:p w14:paraId="0896BF47" w14:textId="79BE4037" w:rsidR="008943FB" w:rsidRPr="00C22C49" w:rsidRDefault="008943FB" w:rsidP="008943FB">
      <w:pPr>
        <w:tabs>
          <w:tab w:val="center" w:pos="284"/>
        </w:tabs>
        <w:spacing w:line="240" w:lineRule="auto"/>
        <w:contextualSpacing/>
        <w:rPr>
          <w:rFonts w:cstheme="minorHAnsi"/>
          <w:b/>
          <w:bCs/>
        </w:rPr>
      </w:pPr>
      <w:r w:rsidRPr="00C22C49">
        <w:rPr>
          <w:rFonts w:cstheme="minorHAnsi"/>
        </w:rPr>
        <w:t>Відповідно до Порядку збирання, перевезення, зберігання, оброблення (перероблення), утилізації та/або знешкодження відпрацьованих мастил (олив), затвердженого Постановою КМУ від 17 грудня 2012 р. № 1221 «Деякі питання збирання, перевезення, зберігання, оброблення (перероблення), утилізації та/або знешкодження відпрацьованих мастил (олив)»</w:t>
      </w:r>
      <w:r w:rsidRPr="00C22C49">
        <w:rPr>
          <w:rStyle w:val="ac"/>
          <w:rFonts w:cstheme="minorHAnsi"/>
        </w:rPr>
        <w:footnoteReference w:id="4"/>
      </w:r>
      <w:r w:rsidRPr="00C22C49">
        <w:rPr>
          <w:rFonts w:cstheme="minorHAnsi"/>
        </w:rPr>
        <w:t xml:space="preserve">, для всіх суб’єктів господарювання - виробників, імпортерів мастил (олив), переробників відпрацьованих мастил (олив) та споживачів мастил (олив) </w:t>
      </w:r>
      <w:r w:rsidR="00622F93" w:rsidRPr="00C22C49">
        <w:rPr>
          <w:rFonts w:cstheme="minorHAnsi"/>
        </w:rPr>
        <w:t>встановл</w:t>
      </w:r>
      <w:r w:rsidR="00622F93">
        <w:rPr>
          <w:rFonts w:cstheme="minorHAnsi"/>
        </w:rPr>
        <w:t>ені наступні</w:t>
      </w:r>
      <w:r w:rsidR="00622F93" w:rsidRPr="00C22C49">
        <w:rPr>
          <w:rFonts w:cstheme="minorHAnsi"/>
        </w:rPr>
        <w:t xml:space="preserve"> </w:t>
      </w:r>
      <w:r w:rsidRPr="00C22C49">
        <w:rPr>
          <w:rFonts w:cstheme="minorHAnsi"/>
          <w:b/>
          <w:bCs/>
        </w:rPr>
        <w:t>норми збирання відпрацьованих мастил (олив):</w:t>
      </w:r>
    </w:p>
    <w:p w14:paraId="0896BF48" w14:textId="77777777" w:rsidR="008943FB" w:rsidRPr="00C22C49" w:rsidRDefault="008943FB" w:rsidP="008943FB">
      <w:pPr>
        <w:numPr>
          <w:ilvl w:val="0"/>
          <w:numId w:val="2"/>
        </w:numPr>
        <w:tabs>
          <w:tab w:val="center" w:pos="284"/>
        </w:tabs>
        <w:spacing w:line="240" w:lineRule="auto"/>
        <w:contextualSpacing/>
        <w:rPr>
          <w:rFonts w:cstheme="minorHAnsi"/>
        </w:rPr>
      </w:pPr>
      <w:r w:rsidRPr="00C22C49">
        <w:rPr>
          <w:rFonts w:cstheme="minorHAnsi"/>
        </w:rPr>
        <w:t>на 2020-2024 роки - 50 відсотків загального обсягу мастил (олив);</w:t>
      </w:r>
    </w:p>
    <w:p w14:paraId="0896BF49" w14:textId="77777777" w:rsidR="008943FB" w:rsidRPr="00C22C49" w:rsidRDefault="008943FB" w:rsidP="008943FB">
      <w:pPr>
        <w:numPr>
          <w:ilvl w:val="0"/>
          <w:numId w:val="2"/>
        </w:numPr>
        <w:tabs>
          <w:tab w:val="center" w:pos="284"/>
        </w:tabs>
        <w:spacing w:line="240" w:lineRule="auto"/>
        <w:contextualSpacing/>
        <w:rPr>
          <w:rFonts w:cstheme="minorHAnsi"/>
        </w:rPr>
      </w:pPr>
      <w:r w:rsidRPr="00C22C49">
        <w:rPr>
          <w:rFonts w:cstheme="minorHAnsi"/>
        </w:rPr>
        <w:t>на 2025-2029 роки - 60 відсотків загального обсягу мастил (олив);</w:t>
      </w:r>
    </w:p>
    <w:p w14:paraId="0896BF4A" w14:textId="77777777" w:rsidR="008943FB" w:rsidRPr="00C22C49" w:rsidRDefault="008943FB" w:rsidP="008943FB">
      <w:pPr>
        <w:numPr>
          <w:ilvl w:val="0"/>
          <w:numId w:val="2"/>
        </w:numPr>
        <w:tabs>
          <w:tab w:val="center" w:pos="284"/>
        </w:tabs>
        <w:spacing w:line="240" w:lineRule="auto"/>
        <w:contextualSpacing/>
        <w:rPr>
          <w:rFonts w:cstheme="minorHAnsi"/>
        </w:rPr>
      </w:pPr>
      <w:r w:rsidRPr="00C22C49">
        <w:rPr>
          <w:rFonts w:cstheme="minorHAnsi"/>
        </w:rPr>
        <w:t>на 2030-2035 роки - 70 відсотків загального обсягу мастил (олив).</w:t>
      </w:r>
    </w:p>
    <w:p w14:paraId="0896BF4B" w14:textId="77777777" w:rsidR="00A960E4" w:rsidRPr="00C22C49" w:rsidRDefault="00A960E4" w:rsidP="003805F8">
      <w:pPr>
        <w:pStyle w:val="BulletRED"/>
        <w:numPr>
          <w:ilvl w:val="0"/>
          <w:numId w:val="0"/>
        </w:numPr>
      </w:pPr>
    </w:p>
    <w:p w14:paraId="0896BF4C" w14:textId="77777777" w:rsidR="009C1159" w:rsidRPr="00C22C49" w:rsidRDefault="0058773D" w:rsidP="00525054">
      <w:pPr>
        <w:pStyle w:val="REDBoldonly"/>
      </w:pPr>
      <w:r w:rsidRPr="00C22C49">
        <w:t>Цільові показники з управління відходами шин</w:t>
      </w:r>
    </w:p>
    <w:p w14:paraId="421FAE11" w14:textId="77777777" w:rsidR="00B53774" w:rsidRDefault="00DB7D32" w:rsidP="0040233F">
      <w:r w:rsidRPr="00DB7D32">
        <w:t xml:space="preserve">Цільові показники з рециклінгу та відновлення відходів </w:t>
      </w:r>
      <w:r w:rsidR="00B53774">
        <w:t>шин</w:t>
      </w:r>
      <w:r w:rsidRPr="00DB7D32">
        <w:t xml:space="preserve"> впроваджуються після прийняття законодавства, яке встановлює розширену відповідальність виробника на </w:t>
      </w:r>
      <w:r w:rsidR="00B53774">
        <w:t>відходи шин</w:t>
      </w:r>
      <w:r w:rsidRPr="00DB7D32">
        <w:t xml:space="preserve">. </w:t>
      </w:r>
    </w:p>
    <w:p w14:paraId="0896BF4D" w14:textId="12B27C03" w:rsidR="0040233F" w:rsidRPr="00C22C49" w:rsidRDefault="0040233F" w:rsidP="0040233F">
      <w:r w:rsidRPr="00C22C49">
        <w:t xml:space="preserve">Щодо відходів шин </w:t>
      </w:r>
      <w:r w:rsidR="00465C19">
        <w:t>ч</w:t>
      </w:r>
      <w:r w:rsidR="00465C19" w:rsidRPr="00B53774">
        <w:t xml:space="preserve">ерез </w:t>
      </w:r>
      <w:r w:rsidR="00465C19">
        <w:t>5</w:t>
      </w:r>
      <w:r w:rsidR="00465C19" w:rsidRPr="00B53774">
        <w:t xml:space="preserve"> років після прийняття закону, який вправаджує </w:t>
      </w:r>
      <w:r w:rsidR="00465C19" w:rsidRPr="00465C19">
        <w:t xml:space="preserve">розширену відповідальність виробника </w:t>
      </w:r>
      <w:r w:rsidR="00F03946">
        <w:t>для відходів шин пропонуються</w:t>
      </w:r>
      <w:r w:rsidRPr="00C22C49">
        <w:t>наступні цільові показники:</w:t>
      </w:r>
    </w:p>
    <w:p w14:paraId="0896BF4E" w14:textId="38822C20" w:rsidR="0040233F" w:rsidRPr="00C22C49" w:rsidRDefault="0040233F" w:rsidP="0040233F">
      <w:pPr>
        <w:pStyle w:val="BulletRED"/>
      </w:pPr>
      <w:r w:rsidRPr="00C22C49">
        <w:t xml:space="preserve">досягнення показника відновлення шин не менше 75%, </w:t>
      </w:r>
    </w:p>
    <w:p w14:paraId="0896BF4F" w14:textId="77777777" w:rsidR="009C1159" w:rsidRPr="00C22C49" w:rsidRDefault="0040233F" w:rsidP="0040233F">
      <w:pPr>
        <w:pStyle w:val="BulletRED"/>
      </w:pPr>
      <w:r w:rsidRPr="00C22C49">
        <w:t>досягнення показника рециклінгу - не менше 15%.</w:t>
      </w:r>
    </w:p>
    <w:p w14:paraId="0896BF50" w14:textId="77777777" w:rsidR="0040233F" w:rsidRPr="00C22C49" w:rsidRDefault="0040233F" w:rsidP="0040233F"/>
    <w:p w14:paraId="0896BF51" w14:textId="77777777" w:rsidR="009C1159" w:rsidRPr="00C22C49" w:rsidRDefault="0058773D" w:rsidP="00525054">
      <w:pPr>
        <w:pStyle w:val="REDBoldonly"/>
      </w:pPr>
      <w:r w:rsidRPr="00C22C49">
        <w:t>Цільові показники з управління відходами буд</w:t>
      </w:r>
      <w:r w:rsidR="00405212" w:rsidRPr="00C22C49">
        <w:t>і</w:t>
      </w:r>
      <w:r w:rsidRPr="00C22C49">
        <w:t>вни</w:t>
      </w:r>
      <w:r w:rsidR="00405212" w:rsidRPr="00C22C49">
        <w:t>ц</w:t>
      </w:r>
      <w:r w:rsidRPr="00C22C49">
        <w:t>тва та знесення</w:t>
      </w:r>
    </w:p>
    <w:p w14:paraId="0896BF52" w14:textId="5C7185B3" w:rsidR="00A63F75" w:rsidRPr="00C22C49" w:rsidRDefault="00F03946" w:rsidP="00A63F75">
      <w:pPr>
        <w:pStyle w:val="BulletRED"/>
        <w:numPr>
          <w:ilvl w:val="0"/>
          <w:numId w:val="0"/>
        </w:numPr>
      </w:pPr>
      <w:r w:rsidRPr="00F03946">
        <w:t>Цільові показники з рециклінгу та відновлення відходів будівництва та знесення впроваджуються після прийняття законодавства</w:t>
      </w:r>
      <w:r>
        <w:t xml:space="preserve"> про управління відходами </w:t>
      </w:r>
      <w:r w:rsidRPr="00F03946">
        <w:t xml:space="preserve">будівництва та знесення. </w:t>
      </w:r>
      <w:r w:rsidR="00A63F75" w:rsidRPr="00C22C49">
        <w:t xml:space="preserve">Щодо управління відходами будівництва та знесення: </w:t>
      </w:r>
    </w:p>
    <w:p w14:paraId="0896BF53" w14:textId="644C46A5" w:rsidR="00A63F75" w:rsidRPr="00C22C49" w:rsidRDefault="00A63F75" w:rsidP="00A63F75">
      <w:pPr>
        <w:pStyle w:val="BulletRED"/>
      </w:pPr>
      <w:r w:rsidRPr="00C22C49">
        <w:rPr>
          <w:b/>
          <w:bCs/>
        </w:rPr>
        <w:t xml:space="preserve">До </w:t>
      </w:r>
      <w:r w:rsidR="00F03946" w:rsidRPr="00C22C49">
        <w:rPr>
          <w:b/>
          <w:bCs/>
        </w:rPr>
        <w:t>203</w:t>
      </w:r>
      <w:r w:rsidR="00F03946">
        <w:rPr>
          <w:b/>
          <w:bCs/>
        </w:rPr>
        <w:t>3</w:t>
      </w:r>
      <w:r w:rsidR="00F03946" w:rsidRPr="00C22C49">
        <w:rPr>
          <w:b/>
          <w:bCs/>
        </w:rPr>
        <w:t xml:space="preserve"> </w:t>
      </w:r>
      <w:r w:rsidRPr="00C22C49">
        <w:rPr>
          <w:b/>
          <w:bCs/>
        </w:rPr>
        <w:t>року</w:t>
      </w:r>
      <w:r w:rsidRPr="00C22C49">
        <w:t xml:space="preserve">, підготовка до повторного використання, рециклінг та інше відновлення матеріалів, включаючи операції зі зворотного заповнення з використанням відходів на заміщення інших матеріалів, відходів будівництва та знесення, що не є небезпечними, за винятком природних матеріалів, визначених у категорії 170504 переліку відходів, повинні бути збільшені мінімум до </w:t>
      </w:r>
      <w:r w:rsidRPr="00C22C49">
        <w:rPr>
          <w:b/>
          <w:bCs/>
        </w:rPr>
        <w:t>70 % за масою</w:t>
      </w:r>
      <w:r w:rsidRPr="00C22C49">
        <w:t xml:space="preserve">. </w:t>
      </w:r>
    </w:p>
    <w:p w14:paraId="0896BF54" w14:textId="77777777" w:rsidR="00A63F75" w:rsidRPr="00C22C49" w:rsidRDefault="00A63F75" w:rsidP="00A63F75">
      <w:pPr>
        <w:pStyle w:val="BulletRED"/>
        <w:numPr>
          <w:ilvl w:val="0"/>
          <w:numId w:val="0"/>
        </w:numPr>
      </w:pPr>
      <w:r w:rsidRPr="00C22C49">
        <w:rPr>
          <w:b/>
          <w:bCs/>
        </w:rPr>
        <w:t>Поетапне досягнення цього показника, буде відображено у регіональних планах</w:t>
      </w:r>
      <w:r w:rsidRPr="00C22C49">
        <w:t xml:space="preserve"> із врахуванням спроможностей областей, наявної технічної бази та оцінки кількостей відходів будівництва та знесення.</w:t>
      </w:r>
    </w:p>
    <w:p w14:paraId="0896BF55" w14:textId="77777777" w:rsidR="00A81448" w:rsidRPr="00C22C49" w:rsidRDefault="00A81448" w:rsidP="003805F8">
      <w:pPr>
        <w:pStyle w:val="BulletRED"/>
        <w:numPr>
          <w:ilvl w:val="0"/>
          <w:numId w:val="0"/>
        </w:numPr>
      </w:pPr>
    </w:p>
    <w:p w14:paraId="0896BF56" w14:textId="77777777" w:rsidR="00113DAE" w:rsidRPr="00C22C49" w:rsidRDefault="00113DAE" w:rsidP="00113DAE">
      <w:pPr>
        <w:pStyle w:val="30"/>
      </w:pPr>
      <w:bookmarkStart w:id="35" w:name="_Toc151583269"/>
      <w:r w:rsidRPr="00C22C49">
        <w:t>З</w:t>
      </w:r>
      <w:r w:rsidR="008B1E83" w:rsidRPr="00C22C49">
        <w:t>аходи для досягнення цілей/завдань і цільових показників</w:t>
      </w:r>
      <w:bookmarkEnd w:id="35"/>
      <w:r w:rsidR="008B1E83" w:rsidRPr="00C22C49">
        <w:t xml:space="preserve"> </w:t>
      </w:r>
    </w:p>
    <w:p w14:paraId="0896BF57" w14:textId="77777777" w:rsidR="005B3034" w:rsidRPr="00C22C49" w:rsidRDefault="005B3034" w:rsidP="00565934">
      <w:r w:rsidRPr="00C22C49">
        <w:t xml:space="preserve">У контексті ідентифікації проблем, а також цілей та </w:t>
      </w:r>
      <w:r w:rsidR="00B460A0" w:rsidRPr="00C22C49">
        <w:t>принципів</w:t>
      </w:r>
      <w:r w:rsidRPr="00C22C49">
        <w:t xml:space="preserve"> </w:t>
      </w:r>
      <w:r w:rsidR="00B460A0" w:rsidRPr="00C22C49">
        <w:t>державної політики управління відходами</w:t>
      </w:r>
      <w:r w:rsidRPr="00C22C49">
        <w:t>, були визначені з</w:t>
      </w:r>
      <w:r w:rsidR="00B460A0" w:rsidRPr="00C22C49">
        <w:t>аходи</w:t>
      </w:r>
      <w:r w:rsidRPr="00C22C49">
        <w:t xml:space="preserve">, які мають бути реалізовані в рамках </w:t>
      </w:r>
      <w:r w:rsidR="00B460A0" w:rsidRPr="00C22C49">
        <w:t>Національного плану управління відходами до 2035 року</w:t>
      </w:r>
      <w:r w:rsidRPr="00C22C49">
        <w:t xml:space="preserve">. У </w:t>
      </w:r>
      <w:r w:rsidR="00B460A0" w:rsidRPr="00C22C49">
        <w:t>Додатку 1</w:t>
      </w:r>
      <w:r w:rsidRPr="00C22C49">
        <w:t xml:space="preserve"> </w:t>
      </w:r>
      <w:r w:rsidR="00B460A0" w:rsidRPr="00C22C49">
        <w:t>наведенні заходи</w:t>
      </w:r>
      <w:r w:rsidRPr="00C22C49">
        <w:t xml:space="preserve">, </w:t>
      </w:r>
      <w:r w:rsidR="00F1399B" w:rsidRPr="00C22C49">
        <w:t>строки виконання</w:t>
      </w:r>
      <w:r w:rsidRPr="00C22C49">
        <w:t xml:space="preserve">, </w:t>
      </w:r>
      <w:r w:rsidR="00192C76" w:rsidRPr="00C22C49">
        <w:t>відповідальні за виконання</w:t>
      </w:r>
      <w:r w:rsidRPr="00C22C49">
        <w:t xml:space="preserve">, </w:t>
      </w:r>
      <w:r w:rsidR="0036462C" w:rsidRPr="00C22C49">
        <w:t>індикатори виконання та джерела фінансування</w:t>
      </w:r>
      <w:r w:rsidRPr="00C22C49">
        <w:t>.</w:t>
      </w:r>
      <w:r w:rsidR="0036462C" w:rsidRPr="00C22C49">
        <w:t xml:space="preserve"> Планування заходів здійснено як для </w:t>
      </w:r>
      <w:r w:rsidR="00AC6BD9" w:rsidRPr="00C22C49">
        <w:t>системи в цілому так і за потоками відходів, описаних у цьому ПНУВ.</w:t>
      </w:r>
    </w:p>
    <w:p w14:paraId="0896BF58" w14:textId="77777777" w:rsidR="0030193F" w:rsidRPr="00C22C49" w:rsidRDefault="00FC205A" w:rsidP="00565934">
      <w:r w:rsidRPr="00C22C49">
        <w:t>Додаток 1. План заходів Національного плану управління відходами до 2035 року</w:t>
      </w:r>
      <w:r w:rsidR="00411A6C" w:rsidRPr="00C22C49">
        <w:t xml:space="preserve"> містить заходи щодо:</w:t>
      </w:r>
    </w:p>
    <w:p w14:paraId="0896BF59" w14:textId="77777777" w:rsidR="00411A6C" w:rsidRPr="00C22C49" w:rsidRDefault="00FD59CA" w:rsidP="00F716E9">
      <w:pPr>
        <w:pStyle w:val="BulletRED"/>
      </w:pPr>
      <w:r w:rsidRPr="00C22C49">
        <w:t>Удосконалення та наближення національного законодавства до вимог європейського законодавства</w:t>
      </w:r>
      <w:r w:rsidR="00BD3738" w:rsidRPr="00C22C49">
        <w:t>.</w:t>
      </w:r>
    </w:p>
    <w:p w14:paraId="0896BF5A" w14:textId="77777777" w:rsidR="00BD3738" w:rsidRPr="00C22C49" w:rsidRDefault="00BD3738" w:rsidP="00F716E9">
      <w:pPr>
        <w:pStyle w:val="BulletRED"/>
      </w:pPr>
      <w:r w:rsidRPr="00C22C49">
        <w:t>Впровадження економічних інструментів для удосконалення управління відходами.</w:t>
      </w:r>
    </w:p>
    <w:p w14:paraId="0896BF5B" w14:textId="77777777" w:rsidR="00621696" w:rsidRPr="00C22C49" w:rsidRDefault="00621696" w:rsidP="00F716E9">
      <w:pPr>
        <w:pStyle w:val="BulletRED"/>
      </w:pPr>
      <w:r w:rsidRPr="00C22C49">
        <w:t>Вдосконалення інституційної структури та зміцнення кадрового потенціалу у сфері управління відходами</w:t>
      </w:r>
      <w:r w:rsidR="002F62F4" w:rsidRPr="00C22C49">
        <w:t>.</w:t>
      </w:r>
    </w:p>
    <w:p w14:paraId="0896BF5C" w14:textId="77777777" w:rsidR="00ED7BBF" w:rsidRPr="00C22C49" w:rsidRDefault="002F62F4" w:rsidP="00F716E9">
      <w:pPr>
        <w:pStyle w:val="BulletRED"/>
      </w:pPr>
      <w:r w:rsidRPr="00C22C49">
        <w:t>Реформування системи інформаційного забезпечення сфери управління відходами</w:t>
      </w:r>
    </w:p>
    <w:p w14:paraId="0896BF5D" w14:textId="77777777" w:rsidR="002F62F4" w:rsidRPr="00C22C49" w:rsidRDefault="00ED7BBF" w:rsidP="00F716E9">
      <w:pPr>
        <w:pStyle w:val="BulletRED"/>
      </w:pPr>
      <w:r w:rsidRPr="00C22C49">
        <w:t>Підвищення обізнаності населення щодо управління відходами</w:t>
      </w:r>
    </w:p>
    <w:p w14:paraId="0896BF5E" w14:textId="77777777" w:rsidR="00BD3738" w:rsidRPr="00C22C49" w:rsidRDefault="0088746A" w:rsidP="00F716E9">
      <w:pPr>
        <w:pStyle w:val="BulletRED"/>
      </w:pPr>
      <w:r w:rsidRPr="00C22C49">
        <w:t>Заходи із запобігання засміченню та очищення засмічених територій</w:t>
      </w:r>
    </w:p>
    <w:p w14:paraId="0896BF5F" w14:textId="77777777" w:rsidR="00CF345E" w:rsidRPr="00C22C49" w:rsidRDefault="00CF345E" w:rsidP="00F716E9">
      <w:pPr>
        <w:pStyle w:val="BulletRED"/>
      </w:pPr>
      <w:r w:rsidRPr="00C22C49">
        <w:t>Заходи з очищення історичних місць розміщення відходів</w:t>
      </w:r>
    </w:p>
    <w:p w14:paraId="0896BF60" w14:textId="77777777" w:rsidR="0030193F" w:rsidRPr="00C22C49" w:rsidRDefault="00D227AF" w:rsidP="00F716E9">
      <w:pPr>
        <w:pStyle w:val="BulletRED"/>
      </w:pPr>
      <w:r w:rsidRPr="00C22C49">
        <w:t xml:space="preserve">Заходи щодо </w:t>
      </w:r>
      <w:r w:rsidR="003862B0" w:rsidRPr="00C22C49">
        <w:t>ф</w:t>
      </w:r>
      <w:r w:rsidRPr="00C22C49">
        <w:t xml:space="preserve">ормування державної політики у сфері управління відходами та </w:t>
      </w:r>
      <w:r w:rsidR="003862B0" w:rsidRPr="00C22C49">
        <w:t>с</w:t>
      </w:r>
      <w:r w:rsidR="00617F77" w:rsidRPr="00C22C49">
        <w:t>творення ефективної системи управління відходів</w:t>
      </w:r>
      <w:r w:rsidR="003862B0" w:rsidRPr="00C22C49">
        <w:t xml:space="preserve"> для наступних потоків відходів:</w:t>
      </w:r>
    </w:p>
    <w:p w14:paraId="0896BF61" w14:textId="77777777" w:rsidR="00F716E9" w:rsidRPr="00C22C49" w:rsidRDefault="00F716E9" w:rsidP="00347A91">
      <w:pPr>
        <w:pStyle w:val="BulletPointRED"/>
        <w:spacing w:before="0" w:after="0"/>
        <w:ind w:left="1417" w:hanging="357"/>
      </w:pPr>
      <w:r w:rsidRPr="00C22C49">
        <w:t>Побутові відходи</w:t>
      </w:r>
    </w:p>
    <w:p w14:paraId="0896BF62" w14:textId="77777777" w:rsidR="00F716E9" w:rsidRPr="00C22C49" w:rsidRDefault="00F716E9" w:rsidP="00347A91">
      <w:pPr>
        <w:pStyle w:val="BulletPointRED"/>
        <w:spacing w:before="0" w:after="0"/>
        <w:ind w:left="1417" w:hanging="357"/>
      </w:pPr>
      <w:r w:rsidRPr="00C22C49">
        <w:t>Небезпечні відходи</w:t>
      </w:r>
    </w:p>
    <w:p w14:paraId="0896BF63" w14:textId="77777777" w:rsidR="00F716E9" w:rsidRPr="00C22C49" w:rsidRDefault="00F716E9" w:rsidP="00347A91">
      <w:pPr>
        <w:pStyle w:val="BulletPointRED"/>
        <w:spacing w:before="0" w:after="0"/>
        <w:ind w:left="1417" w:hanging="357"/>
      </w:pPr>
      <w:r w:rsidRPr="00C22C49">
        <w:t>Промислові відходи</w:t>
      </w:r>
    </w:p>
    <w:p w14:paraId="0896BF64" w14:textId="77777777" w:rsidR="00F716E9" w:rsidRPr="00C22C49" w:rsidRDefault="00F716E9" w:rsidP="00347A91">
      <w:pPr>
        <w:pStyle w:val="BulletPointRED"/>
        <w:spacing w:before="0" w:after="0"/>
        <w:ind w:left="1417" w:hanging="357"/>
      </w:pPr>
      <w:r w:rsidRPr="00C22C49">
        <w:t>Відходи будівництва та знесення</w:t>
      </w:r>
    </w:p>
    <w:p w14:paraId="0896BF65" w14:textId="77777777" w:rsidR="00F716E9" w:rsidRPr="00C22C49" w:rsidRDefault="00F716E9" w:rsidP="00347A91">
      <w:pPr>
        <w:pStyle w:val="BulletPointRED"/>
        <w:spacing w:before="0" w:after="0"/>
        <w:ind w:left="1417" w:hanging="357"/>
      </w:pPr>
      <w:r w:rsidRPr="00C22C49">
        <w:t>Відходи сільського господарства</w:t>
      </w:r>
    </w:p>
    <w:p w14:paraId="0896BF66" w14:textId="77777777" w:rsidR="00F716E9" w:rsidRPr="00C22C49" w:rsidRDefault="00F716E9" w:rsidP="00347A91">
      <w:pPr>
        <w:pStyle w:val="BulletPointRED"/>
        <w:spacing w:before="0" w:after="0"/>
        <w:ind w:left="1417" w:hanging="357"/>
      </w:pPr>
      <w:r w:rsidRPr="00C22C49">
        <w:t>Медичні відходи</w:t>
      </w:r>
    </w:p>
    <w:p w14:paraId="0896BF67" w14:textId="77777777" w:rsidR="00F716E9" w:rsidRPr="00C22C49" w:rsidRDefault="00F716E9" w:rsidP="00347A91">
      <w:pPr>
        <w:pStyle w:val="BulletPointRED"/>
        <w:spacing w:before="0" w:after="0"/>
        <w:ind w:left="1417" w:hanging="357"/>
      </w:pPr>
      <w:r w:rsidRPr="00C22C49">
        <w:t xml:space="preserve">Відходи на які поширюється розширена відповідальність виробника (відходи упаковки, електричного та електронного обладнання, батарей і акумуляторів, транспортних засобів, знятих з експлуатації, мастил (олив), шин, текстилю тощо). </w:t>
      </w:r>
    </w:p>
    <w:p w14:paraId="0896BF68" w14:textId="77777777" w:rsidR="00F716E9" w:rsidRPr="00C22C49" w:rsidRDefault="00F716E9" w:rsidP="00347A91">
      <w:pPr>
        <w:pStyle w:val="BulletPointRED"/>
        <w:spacing w:before="0" w:after="0"/>
        <w:ind w:left="1417" w:hanging="357"/>
      </w:pPr>
      <w:r w:rsidRPr="00C22C49">
        <w:t>Інші відходи (відходи окремих секторів економіки, поводження з якими є проблематичним).</w:t>
      </w:r>
    </w:p>
    <w:p w14:paraId="0896BF69" w14:textId="77777777" w:rsidR="00F716E9" w:rsidRPr="00C22C49" w:rsidRDefault="00F716E9" w:rsidP="008B1E83">
      <w:pPr>
        <w:rPr>
          <w:i/>
          <w:iCs/>
        </w:rPr>
      </w:pPr>
    </w:p>
    <w:p w14:paraId="0896BF6A" w14:textId="77777777" w:rsidR="003862B0" w:rsidRPr="00C22C49" w:rsidRDefault="003862B0" w:rsidP="008B1E83">
      <w:pPr>
        <w:rPr>
          <w:i/>
          <w:iCs/>
        </w:rPr>
      </w:pPr>
    </w:p>
    <w:p w14:paraId="0896BF6B" w14:textId="77777777" w:rsidR="0045399B" w:rsidRPr="00C22C49" w:rsidRDefault="0045399B">
      <w:pPr>
        <w:tabs>
          <w:tab w:val="clear" w:pos="284"/>
          <w:tab w:val="clear" w:pos="1985"/>
        </w:tabs>
        <w:spacing w:before="0" w:after="0" w:line="240" w:lineRule="auto"/>
        <w:jc w:val="left"/>
      </w:pPr>
      <w:r w:rsidRPr="00C22C49">
        <w:br w:type="page"/>
      </w:r>
    </w:p>
    <w:p w14:paraId="0896BF6C" w14:textId="77777777" w:rsidR="008B1E83" w:rsidRPr="00C22C49" w:rsidRDefault="00113DAE" w:rsidP="00113DAE">
      <w:pPr>
        <w:pStyle w:val="30"/>
      </w:pPr>
      <w:bookmarkStart w:id="36" w:name="_Toc151583270"/>
      <w:r w:rsidRPr="00C22C49">
        <w:t>О</w:t>
      </w:r>
      <w:r w:rsidR="008B1E83" w:rsidRPr="00C22C49">
        <w:t>цінка потреби у закритті існуючих та створенні нових об’єктів оброблення відходів</w:t>
      </w:r>
      <w:bookmarkEnd w:id="36"/>
    </w:p>
    <w:p w14:paraId="0896BF6D" w14:textId="77777777" w:rsidR="000F64A6" w:rsidRPr="00C22C49" w:rsidRDefault="000F64A6" w:rsidP="000F64A6">
      <w:r w:rsidRPr="00C22C49">
        <w:t>Оцінка потреб у закритті існуючих та створенні нових об'єктів оброблення відходів зроблена з врахуванням адміністративної реформи  згідно постанови ВРУ № 807-ІХ від 17.07.2020 «Про утворення та ліквідацію районів» для існуючих адміністративно-територіальних одиниць та територій територіальних громад,  їх площі, розміщення населення (міське, сільське), його чисельності та обсягів утворюваних відходів – існуючих та прогнозованих на період до 2035 року.</w:t>
      </w:r>
    </w:p>
    <w:p w14:paraId="0896BF6E" w14:textId="77777777" w:rsidR="007944E3" w:rsidRPr="00C22C49" w:rsidRDefault="008B7E83">
      <w:pPr>
        <w:pStyle w:val="REDBoldonly"/>
      </w:pPr>
      <w:r w:rsidRPr="00C22C49">
        <w:t>Передумови оцінювання</w:t>
      </w:r>
      <w:r w:rsidR="00DD7661" w:rsidRPr="00C22C49">
        <w:t xml:space="preserve"> потреби створення нових</w:t>
      </w:r>
      <w:r w:rsidR="002B54AD" w:rsidRPr="00C22C49">
        <w:t xml:space="preserve"> </w:t>
      </w:r>
      <w:r w:rsidR="00A81448" w:rsidRPr="00C22C49">
        <w:t xml:space="preserve">об’єктів оброблення відходів </w:t>
      </w:r>
      <w:r w:rsidR="002B54AD" w:rsidRPr="00C22C49">
        <w:t xml:space="preserve">та закриття </w:t>
      </w:r>
      <w:r w:rsidR="0058773D" w:rsidRPr="00C22C49">
        <w:t>наявних</w:t>
      </w:r>
      <w:r w:rsidR="0061215C" w:rsidRPr="00C22C49">
        <w:t xml:space="preserve">, які не відповідають </w:t>
      </w:r>
      <w:r w:rsidR="00C859CE" w:rsidRPr="00C22C49">
        <w:t>вимогам або вичерпали свій термін експлуатації</w:t>
      </w:r>
      <w:r w:rsidR="0058773D" w:rsidRPr="00C22C49">
        <w:t>.</w:t>
      </w:r>
    </w:p>
    <w:p w14:paraId="0896BF6F" w14:textId="77777777" w:rsidR="000F64A6" w:rsidRPr="00C22C49" w:rsidRDefault="000F64A6" w:rsidP="000F64A6">
      <w:r w:rsidRPr="00C22C49">
        <w:t xml:space="preserve">Тенденція скорочення чисельності населення, особливо сільського, призведе до суттєвих змін в обсягах утворюваних відходів з врахуванням планових показників охоплення послугами з управління відходами в адміністративних районах та територіальних громадах, на основі яких формуються кластери управління відходами в регіонах (областях). </w:t>
      </w:r>
    </w:p>
    <w:p w14:paraId="0896BF70" w14:textId="5D3F13B0" w:rsidR="000F64A6" w:rsidRPr="00C22C49" w:rsidRDefault="000F64A6" w:rsidP="000F64A6">
      <w:r w:rsidRPr="00C22C49">
        <w:t xml:space="preserve">Як видно з діаграм, в 65,4% адміністративних районів утворюється до 75 тис. т побутових відходів на рік, що </w:t>
      </w:r>
      <w:r w:rsidR="000460D9" w:rsidRPr="00C22C49">
        <w:t>сумарно</w:t>
      </w:r>
      <w:r w:rsidRPr="00C22C49">
        <w:t xml:space="preserve"> становить третину всіх </w:t>
      </w:r>
      <w:r w:rsidR="00D84FEA" w:rsidRPr="00D84FEA">
        <w:t>побутових відходів</w:t>
      </w:r>
      <w:r w:rsidRPr="00C22C49">
        <w:t xml:space="preserve">, утворюваних в Україні. </w:t>
      </w:r>
    </w:p>
    <w:p w14:paraId="0896BF71" w14:textId="57E3286B" w:rsidR="0089460F" w:rsidRPr="00C22C49" w:rsidRDefault="000F64A6" w:rsidP="000F64A6">
      <w:r w:rsidRPr="00C22C49">
        <w:t xml:space="preserve">В перспективі кількість таких районів зросте до 70,1% за рахунок зменшення інших груп,  а кількість утворюваних ними </w:t>
      </w:r>
      <w:r w:rsidR="00D84FEA" w:rsidRPr="00D84FEA">
        <w:t>побутових відходів</w:t>
      </w:r>
      <w:r w:rsidRPr="00C22C49">
        <w:t>практично залишиться на тому ж рівні.</w:t>
      </w:r>
    </w:p>
    <w:p w14:paraId="0896BF72" w14:textId="2D3C9CF2" w:rsidR="000F64A6" w:rsidRPr="00C22C49" w:rsidRDefault="000F64A6" w:rsidP="000F64A6"/>
    <w:p w14:paraId="0896BF74" w14:textId="77777777" w:rsidR="00044D0D" w:rsidRPr="00C22C49" w:rsidRDefault="00044D0D" w:rsidP="00044D0D">
      <w:r w:rsidRPr="00C22C49">
        <w:t xml:space="preserve">Динаміка обсягів утворення </w:t>
      </w:r>
      <w:r w:rsidR="0058773D" w:rsidRPr="00C22C49">
        <w:t xml:space="preserve">побутових відходів </w:t>
      </w:r>
      <w:r w:rsidRPr="00C22C49">
        <w:t xml:space="preserve">в інших групах адміністративних районів теж негативна, за винятком групи 75-100 тис. т, яка та міста Києва. </w:t>
      </w:r>
    </w:p>
    <w:p w14:paraId="0896BF75" w14:textId="77777777" w:rsidR="000F64A6" w:rsidRPr="00C22C49" w:rsidRDefault="00044D0D" w:rsidP="00044D0D">
      <w:r w:rsidRPr="00C22C49">
        <w:t>Дані тенденції доцільно враховувати при складанні регіональних та місцевих планів управління відходів та плануванні розміщення об'єктів управління відходами, насамперед полігонів та об'єктів термічного, механіко-біологічного оброблення та компостування і рециклінгу, а також розміщення  станцій перевантаж</w:t>
      </w:r>
      <w:r w:rsidR="00585AC4" w:rsidRPr="00C22C49">
        <w:t>ування відходів</w:t>
      </w:r>
      <w:r w:rsidRPr="00C22C49">
        <w:t xml:space="preserve"> та сортувальних ліній.</w:t>
      </w:r>
    </w:p>
    <w:p w14:paraId="0896BF78" w14:textId="77777777" w:rsidR="00287CFD" w:rsidRPr="00C22C49" w:rsidRDefault="00287CFD" w:rsidP="00287CFD">
      <w:r w:rsidRPr="00C22C49">
        <w:t xml:space="preserve">Аналіз кількості населення та обсягів утворюваних </w:t>
      </w:r>
      <w:r w:rsidR="00990C69" w:rsidRPr="00C22C49">
        <w:t>побутових відходів</w:t>
      </w:r>
      <w:r w:rsidRPr="00C22C49">
        <w:t xml:space="preserve"> в розрізі територіальних громад показує ще більш суттєві відмінності між ними, насамперед в регіональному плані, що пояснюється </w:t>
      </w:r>
      <w:r w:rsidR="00990C69" w:rsidRPr="00C22C49">
        <w:t>дисперсністю</w:t>
      </w:r>
      <w:r w:rsidRPr="00C22C49">
        <w:t xml:space="preserve"> розселення населення – великою кількістю сільських населених пунктів, особливо в центральних, північних та південних районах, що входять до складу територіальних громад, людність яких менша 100-250 осіб. Це суттєво впливатиме на організацію системи управління відходами та якість надаваних послуг мешканцям цих сіл.</w:t>
      </w:r>
    </w:p>
    <w:p w14:paraId="0896BF79" w14:textId="77777777" w:rsidR="00287CFD" w:rsidRPr="00C22C49" w:rsidRDefault="00287CFD" w:rsidP="00287CFD">
      <w:r w:rsidRPr="00C22C49">
        <w:t>Графічно дані тенденції відображені діаграмою, яка показує, що в 79,05% територіальних громад людністю до 25 тис. осіб проживає лише 29,82% населення. В 17,69% територіальних громад людністю від 25 до 100 тис. осіб проживає більше четвертини населення країни (26,02%).  Основна маса населення (44,17%) проживає в міських територіальних громадах людністю понад 100 тис. осіб (3,27%), що свідчить про досить високий рівень урбанізованості.</w:t>
      </w:r>
    </w:p>
    <w:p w14:paraId="0896BF7A" w14:textId="77777777" w:rsidR="00AA42C2" w:rsidRPr="00C22C49" w:rsidRDefault="00287CFD" w:rsidP="00287CFD">
      <w:r w:rsidRPr="00C22C49">
        <w:t xml:space="preserve">В плановому періоді ситуація ще більше ускладниться, оскільки за рахунок природного приросту та внутрішньої і зовнішньої міграції суттєво зросте кількість територіальних громад людністю до 5, 10, 25 тис. осіб, що вимагатиме додаткового фінансування сфери управління відходами, оскільки суттєво зростуть витрати на логістику та організацію роздільного збирання і оброблення відходів. </w:t>
      </w:r>
    </w:p>
    <w:p w14:paraId="0896BF7B" w14:textId="4DE364F8" w:rsidR="00287CFD" w:rsidRPr="00C22C49" w:rsidRDefault="00287CFD" w:rsidP="00287CFD"/>
    <w:p w14:paraId="0896BF7D" w14:textId="409276C6" w:rsidR="00287CFD" w:rsidRPr="00C22C49" w:rsidRDefault="00287CFD" w:rsidP="00287CFD">
      <w:r w:rsidRPr="00C22C49">
        <w:t xml:space="preserve">Суттєвою проблемою для територіальних громад є наявність стихійних та несанкціонованих сміттєзвалищ фактично в кожному сільському населеному пункті. Враховуючи те, що до складу </w:t>
      </w:r>
      <w:r w:rsidR="00FE1A24">
        <w:t>територіальної громади</w:t>
      </w:r>
      <w:r w:rsidR="00FE1A24" w:rsidRPr="00C22C49">
        <w:t xml:space="preserve"> </w:t>
      </w:r>
      <w:r w:rsidRPr="00C22C49">
        <w:t>входить від 5 до 50 сільських населених пунктів, питання фінансування їх ліквідації коштом місцевих бюджетів є нереальним, потрібні інші фінансові механізми їх вирішення.</w:t>
      </w:r>
    </w:p>
    <w:p w14:paraId="0896BF7E" w14:textId="77777777" w:rsidR="0045399B" w:rsidRPr="00C22C49" w:rsidRDefault="00287CFD" w:rsidP="00287CFD">
      <w:r w:rsidRPr="00C22C49">
        <w:t>Варіантом вирішення вказаних проблем управління відходами в територіальних громадах є впровадження механізму регіонального поділу на кластери та співробітництва територіальних громад, а також залучення міжнародної технічної та фінансової допомоги для досягнення цілей сталого розвитку територій.</w:t>
      </w:r>
    </w:p>
    <w:p w14:paraId="0896BF7F" w14:textId="714A7B6E" w:rsidR="005242F1" w:rsidRPr="00C22C49" w:rsidRDefault="005242F1" w:rsidP="005242F1">
      <w:r w:rsidRPr="00C22C49">
        <w:t>Загальні капітальні витрати (будівництво та рекультивація існуючих полігонів і звалищ, будівництво об’єктів термічного та механіко-біологічного оброблення та компостування з дільницями відновлення та видалення будівельних відходів, рециклінгу та відновлення відходів, сортувально-перевантажувальних станцій</w:t>
      </w:r>
      <w:r w:rsidR="002A2809">
        <w:t xml:space="preserve"> для</w:t>
      </w:r>
      <w:r w:rsidRPr="00C22C49">
        <w:t xml:space="preserve"> </w:t>
      </w:r>
      <w:r w:rsidR="00D84FEA" w:rsidRPr="00D84FEA">
        <w:t>побутових відходів</w:t>
      </w:r>
      <w:r w:rsidRPr="00C22C49">
        <w:t xml:space="preserve">, </w:t>
      </w:r>
      <w:r w:rsidR="00453604" w:rsidRPr="00C22C49">
        <w:t>центрів</w:t>
      </w:r>
      <w:r w:rsidRPr="00C22C49">
        <w:t xml:space="preserve"> для роздільного збирання побутових та великогабаритних відходів, в т. ч і небезпечних, що містяться у складі </w:t>
      </w:r>
      <w:r w:rsidR="002A2809" w:rsidRPr="002A2809">
        <w:t>побутових відходів</w:t>
      </w:r>
      <w:r w:rsidRPr="00C22C49">
        <w:t>, придбання контейнерів і транспортних засобів тощо) оцінюються у 4,6 млрд. Євро.</w:t>
      </w:r>
    </w:p>
    <w:p w14:paraId="0896BF80" w14:textId="77777777" w:rsidR="005242F1" w:rsidRPr="00C22C49" w:rsidRDefault="005242F1" w:rsidP="005242F1">
      <w:r w:rsidRPr="00C22C49">
        <w:t xml:space="preserve">Операційні витрати, а саме: збирання, сортування, експлуатація об’єктів на плановий період до 2035 р. оцінюються приблизно у 6,6 млрд Євро. </w:t>
      </w:r>
    </w:p>
    <w:p w14:paraId="0896BF81" w14:textId="77777777" w:rsidR="005242F1" w:rsidRPr="00C22C49" w:rsidRDefault="005242F1" w:rsidP="005242F1">
      <w:r w:rsidRPr="00C22C49">
        <w:t>Повне відшкодування прогнозованих капітальних та операційних витрат обсягом приблизно у 11,2 млрд. Євро планується за принципом «забруднювач платить», тобт</w:t>
      </w:r>
      <w:r w:rsidR="00AB4D92" w:rsidRPr="00C22C49">
        <w:t>о</w:t>
      </w:r>
      <w:r w:rsidRPr="00C22C49">
        <w:t xml:space="preserve"> утворювачами відходів – домогосподарствами, бюджетною сферою та комерційними/промисловими підприємствами. Існуюча на даний час система </w:t>
      </w:r>
      <w:r w:rsidR="0075156D" w:rsidRPr="00C22C49">
        <w:t xml:space="preserve">потребує </w:t>
      </w:r>
      <w:r w:rsidR="00E462CD" w:rsidRPr="00C22C49">
        <w:t xml:space="preserve">вдосконалення і </w:t>
      </w:r>
      <w:r w:rsidRPr="00C22C49">
        <w:t>розміри оплати вартості наданих послуг з управління відходами домогосподарствам, бюджетн</w:t>
      </w:r>
      <w:r w:rsidR="001E57A6" w:rsidRPr="00C22C49">
        <w:t>ій</w:t>
      </w:r>
      <w:r w:rsidRPr="00C22C49">
        <w:t xml:space="preserve"> сфер</w:t>
      </w:r>
      <w:r w:rsidR="001E57A6" w:rsidRPr="00C22C49">
        <w:t>і</w:t>
      </w:r>
      <w:r w:rsidRPr="00C22C49">
        <w:t xml:space="preserve"> та комерційним/промисловим підприємствами, має бути суттєво підвищен</w:t>
      </w:r>
      <w:r w:rsidR="00F66A7D" w:rsidRPr="00C22C49">
        <w:t>ий</w:t>
      </w:r>
      <w:r w:rsidRPr="00C22C49">
        <w:t xml:space="preserve"> в плановому періоді</w:t>
      </w:r>
      <w:r w:rsidR="001E57A6" w:rsidRPr="00C22C49">
        <w:t xml:space="preserve"> для забезпечення повного покриття витрат</w:t>
      </w:r>
      <w:r w:rsidRPr="00C22C49">
        <w:t xml:space="preserve">. Впровадження схеми розширеної відповідальності виробника для відходів упаковки повинно покривати витрати на її роздільне збирання і сортування за рахунок поєднання доходів від продажу </w:t>
      </w:r>
      <w:r w:rsidR="00931058" w:rsidRPr="00C22C49">
        <w:t>ресурсоцінних компонентів</w:t>
      </w:r>
      <w:r w:rsidRPr="00C22C49">
        <w:t xml:space="preserve"> та схеми РВВ. </w:t>
      </w:r>
    </w:p>
    <w:p w14:paraId="0896BF82" w14:textId="77777777" w:rsidR="008E46C6" w:rsidRPr="00C22C49" w:rsidRDefault="005242F1" w:rsidP="005242F1">
      <w:r w:rsidRPr="00C22C49">
        <w:t>На даний час в України середній тариф для населення, бюджетної сфери та комерційних/ промислових підприємств на послуги з управління побутовими формувався лише з оплати вартості збирання та вивезення відходів і їх остаточного видалення на полігоні або сміттєзвалищі (спалюванні в м. Києві). В середньому вартість надаваних послуг складає 7-15 Євро на рік на одного мешканця. Це становить 0,32 до 0,73% від середньорічного наявного доходу на одну особу. Попередня оцінка реалізації інвестиційних витрат показала, що загальні витрати зростуть в середньому до 1,7% від середнього річного доходу на одне домогосподарство в Україні (знаходитимуться в діапазоні від 1,34% до 1,92%). Тобто тарифи для споживачів мають суттєво підвищитись, і все ще залишатись в прийнятних межах цінової доступності.</w:t>
      </w:r>
    </w:p>
    <w:p w14:paraId="0896BF83" w14:textId="77777777" w:rsidR="00C112E0" w:rsidRPr="00C22C49" w:rsidRDefault="00C112E0" w:rsidP="00B64E6C">
      <w:pPr>
        <w:pStyle w:val="30"/>
      </w:pPr>
      <w:bookmarkStart w:id="37" w:name="_Toc151583271"/>
      <w:r w:rsidRPr="00C22C49">
        <w:t>Розташування об’єктів оброблення відходів та їх планована потужність</w:t>
      </w:r>
      <w:bookmarkEnd w:id="37"/>
    </w:p>
    <w:p w14:paraId="0896BF84" w14:textId="77777777" w:rsidR="007944E3" w:rsidRPr="00C22C49" w:rsidRDefault="0058773D">
      <w:pPr>
        <w:pStyle w:val="Heading4boldRED"/>
        <w:rPr>
          <w:lang w:val="uk-UA"/>
        </w:rPr>
      </w:pPr>
      <w:r w:rsidRPr="00C22C49">
        <w:rPr>
          <w:lang w:val="uk-UA"/>
        </w:rPr>
        <w:t>Планування та оптимізація інфраструктури/об’єктів управління побутовими відходами</w:t>
      </w:r>
    </w:p>
    <w:p w14:paraId="0896BF85" w14:textId="77777777" w:rsidR="007944E3" w:rsidRPr="00C22C49" w:rsidRDefault="008D6220">
      <w:pPr>
        <w:pStyle w:val="REDBoldonly"/>
        <w:rPr>
          <w:rStyle w:val="affe"/>
          <w:b w:val="0"/>
          <w:iCs w:val="0"/>
        </w:rPr>
      </w:pPr>
      <w:r w:rsidRPr="00C22C49">
        <w:rPr>
          <w:rStyle w:val="affe"/>
          <w:iCs w:val="0"/>
        </w:rPr>
        <w:t>Контейнерний та транспортний парк</w:t>
      </w:r>
    </w:p>
    <w:p w14:paraId="0896BF86" w14:textId="516E2CE3" w:rsidR="002160FF" w:rsidRPr="00C22C49" w:rsidRDefault="008D6220" w:rsidP="008D6220">
      <w:r w:rsidRPr="00C22C49">
        <w:t>Збільшення обсягів роздільного збирання ресурсоцінних компонентів, особливо у великих та малих містах України шляхом забезпечення спеціально виділених контейнерів для окремого збирання трьох сухих фракцій (паперу, пластику з металами та скла) потребуватиме додатково 100 тис. контейнерів місткістю 1,1 м3 і 650 додаткових транспортних засобів для збирання, а також роздільного збирання за допомогою спеціальних транспортних засобів, в т.ч. для мобільного збирання небезпечних відходів у с</w:t>
      </w:r>
      <w:r w:rsidR="0041019E" w:rsidRPr="00C22C49">
        <w:t>к</w:t>
      </w:r>
      <w:r w:rsidRPr="00C22C49">
        <w:t xml:space="preserve">ладі </w:t>
      </w:r>
      <w:r w:rsidR="00F1370B" w:rsidRPr="00F1370B">
        <w:t>побутових відходів</w:t>
      </w:r>
      <w:r w:rsidRPr="00C22C49">
        <w:t xml:space="preserve">, та 100 тис. контейнерів місткістю 1,1 м3, і 750 додаткових транспортних засобів для вивезення </w:t>
      </w:r>
      <w:r w:rsidR="00856A70" w:rsidRPr="00C22C49">
        <w:t xml:space="preserve">змішаних побутових </w:t>
      </w:r>
      <w:r w:rsidRPr="00C22C49">
        <w:t>відходів з метою збільшення охоплення послугами населення. Індикативна вартісна оцінка реалізації цього заходу становить 200 млн. Євро.</w:t>
      </w:r>
    </w:p>
    <w:p w14:paraId="0896BF87" w14:textId="77777777" w:rsidR="007944E3" w:rsidRPr="00C22C49" w:rsidRDefault="000B623A">
      <w:pPr>
        <w:pStyle w:val="REDBoldonly"/>
        <w:rPr>
          <w:rStyle w:val="affe"/>
          <w:b w:val="0"/>
          <w:iCs w:val="0"/>
        </w:rPr>
      </w:pPr>
      <w:r w:rsidRPr="00C22C49">
        <w:rPr>
          <w:rStyle w:val="affe"/>
          <w:iCs w:val="0"/>
        </w:rPr>
        <w:t>Сортувально-перевантажувальні станції</w:t>
      </w:r>
    </w:p>
    <w:p w14:paraId="0896BF88" w14:textId="77777777" w:rsidR="002E6F7D" w:rsidRPr="00C22C49" w:rsidRDefault="002E6F7D" w:rsidP="002E6F7D">
      <w:r w:rsidRPr="00C22C49">
        <w:t xml:space="preserve">В процесі скорочення кількості полігонів та впровадження роздільного збирання по всій території України мають бути створені комплекси, що </w:t>
      </w:r>
      <w:r w:rsidR="00C56044" w:rsidRPr="00C22C49">
        <w:t xml:space="preserve">складатимуться з </w:t>
      </w:r>
      <w:r w:rsidRPr="00C22C49">
        <w:t xml:space="preserve">сортувальної лінії та перевантажувальної станції. </w:t>
      </w:r>
    </w:p>
    <w:p w14:paraId="0896BF89" w14:textId="77777777" w:rsidR="002E6F7D" w:rsidRPr="00C22C49" w:rsidRDefault="002E6F7D" w:rsidP="002E6F7D">
      <w:r w:rsidRPr="00C22C49">
        <w:t>Роздільно зібрані відходи після сортування відправлятимуться на підприємства</w:t>
      </w:r>
      <w:r w:rsidR="00C56044" w:rsidRPr="00C22C49">
        <w:t xml:space="preserve"> з рециклінгу</w:t>
      </w:r>
      <w:r w:rsidRPr="00C22C49">
        <w:t xml:space="preserve">, а змішані відходи проходитимуть процес сепарування (відокремлення органічної фракції) та металів і направлятимуться для подальшого </w:t>
      </w:r>
      <w:r w:rsidR="000508E3" w:rsidRPr="00C22C49">
        <w:t>відновлення</w:t>
      </w:r>
      <w:r w:rsidRPr="00C22C49">
        <w:t xml:space="preserve"> на комплекси МБТ або видалення. </w:t>
      </w:r>
    </w:p>
    <w:p w14:paraId="0896BF8A" w14:textId="0ABCD91C" w:rsidR="002E6F7D" w:rsidRPr="00C22C49" w:rsidRDefault="002E6F7D" w:rsidP="002E6F7D">
      <w:r w:rsidRPr="00C22C49">
        <w:t xml:space="preserve">Сортувально-перевантажувальні станції доцільно будувати тільки там, де вони допоможуть знизити загальні транспортні витрати на перевезення від місця утворення відходів до об'єктів з </w:t>
      </w:r>
      <w:r w:rsidR="000508E3" w:rsidRPr="00C22C49">
        <w:t>відновлення</w:t>
      </w:r>
      <w:r w:rsidRPr="00C22C49">
        <w:t xml:space="preserve"> або видалення відходів в невеликих територіальних громадах. Зібрані сміттєвозами відходи перевантажуються у спеціальні транспортні засоби з об’ємом кузова до 100 м</w:t>
      </w:r>
      <w:r w:rsidRPr="00C22C49">
        <w:rPr>
          <w:vertAlign w:val="superscript"/>
        </w:rPr>
        <w:t>3</w:t>
      </w:r>
      <w:r w:rsidRPr="00C22C49">
        <w:t xml:space="preserve"> для подальшого перевезення на об'єкти </w:t>
      </w:r>
      <w:r w:rsidR="000508E3" w:rsidRPr="00C22C49">
        <w:t>відновлення</w:t>
      </w:r>
      <w:r w:rsidRPr="00C22C49">
        <w:t xml:space="preserve"> або видалення в радіусі 40-60 км. Для більш коротких відстаней або меншого району охоплення населених пунктів, економічно вигідніше перевозити відходи безпосередньо транспортними засобами </w:t>
      </w:r>
      <w:r w:rsidR="00A5043E" w:rsidRPr="00C22C49">
        <w:t>у які їх було</w:t>
      </w:r>
      <w:r w:rsidRPr="00C22C49">
        <w:t xml:space="preserve"> з</w:t>
      </w:r>
      <w:r w:rsidR="00A5043E" w:rsidRPr="00C22C49">
        <w:t>ібрано</w:t>
      </w:r>
      <w:r w:rsidRPr="00C22C49">
        <w:t>. На території цих об’єктів доцільно розмістити площадки для роздільного збирання</w:t>
      </w:r>
      <w:r w:rsidR="00A5043E" w:rsidRPr="00C22C49">
        <w:t xml:space="preserve"> окремих компонентів</w:t>
      </w:r>
      <w:r w:rsidRPr="00C22C49">
        <w:t xml:space="preserve"> побутових</w:t>
      </w:r>
      <w:r w:rsidR="00A5043E" w:rsidRPr="00C22C49">
        <w:t xml:space="preserve"> відходів</w:t>
      </w:r>
      <w:r w:rsidR="007D1692" w:rsidRPr="00C22C49">
        <w:t>:</w:t>
      </w:r>
      <w:r w:rsidRPr="00C22C49">
        <w:t xml:space="preserve"> шин, олив та небезпечних відходів у складі </w:t>
      </w:r>
      <w:r w:rsidR="00F1370B" w:rsidRPr="00F1370B">
        <w:t>побутових відходів</w:t>
      </w:r>
      <w:r w:rsidRPr="00C22C49">
        <w:t>, а також площадки оброблення будівельних відходів та площадки компостування.</w:t>
      </w:r>
    </w:p>
    <w:p w14:paraId="0896BF8B" w14:textId="77777777" w:rsidR="00930681" w:rsidRPr="00C22C49" w:rsidRDefault="002E6F7D" w:rsidP="002E6F7D">
      <w:r w:rsidRPr="00C22C49">
        <w:t>Визначення потреб у перевантажувальних станціях проводитися на основі техніко-економічного обґрунтування в кожному конкретному випадку в кожному районі охоплення послугами. Орієнтовно кількість таких об’єктів сортування та перевантаження складатиме близько 200 одиниць потужністю до 25 тис. т/рік, загальна вартість яких складатиме 253,0 млн. Євро.</w:t>
      </w:r>
    </w:p>
    <w:p w14:paraId="0896BF8C" w14:textId="77777777" w:rsidR="007944E3" w:rsidRPr="00C22C49" w:rsidRDefault="002A607A">
      <w:pPr>
        <w:pStyle w:val="REDBoldonly"/>
        <w:rPr>
          <w:rStyle w:val="affe"/>
          <w:b w:val="0"/>
          <w:iCs w:val="0"/>
        </w:rPr>
      </w:pPr>
      <w:r w:rsidRPr="00C22C49">
        <w:rPr>
          <w:rStyle w:val="affe"/>
          <w:iCs w:val="0"/>
        </w:rPr>
        <w:t>Об’єкти рециклінгу відходів</w:t>
      </w:r>
    </w:p>
    <w:p w14:paraId="0896BF8D" w14:textId="77777777" w:rsidR="00930681" w:rsidRPr="00C22C49" w:rsidRDefault="002A607A" w:rsidP="002A607A">
      <w:r w:rsidRPr="00C22C49">
        <w:t xml:space="preserve">На даний час в Україні діє 91 підприємство, що займаються </w:t>
      </w:r>
      <w:r w:rsidR="008F536B" w:rsidRPr="00C22C49">
        <w:t>рециклінгом</w:t>
      </w:r>
      <w:r w:rsidRPr="00C22C49">
        <w:t xml:space="preserve"> відходів:</w:t>
      </w:r>
      <w:r w:rsidR="00341131" w:rsidRPr="00C22C49">
        <w:t xml:space="preserve"> </w:t>
      </w:r>
      <w:r w:rsidRPr="00C22C49">
        <w:t xml:space="preserve">17 підприємств з переробки макулатури, 39 – з переробки полімерів, 19 – з переробки пластикових пляшок, 16 – з переробки склобою. Однак їхні потужності задіяні на 50-70% через дефіцит вторинної сировини на внутрішньому ринку, яка покривається за рахунок </w:t>
      </w:r>
      <w:r w:rsidR="009C17FE" w:rsidRPr="00C22C49">
        <w:t>купівлі</w:t>
      </w:r>
      <w:r w:rsidRPr="00C22C49">
        <w:t xml:space="preserve"> з</w:t>
      </w:r>
      <w:r w:rsidR="009C17FE" w:rsidRPr="00C22C49">
        <w:t>-з</w:t>
      </w:r>
      <w:r w:rsidRPr="00C22C49">
        <w:t>а кордон</w:t>
      </w:r>
      <w:r w:rsidR="009C17FE" w:rsidRPr="00C22C49">
        <w:t>у</w:t>
      </w:r>
      <w:r w:rsidRPr="00C22C49">
        <w:t xml:space="preserve">. Отримувана галуззю вітчизняна вторинна сировина досить низької якості через безвідповідальне </w:t>
      </w:r>
      <w:r w:rsidR="009C17FE" w:rsidRPr="00C22C49">
        <w:t>управління</w:t>
      </w:r>
      <w:r w:rsidRPr="00C22C49">
        <w:t xml:space="preserve"> відходами, насамперед упаковки. Впровадження принципу розширеної відповідальності виробника повинно забезпечити реальну, а не формальну відповідальність виробника упаковки та забезпечувати повний цикл її </w:t>
      </w:r>
      <w:r w:rsidR="009C17FE" w:rsidRPr="00C22C49">
        <w:t>оброблення</w:t>
      </w:r>
      <w:r w:rsidRPr="00C22C49">
        <w:t xml:space="preserve"> на території України. Законодавство має встановити можливість монетизації сфери рециклінгу, що сприятиме створенню сортувальних та об’єктів</w:t>
      </w:r>
      <w:r w:rsidR="002B4C3E" w:rsidRPr="00C22C49">
        <w:t xml:space="preserve"> з відновлення</w:t>
      </w:r>
      <w:r w:rsidRPr="00C22C49">
        <w:t>, які забезп</w:t>
      </w:r>
      <w:r w:rsidR="002B4C3E" w:rsidRPr="00C22C49">
        <w:t xml:space="preserve">ечуватимуть ринок </w:t>
      </w:r>
      <w:r w:rsidRPr="00C22C49">
        <w:t>достатньою кількістю якісної сировини, що сприятиме покращенню стану довкілля.</w:t>
      </w:r>
    </w:p>
    <w:p w14:paraId="0896BF8E" w14:textId="77777777" w:rsidR="000479A8" w:rsidRPr="00C22C49" w:rsidRDefault="0058773D" w:rsidP="000479A8">
      <w:pPr>
        <w:rPr>
          <w:rStyle w:val="affe"/>
          <w:b/>
          <w:bCs/>
        </w:rPr>
      </w:pPr>
      <w:r w:rsidRPr="00C22C49">
        <w:rPr>
          <w:rStyle w:val="affe"/>
          <w:b/>
          <w:bCs/>
        </w:rPr>
        <w:t>Об’єкти відновлення матеріалів (material recovery facility)</w:t>
      </w:r>
    </w:p>
    <w:p w14:paraId="0896BF8F" w14:textId="77777777" w:rsidR="000479A8" w:rsidRPr="00C22C49" w:rsidRDefault="0058773D" w:rsidP="000479A8">
      <w:r w:rsidRPr="00C22C49">
        <w:t>Об’єкти відновлення матеріалів здійснюють приймання, оброблення сортування, та зберігання окремо зібраних або змішаних матеріалів, придатних для відправлення та продажу кінцевим споживачам.</w:t>
      </w:r>
      <w:r w:rsidR="000479A8" w:rsidRPr="00C22C49">
        <w:t xml:space="preserve"> </w:t>
      </w:r>
    </w:p>
    <w:p w14:paraId="0896BF90" w14:textId="77777777" w:rsidR="000479A8" w:rsidRPr="00C22C49" w:rsidRDefault="000479A8" w:rsidP="000479A8">
      <w:r w:rsidRPr="00C22C49">
        <w:t xml:space="preserve">Основна функція таких об’єктів полягає в тому, щоб максимізувати кількість вторинної сировини, що </w:t>
      </w:r>
      <w:r w:rsidR="002B4C3E" w:rsidRPr="00C22C49">
        <w:t>піддається рециклінгу</w:t>
      </w:r>
      <w:r w:rsidRPr="00C22C49">
        <w:t>, одночасно виробляючи матеріали, які принесуть максимально можливий дохід на ринку. Об’єкти відновлення матеріалів можуть функціонувати для перероб</w:t>
      </w:r>
      <w:r w:rsidR="007118C0" w:rsidRPr="00C22C49">
        <w:t>лення</w:t>
      </w:r>
      <w:r w:rsidRPr="00C22C49">
        <w:t xml:space="preserve"> відходів у сировину для біологічного перетворення або в джерело палива для виробництва енергії.</w:t>
      </w:r>
    </w:p>
    <w:p w14:paraId="0896BF91" w14:textId="77777777" w:rsidR="000479A8" w:rsidRPr="00C22C49" w:rsidRDefault="000479A8" w:rsidP="000479A8">
      <w:r w:rsidRPr="00C22C49">
        <w:t>ОВМ служать проміжним етапом обробки між зб</w:t>
      </w:r>
      <w:r w:rsidR="00BA5C48" w:rsidRPr="00C22C49">
        <w:t>иранням</w:t>
      </w:r>
      <w:r w:rsidRPr="00C22C49">
        <w:t xml:space="preserve"> вторинної сировини від </w:t>
      </w:r>
      <w:r w:rsidR="00BA5C48" w:rsidRPr="00C22C49">
        <w:t xml:space="preserve">утворювачів </w:t>
      </w:r>
      <w:r w:rsidRPr="00C22C49">
        <w:t>відходів і продаж</w:t>
      </w:r>
      <w:r w:rsidR="00BA5C48" w:rsidRPr="00C22C49">
        <w:t>о</w:t>
      </w:r>
      <w:r w:rsidRPr="00C22C49">
        <w:t>м</w:t>
      </w:r>
      <w:r w:rsidR="00BA5C48" w:rsidRPr="00C22C49">
        <w:t xml:space="preserve"> як</w:t>
      </w:r>
      <w:r w:rsidRPr="00C22C49">
        <w:t xml:space="preserve"> вторинної сировини на ринку для використання у виробництві нових продуктів і можуть бути як у державній (</w:t>
      </w:r>
      <w:r w:rsidR="00505C0C" w:rsidRPr="00C22C49">
        <w:t>комунальній</w:t>
      </w:r>
      <w:r w:rsidRPr="00C22C49">
        <w:t>) так і в приватній власності, або в управлінні.</w:t>
      </w:r>
    </w:p>
    <w:p w14:paraId="0896BF92" w14:textId="77777777" w:rsidR="000479A8" w:rsidRPr="00C22C49" w:rsidRDefault="000479A8" w:rsidP="000479A8">
      <w:r w:rsidRPr="00C22C49">
        <w:t>Оптимальним варіантом є створення територіальних громадах невеликих ОВМ, які обробляють щоденно до 10 тон вторинної сировині розміщуються на площі до 1000 м</w:t>
      </w:r>
      <w:r w:rsidRPr="00C22C49">
        <w:rPr>
          <w:vertAlign w:val="superscript"/>
        </w:rPr>
        <w:t>2</w:t>
      </w:r>
      <w:r w:rsidRPr="00C22C49">
        <w:t>. Орієнтовні загальні капітальні витрати на будівництво об’єкта можуть становити від 400 до 800 тис. Євро. Різниця у вартості пов’язана з використаними будівельними матеріалами, придбанням та підготовкою ділянки, розмірами та придбанням високотехнологічного обладнання.</w:t>
      </w:r>
    </w:p>
    <w:p w14:paraId="0896BF93" w14:textId="77777777" w:rsidR="00930681" w:rsidRPr="00C22C49" w:rsidRDefault="000479A8" w:rsidP="000479A8">
      <w:r w:rsidRPr="00C22C49">
        <w:t xml:space="preserve">Великі ОВМ мають потужності, що дають змогу обробляти понад 100 тон на день, </w:t>
      </w:r>
      <w:r w:rsidR="00D61CAC" w:rsidRPr="00C22C49">
        <w:t xml:space="preserve">їх доцільно </w:t>
      </w:r>
      <w:r w:rsidRPr="00C22C49">
        <w:t>розмі</w:t>
      </w:r>
      <w:r w:rsidR="00D61CAC" w:rsidRPr="00C22C49">
        <w:t>стити</w:t>
      </w:r>
      <w:r w:rsidRPr="00C22C49">
        <w:t xml:space="preserve"> у великих містах. Вони оснащуються високоавтоматизованим обладнанням і для їх будівництва необхідно від 2000 до 5000 млн. Євро.</w:t>
      </w:r>
    </w:p>
    <w:p w14:paraId="0896BF94" w14:textId="77777777" w:rsidR="008C3DAD" w:rsidRPr="00C22C49" w:rsidRDefault="008C3DAD" w:rsidP="005502D0">
      <w:pPr>
        <w:pStyle w:val="REDBoldonly"/>
        <w:rPr>
          <w:rStyle w:val="affe"/>
          <w:iCs w:val="0"/>
        </w:rPr>
      </w:pPr>
      <w:r w:rsidRPr="00C22C49">
        <w:rPr>
          <w:rStyle w:val="affe"/>
          <w:iCs w:val="0"/>
        </w:rPr>
        <w:t>Об’єкти компостування відходів</w:t>
      </w:r>
    </w:p>
    <w:p w14:paraId="0896BF95" w14:textId="77777777" w:rsidR="008C3DAD" w:rsidRPr="00C22C49" w:rsidRDefault="008C3DAD" w:rsidP="008C3DAD">
      <w:r w:rsidRPr="00C22C49">
        <w:t>У проєктах регіональних планів було заплановано більше 110 установок та ділянок для компостування.</w:t>
      </w:r>
    </w:p>
    <w:p w14:paraId="0896BF96" w14:textId="370A7479" w:rsidR="008C3DAD" w:rsidRPr="004045B6" w:rsidRDefault="008C3DAD" w:rsidP="008C3DAD">
      <w:r w:rsidRPr="00C22C49">
        <w:t xml:space="preserve">НПУВ пропонується включити будівництво об’єктів для компостування відходів в територіальних громадах </w:t>
      </w:r>
      <w:r w:rsidR="00321FC5" w:rsidRPr="00C22C49">
        <w:t>(</w:t>
      </w:r>
      <w:r w:rsidRPr="00C22C49">
        <w:t>або їх об’єднанн</w:t>
      </w:r>
      <w:r w:rsidR="00794D49" w:rsidRPr="00C22C49">
        <w:t>ь</w:t>
      </w:r>
      <w:r w:rsidRPr="00C22C49">
        <w:t xml:space="preserve"> </w:t>
      </w:r>
      <w:r w:rsidR="00F27274" w:rsidRPr="00C22C49">
        <w:t>в результаті підписання договорів про співро</w:t>
      </w:r>
      <w:r w:rsidR="00321FC5" w:rsidRPr="00C22C49">
        <w:t xml:space="preserve">бітництво) </w:t>
      </w:r>
      <w:r w:rsidRPr="00C22C49">
        <w:t>з чисельністю населення від 100 тис. мешканців із середньою оптимальною потужністю 5 тис. готового компосту на рік у складі комплексів механіко-біологічного оброблення відходів або регіональних центрів роздільного збирання відходів. Такий підхід суттєво скорить процес їх про</w:t>
      </w:r>
      <w:r w:rsidR="00321FC5" w:rsidRPr="00C22C49">
        <w:t>є</w:t>
      </w:r>
      <w:r w:rsidRPr="00C22C49">
        <w:t>ктування та будівництва, оскільки зникне потр</w:t>
      </w:r>
      <w:r w:rsidR="00321FC5" w:rsidRPr="00C22C49">
        <w:t>е</w:t>
      </w:r>
      <w:r w:rsidRPr="00C22C49">
        <w:t>ба в процедурах відведення земельних ділянок та розроб</w:t>
      </w:r>
      <w:r w:rsidR="00321FC5" w:rsidRPr="00C22C49">
        <w:t>лення</w:t>
      </w:r>
      <w:r w:rsidRPr="00C22C49">
        <w:t xml:space="preserve"> і погодження проектної документації, а також суттєво скоротяться логістичні та експлуатаційні витрати. Позитивний досвід такого про</w:t>
      </w:r>
      <w:r w:rsidR="00912216" w:rsidRPr="00C22C49">
        <w:t>є</w:t>
      </w:r>
      <w:r w:rsidRPr="00C22C49">
        <w:t>кту є у м. Львові</w:t>
      </w:r>
      <w:r w:rsidRPr="004045B6">
        <w:t>.</w:t>
      </w:r>
      <w:r w:rsidR="00E229DB" w:rsidRPr="004045B6">
        <w:t xml:space="preserve"> Здійснення компостування та вибір технології визначається регіональними та місцевими планами управління відходами. В громадах людністю 100тис. осіб – доцільно здійснювати компостування на спеціалізованих компостних майданчиках, а в невеликих територіальних громадах – компостування в місцях видалення відходів в буртах або «рукавах»</w:t>
      </w:r>
      <w:r w:rsidR="00C85F8A" w:rsidRPr="004045B6">
        <w:t>.</w:t>
      </w:r>
    </w:p>
    <w:p w14:paraId="0896BF97" w14:textId="77777777" w:rsidR="008C3DAD" w:rsidRPr="00C22C49" w:rsidRDefault="008C3DAD" w:rsidP="008C3DAD">
      <w:r w:rsidRPr="00C22C49">
        <w:t xml:space="preserve">Компостування в домашніх умовах може здійснюватися лише мешканцями сільської місцевості та приміських районів великих і малих міст в рамках пілотних проектів, що супроводжуються інтенсивною інформаційною та </w:t>
      </w:r>
      <w:r w:rsidR="0014335E" w:rsidRPr="00C22C49">
        <w:t xml:space="preserve">освітньою </w:t>
      </w:r>
      <w:r w:rsidRPr="00C22C49">
        <w:t xml:space="preserve">кампанією в кожному окремому випадку. Успішна реалізація схеми домашнього компостування потребує значних зусиль з боку органів місцевого самоврядування щодо поширення інформації та підвищення обізнаності, а також щодо нагляду та контролю за використанням і ефективністю цієї схеми. </w:t>
      </w:r>
    </w:p>
    <w:p w14:paraId="0896BF98" w14:textId="272328CA" w:rsidR="008C3DAD" w:rsidRPr="00C22C49" w:rsidRDefault="008C3DAD" w:rsidP="008C3DAD">
      <w:r w:rsidRPr="00C22C49">
        <w:t xml:space="preserve">Враховуючи те, що 30,4% населення України проживає в сільській місцевості та а 24,6% - в малих містах за умови високого рівня ефективності використання охоплення схемою домашнього компостування забезпечить зниження на 2,5% загального обсягу утворення </w:t>
      </w:r>
      <w:r w:rsidR="00F1370B" w:rsidRPr="00F1370B">
        <w:t>побутових відходів</w:t>
      </w:r>
      <w:r w:rsidRPr="00C22C49">
        <w:t xml:space="preserve"> до 2035 р., що  потребує  2,6 мільйона компостерів із загальним обсягом витрат близько 105,0 млн Євро. Компостери не повинні видаватися безкоштовно - лише за пільговою ціною чи з знижкою, або закуповуються органами місцевого самоврядування. </w:t>
      </w:r>
    </w:p>
    <w:p w14:paraId="0896BF99" w14:textId="77777777" w:rsidR="002A607A" w:rsidRPr="00C22C49" w:rsidRDefault="008C3DAD" w:rsidP="008C3DAD">
      <w:r w:rsidRPr="00C22C49">
        <w:t>Операції компостування можуть застосовуватися центрами приймання/збирання відходів для оброблення окремо зібраних зелених відходів (садові відходи з домогосподарств, догляду за парками та садами). Компостування зелених відходів може здійснюватися на відкритому повітрі, оскільки запах біологічного оброблення цього матеріалу є мінімальним.</w:t>
      </w:r>
    </w:p>
    <w:p w14:paraId="0896BF9A" w14:textId="77777777" w:rsidR="00D3426F" w:rsidRPr="00C22C49" w:rsidRDefault="00D3426F" w:rsidP="005502D0">
      <w:pPr>
        <w:pStyle w:val="REDBoldonly"/>
        <w:rPr>
          <w:rStyle w:val="affe"/>
          <w:iCs w:val="0"/>
        </w:rPr>
      </w:pPr>
      <w:r w:rsidRPr="00C22C49">
        <w:rPr>
          <w:rStyle w:val="affe"/>
          <w:iCs w:val="0"/>
        </w:rPr>
        <w:t>Об’єкти механіко-біологічного оброблення</w:t>
      </w:r>
    </w:p>
    <w:p w14:paraId="0896BF9B" w14:textId="5FE67008" w:rsidR="00D3426F" w:rsidRPr="00C22C49" w:rsidRDefault="00D3426F" w:rsidP="00D3426F">
      <w:r w:rsidRPr="00C22C49">
        <w:t>У зв’язку з відсутністю на момент розроблення проєкт</w:t>
      </w:r>
      <w:r w:rsidR="008D5DBA" w:rsidRPr="00C22C49">
        <w:t>ів</w:t>
      </w:r>
      <w:r w:rsidRPr="00C22C49">
        <w:t xml:space="preserve"> </w:t>
      </w:r>
      <w:r w:rsidR="00423362">
        <w:t>р</w:t>
      </w:r>
      <w:r w:rsidR="00423362" w:rsidRPr="00423362">
        <w:t>егіональни</w:t>
      </w:r>
      <w:r w:rsidR="00423362">
        <w:t>х</w:t>
      </w:r>
      <w:r w:rsidR="00423362" w:rsidRPr="00423362">
        <w:t xml:space="preserve"> план</w:t>
      </w:r>
      <w:r w:rsidR="00423362">
        <w:t>ів</w:t>
      </w:r>
      <w:r w:rsidR="00423362" w:rsidRPr="00423362">
        <w:t xml:space="preserve"> управління відходами </w:t>
      </w:r>
      <w:r w:rsidR="00423362">
        <w:t>(</w:t>
      </w:r>
      <w:r w:rsidRPr="00C22C49">
        <w:t>РПУВ</w:t>
      </w:r>
      <w:r w:rsidR="00423362">
        <w:t>)</w:t>
      </w:r>
      <w:r w:rsidRPr="00C22C49">
        <w:t xml:space="preserve"> оновленої термінології управління відходами визначення запланованих об’єктів оброблення відходів різниться. Тому пропонується приведення у відповідність із новою термінологією ЗУ «Про управління відходами» назв запланованих до будівництва об’єктів.</w:t>
      </w:r>
    </w:p>
    <w:p w14:paraId="0896BF9C" w14:textId="77777777" w:rsidR="00D3426F" w:rsidRPr="00C22C49" w:rsidRDefault="00D3426F" w:rsidP="00D3426F">
      <w:r w:rsidRPr="00C22C49">
        <w:t>НПУВ пропонується будівництво 127 об’єктів механіко-біологічного оброблення (МБО) потужністю:</w:t>
      </w:r>
    </w:p>
    <w:p w14:paraId="0896BF9D" w14:textId="77777777" w:rsidR="00D3426F" w:rsidRPr="00C22C49" w:rsidRDefault="00D3426F" w:rsidP="00D3426F">
      <w:pPr>
        <w:pStyle w:val="BulletRED"/>
      </w:pPr>
      <w:r w:rsidRPr="00C22C49">
        <w:t>До 25 тис. т/рік в 24 адміністративних районах або охоплюватимуть територію 1162 територіальних громад (їх об’єднань) з чисельністю населення до 60 тис. мешканців</w:t>
      </w:r>
      <w:r w:rsidR="00794D49" w:rsidRPr="00C22C49">
        <w:t>.</w:t>
      </w:r>
    </w:p>
    <w:p w14:paraId="0896BF9E" w14:textId="77777777" w:rsidR="00D3426F" w:rsidRPr="00C22C49" w:rsidRDefault="00D3426F" w:rsidP="00D3426F">
      <w:pPr>
        <w:pStyle w:val="BulletRED"/>
      </w:pPr>
      <w:r w:rsidRPr="00C22C49">
        <w:t>До 50 тис. т/рік в 44 адміністративних районах або охоплюватимуть територію 203 територіальних громад (їх об’єднань) з чисельністю населення до 120 тис. мешканців</w:t>
      </w:r>
      <w:r w:rsidR="00794D49" w:rsidRPr="00C22C49">
        <w:t>.</w:t>
      </w:r>
    </w:p>
    <w:p w14:paraId="0896BF9F" w14:textId="77777777" w:rsidR="00D3426F" w:rsidRPr="00C22C49" w:rsidRDefault="00D3426F" w:rsidP="00D3426F">
      <w:pPr>
        <w:pStyle w:val="BulletRED"/>
      </w:pPr>
      <w:r w:rsidRPr="00C22C49">
        <w:t>До 75 тис. т/рік в 21 адміністративному районі або охоплюватимуть територію 57 територіальних громад (їх об’єднань) з чисельністю населення до 175 тис. мешканців</w:t>
      </w:r>
      <w:r w:rsidR="00794D49" w:rsidRPr="00C22C49">
        <w:t>.</w:t>
      </w:r>
    </w:p>
    <w:p w14:paraId="0896BFA0" w14:textId="77777777" w:rsidR="00D3426F" w:rsidRPr="00C22C49" w:rsidRDefault="00D3426F" w:rsidP="00D3426F">
      <w:pPr>
        <w:pStyle w:val="BulletRED"/>
      </w:pPr>
      <w:r w:rsidRPr="00C22C49">
        <w:t>До 100 тис. т/рік в 14 адміністративних районах або охоплюватимуть територію 17 територіальних громад (їх об’єднань) з чисельністю населення до 235 тис. мешканців</w:t>
      </w:r>
      <w:r w:rsidR="00794D49" w:rsidRPr="00C22C49">
        <w:t>.</w:t>
      </w:r>
    </w:p>
    <w:p w14:paraId="0896BFA1" w14:textId="77777777" w:rsidR="00D3426F" w:rsidRPr="00C22C49" w:rsidRDefault="00D3426F" w:rsidP="00D3426F">
      <w:pPr>
        <w:pStyle w:val="BulletRED"/>
      </w:pPr>
      <w:r w:rsidRPr="00C22C49">
        <w:t>До 150 тис. т/рік в 6 адміністративних районах або охоплюватимуть територію 23 територіальних громад (їх об’єднань) з чисельністю населення до 350 тис. мешканців</w:t>
      </w:r>
      <w:r w:rsidR="00794D49" w:rsidRPr="00C22C49">
        <w:t>.</w:t>
      </w:r>
    </w:p>
    <w:p w14:paraId="0896BFA2" w14:textId="77777777" w:rsidR="00D3426F" w:rsidRPr="00C22C49" w:rsidRDefault="00D3426F" w:rsidP="00D3426F">
      <w:pPr>
        <w:pStyle w:val="BulletRED"/>
      </w:pPr>
      <w:r w:rsidRPr="00C22C49">
        <w:t>До 200 тис. т/рік в 11 адміністративних районах з чисельністю населення до 350 тис. мешканців</w:t>
      </w:r>
      <w:r w:rsidR="00794D49" w:rsidRPr="00C22C49">
        <w:t>.</w:t>
      </w:r>
    </w:p>
    <w:p w14:paraId="0896BFA3" w14:textId="77777777" w:rsidR="00D3426F" w:rsidRPr="00C22C49" w:rsidRDefault="00D3426F" w:rsidP="00D3426F">
      <w:pPr>
        <w:pStyle w:val="BulletRED"/>
      </w:pPr>
      <w:r w:rsidRPr="00C22C49">
        <w:t>До 300 тис. т/рік в 1 адміністративному районі або охоплюватимуть територію 5 територіальних громад (їх об’єднань) з чисельністю населення 500 тис. мешканців</w:t>
      </w:r>
      <w:r w:rsidR="00794D49" w:rsidRPr="00C22C49">
        <w:t>.</w:t>
      </w:r>
    </w:p>
    <w:p w14:paraId="0896BFA4" w14:textId="77777777" w:rsidR="00D3426F" w:rsidRPr="00C22C49" w:rsidRDefault="00D3426F" w:rsidP="00D3426F">
      <w:pPr>
        <w:pStyle w:val="BulletRED"/>
      </w:pPr>
      <w:r w:rsidRPr="00C22C49">
        <w:t>До 400 і більше тис. т/рік в 5 адміністративних районах або охоплюватимуть територію 3 територіальних громад (їх об’єднань) з чисельністю населення до 1000 і більше  тис. мешканців</w:t>
      </w:r>
      <w:r w:rsidR="00794D49" w:rsidRPr="00C22C49">
        <w:t>.</w:t>
      </w:r>
    </w:p>
    <w:p w14:paraId="0896BFA5" w14:textId="77777777" w:rsidR="00D3426F" w:rsidRPr="00C22C49" w:rsidRDefault="009F49CA" w:rsidP="00D3426F">
      <w:r w:rsidRPr="00C22C49">
        <w:t>Після закінчення воєнного стану та при наявності обґрунтування у РПУВ</w:t>
      </w:r>
      <w:r w:rsidR="00D3426F" w:rsidRPr="00C22C49">
        <w:t xml:space="preserve"> необхід</w:t>
      </w:r>
      <w:r w:rsidRPr="00C22C49">
        <w:t>н</w:t>
      </w:r>
      <w:r w:rsidR="0041019E" w:rsidRPr="00C22C49">
        <w:t>е</w:t>
      </w:r>
      <w:r w:rsidR="00D3426F" w:rsidRPr="00C22C49">
        <w:t xml:space="preserve"> коригування</w:t>
      </w:r>
      <w:r w:rsidR="0041019E" w:rsidRPr="00C22C49">
        <w:t xml:space="preserve"> НПУВ</w:t>
      </w:r>
      <w:r w:rsidR="00D3426F" w:rsidRPr="00C22C49">
        <w:t>.</w:t>
      </w:r>
    </w:p>
    <w:p w14:paraId="0896BFA6" w14:textId="50B14C86" w:rsidR="002A607A" w:rsidRPr="00C22C49" w:rsidRDefault="00D3426F" w:rsidP="00D3426F">
      <w:r w:rsidRPr="00C22C49">
        <w:t>З метою оптимізації процесів відведення земельних ділянок та про</w:t>
      </w:r>
      <w:r w:rsidR="0041019E" w:rsidRPr="00C22C49">
        <w:t>є</w:t>
      </w:r>
      <w:r w:rsidRPr="00C22C49">
        <w:t xml:space="preserve">ктування і будівництва, також зниження логістичних витрат та зменшення навантаження на </w:t>
      </w:r>
      <w:r w:rsidR="0041019E" w:rsidRPr="00C22C49">
        <w:t>навколишнє</w:t>
      </w:r>
      <w:r w:rsidRPr="00C22C49">
        <w:t xml:space="preserve"> середовище доцільно на території об’єктів МБО розмістити площадки (центри) роздільного збирання побутових, </w:t>
      </w:r>
      <w:r w:rsidR="007B0DB8">
        <w:t>великогабаритних відходів</w:t>
      </w:r>
      <w:r w:rsidRPr="00C22C49">
        <w:t>, ВЕЕО, шин, олив</w:t>
      </w:r>
      <w:r w:rsidR="00AE796A" w:rsidRPr="00C22C49">
        <w:t>, текстилю</w:t>
      </w:r>
      <w:r w:rsidRPr="00C22C49">
        <w:t xml:space="preserve"> та небезпечних відходів у складі </w:t>
      </w:r>
      <w:r w:rsidR="00F1370B" w:rsidRPr="00F1370B">
        <w:t>побутових відходів</w:t>
      </w:r>
      <w:r w:rsidRPr="00C22C49">
        <w:t>, а також площадки оброблення будівельних відходів та площадки компостування. Розрахункова вартість проектування та будівництва комплексів механіко-біологічного оброблення  складає в середньому 150 Євро на тонну потужності. Сумарна вартість інвестицій в формування системи комплексів МБО</w:t>
      </w:r>
      <w:r w:rsidR="00F1370B">
        <w:t xml:space="preserve"> для</w:t>
      </w:r>
      <w:r w:rsidRPr="00C22C49">
        <w:t xml:space="preserve"> </w:t>
      </w:r>
      <w:r w:rsidR="00F1370B" w:rsidRPr="00F1370B">
        <w:t>побутових відходів</w:t>
      </w:r>
      <w:r w:rsidRPr="00C22C49">
        <w:t xml:space="preserve"> складе 781,0 тис. Євро.</w:t>
      </w:r>
      <w:r w:rsidR="00C22C49" w:rsidRPr="00C22C49">
        <w:t xml:space="preserve"> </w:t>
      </w:r>
    </w:p>
    <w:p w14:paraId="0896BFA7" w14:textId="77777777" w:rsidR="00CF6ACF" w:rsidRPr="00C22C49" w:rsidRDefault="00CF6ACF" w:rsidP="005502D0">
      <w:pPr>
        <w:pStyle w:val="REDBoldonly"/>
        <w:rPr>
          <w:rStyle w:val="affe"/>
          <w:iCs w:val="0"/>
        </w:rPr>
      </w:pPr>
      <w:r w:rsidRPr="00C22C49">
        <w:rPr>
          <w:rStyle w:val="affe"/>
          <w:iCs w:val="0"/>
        </w:rPr>
        <w:t>Об’єкти термічного оброблення</w:t>
      </w:r>
    </w:p>
    <w:p w14:paraId="0896BFA8" w14:textId="77777777" w:rsidR="00CF6ACF" w:rsidRPr="00C22C49" w:rsidRDefault="00CF6ACF" w:rsidP="00CF6ACF">
      <w:r w:rsidRPr="00C22C49">
        <w:t xml:space="preserve">У проєктах регіональних планів було заплановано будівництво об’єктів термічного оброблення відходів </w:t>
      </w:r>
      <w:r w:rsidRPr="00C22C49">
        <w:rPr>
          <w:b/>
        </w:rPr>
        <w:t>у 6 областях</w:t>
      </w:r>
      <w:r w:rsidRPr="00C22C49">
        <w:t xml:space="preserve"> </w:t>
      </w:r>
      <w:r w:rsidRPr="00C22C49">
        <w:rPr>
          <w:b/>
        </w:rPr>
        <w:t>Запорізькій, Дніпропетровській, Миколаївській, Полтавській, Тернопільській, Чернігівській та м. Київ</w:t>
      </w:r>
      <w:r w:rsidRPr="00C22C49">
        <w:t>. Аналіз динаміки та прогноз чисельності населення і обсягів утвор</w:t>
      </w:r>
      <w:r w:rsidR="00342CEB" w:rsidRPr="00C22C49">
        <w:t>ення</w:t>
      </w:r>
      <w:r w:rsidRPr="00C22C49">
        <w:t xml:space="preserve"> відходів мають стійку тенденцію на зменшення.</w:t>
      </w:r>
      <w:r w:rsidR="00342CEB" w:rsidRPr="00C22C49">
        <w:t xml:space="preserve"> </w:t>
      </w:r>
      <w:r w:rsidRPr="00C22C49">
        <w:t xml:space="preserve">Дотримання європейських показників з повторного використання та рециклінгу відходів, який для європейських країн становить 55% до 2025 року, обмежена можливість залучення інвестицій для будівництва сміттєспалювальних заводів, потребують перегляду доцільності їх будівництва у кожному конкретному випадку. Оптимальний варіант потужності сучасного сміттєспалювального заводу - від 300 тис. т/рік, тобто райони їх розміщення мають охоплювати мінімум 2 млн. мешканців та генерувати загальний обсяг побутових відходів 600 </w:t>
      </w:r>
      <w:r w:rsidR="00BB63E2" w:rsidRPr="00C22C49">
        <w:t xml:space="preserve">тис. т/рік </w:t>
      </w:r>
      <w:r w:rsidRPr="00C22C49">
        <w:t>і більше.</w:t>
      </w:r>
    </w:p>
    <w:p w14:paraId="0896BFA9" w14:textId="77777777" w:rsidR="00E43F27" w:rsidRPr="00C22C49" w:rsidRDefault="00CF6ACF" w:rsidP="00CF6ACF">
      <w:r w:rsidRPr="00C22C49">
        <w:t xml:space="preserve">НПУВ пропонується будівництво об’єктів термічного оброблення в Київській, </w:t>
      </w:r>
      <w:r w:rsidR="006C53BA" w:rsidRPr="00C22C49">
        <w:t xml:space="preserve">Дніпровській, </w:t>
      </w:r>
      <w:r w:rsidRPr="00C22C49">
        <w:t>Донецькій, Харківській міських агломераціях та регіоні Миколаїв, Одеса, Херсон, потужністю від 300 тис. т/рік із необхідним коригуванням після закінчення воєнного стану та при наявності обґрунтування у РПУВ необхідності будівництва таких об’єктів. Орієнтовна вартість об’єктів термічного оброблення складає в середньому 1500 Євро на тонну потужності, тобто 450 млн. Євро, що цілому складе понад 2250 млн. Євро для п’яти об’єктів.</w:t>
      </w:r>
    </w:p>
    <w:p w14:paraId="0896BFAA" w14:textId="1E9A4A7F" w:rsidR="008C5F34" w:rsidRPr="00C22C49" w:rsidRDefault="008C5F34" w:rsidP="005502D0">
      <w:pPr>
        <w:pStyle w:val="REDBoldonly"/>
        <w:rPr>
          <w:rStyle w:val="affe"/>
          <w:iCs w:val="0"/>
        </w:rPr>
      </w:pPr>
      <w:r w:rsidRPr="004045B6">
        <w:t xml:space="preserve">Полігони </w:t>
      </w:r>
      <w:r w:rsidR="0097144D" w:rsidRPr="004045B6">
        <w:t>не небезпечних відходів (</w:t>
      </w:r>
      <w:r w:rsidRPr="004045B6">
        <w:t>побутових</w:t>
      </w:r>
      <w:r w:rsidR="0097144D" w:rsidRPr="00C22C49">
        <w:rPr>
          <w:rStyle w:val="affe"/>
          <w:iCs w:val="0"/>
        </w:rPr>
        <w:t>)</w:t>
      </w:r>
      <w:r w:rsidRPr="00C22C49">
        <w:rPr>
          <w:rStyle w:val="affe"/>
          <w:iCs w:val="0"/>
        </w:rPr>
        <w:t xml:space="preserve"> відходів</w:t>
      </w:r>
    </w:p>
    <w:p w14:paraId="0896BFAB" w14:textId="50073BB2" w:rsidR="008C5F34" w:rsidRPr="00C22C49" w:rsidRDefault="00A514BF" w:rsidP="008C5F34">
      <w:r w:rsidRPr="00C22C49">
        <w:t>В Україні і</w:t>
      </w:r>
      <w:r w:rsidR="008C5F34" w:rsidRPr="00C22C49">
        <w:t>з загальної кількості</w:t>
      </w:r>
      <w:r w:rsidRPr="00C22C49">
        <w:t xml:space="preserve"> полігонів та</w:t>
      </w:r>
      <w:r w:rsidR="008C5F34" w:rsidRPr="00C22C49">
        <w:t xml:space="preserve"> сміттєзвалищ кількість перевантажених становить 163 одиниць (2,8%), 693 одиниці (12%) не відповідають нормам екологічної безпеки, 1939 одиниці потребують рекультивації. </w:t>
      </w:r>
    </w:p>
    <w:p w14:paraId="0896BFAC" w14:textId="35851BF2" w:rsidR="008C5F34" w:rsidRPr="00C22C49" w:rsidRDefault="008C5F34" w:rsidP="008C5F34">
      <w:r w:rsidRPr="00C22C49">
        <w:t xml:space="preserve">Потреба у будівництві нових регіональних полігонів, </w:t>
      </w:r>
      <w:r w:rsidR="00DE375D" w:rsidRPr="00C22C49">
        <w:t>які відповідають вимогам</w:t>
      </w:r>
      <w:r w:rsidRPr="00C22C49">
        <w:t xml:space="preserve"> Директиви 1999/31/ЄС про захоронення відходів, складає 146 одиниць загальною площею 1200 га. Оптимальна зона обслуговування кожного полігону матиме радіус 50-60 км. Орієнтовна вартість фінансових витрат на облаштування 1 га полігону складатиме 500 тис. Євро, сумарний обсяг інвестицій в фінансування системи полігонів становитиме 600 млн. Євро.</w:t>
      </w:r>
    </w:p>
    <w:p w14:paraId="0896BFAD" w14:textId="77777777" w:rsidR="008C5F34" w:rsidRDefault="008C5F34" w:rsidP="008C5F34">
      <w:r w:rsidRPr="00C22C49">
        <w:t>Поетапне зростання екологічного податку на розміщення відходів в плановому періоді дозволить додатково отримати приблизно 1,44 млрд. Євро надходжень в екологічний фонд, які можуть частково компенсувати витрати на закриття та рекультивацію полігонів і сміттєзвалищ, які оцінюються в 1,7 млрд. Євро.</w:t>
      </w:r>
    </w:p>
    <w:p w14:paraId="4F582D35" w14:textId="77777777" w:rsidR="00067EFD" w:rsidRPr="004045B6" w:rsidRDefault="00C56E4A" w:rsidP="00067EFD">
      <w:r w:rsidRPr="004045B6">
        <w:t>Для виконання цільових показників щодо зменшення заборонення на полігонах відходів, що біологічно розкоадаються</w:t>
      </w:r>
      <w:r w:rsidR="00F941F3" w:rsidRPr="004045B6">
        <w:t xml:space="preserve"> пропонується</w:t>
      </w:r>
      <w:r w:rsidR="00067EFD" w:rsidRPr="004045B6">
        <w:t>:</w:t>
      </w:r>
    </w:p>
    <w:p w14:paraId="08D2E734" w14:textId="6B4E4BB4" w:rsidR="00067EFD" w:rsidRPr="004045B6" w:rsidRDefault="00067EFD" w:rsidP="0079524F">
      <w:pPr>
        <w:pStyle w:val="BulletRED"/>
      </w:pPr>
      <w:bookmarkStart w:id="38" w:name="_Hlk149471053"/>
      <w:r w:rsidRPr="004045B6">
        <w:t xml:space="preserve">На полігонах, які приймають в день до 100 т відходів встановити сортувальні лінії для відокремлення біовідходів та досягнення зменшення захоронення біовідходів на 25% до 2028 року. </w:t>
      </w:r>
    </w:p>
    <w:p w14:paraId="1DFC7150" w14:textId="5B9B5859" w:rsidR="00067EFD" w:rsidRPr="004045B6" w:rsidRDefault="00067EFD" w:rsidP="0079524F">
      <w:pPr>
        <w:pStyle w:val="BulletRED"/>
      </w:pPr>
      <w:r w:rsidRPr="004045B6">
        <w:t>На полігонах, які приймають в день більше 100 т відходів встановити сортувальні  лінії  для відокремлення біовідходів та досягнення зменшення захоронення біовідходів на 25% до 2030 року.</w:t>
      </w:r>
    </w:p>
    <w:bookmarkEnd w:id="38"/>
    <w:p w14:paraId="4C78E401" w14:textId="45A3B085" w:rsidR="00C56E4A" w:rsidRPr="004045B6" w:rsidRDefault="00067EFD" w:rsidP="00067EFD">
      <w:r w:rsidRPr="004045B6">
        <w:rPr>
          <w:rFonts w:cs="Times New Roman"/>
          <w:szCs w:val="24"/>
        </w:rPr>
        <w:t>Відокремлені</w:t>
      </w:r>
      <w:r w:rsidR="00925AFA" w:rsidRPr="004045B6">
        <w:rPr>
          <w:rFonts w:cs="Times New Roman"/>
          <w:szCs w:val="24"/>
        </w:rPr>
        <w:t xml:space="preserve"> на сортувальних лініях</w:t>
      </w:r>
      <w:r w:rsidRPr="004045B6">
        <w:rPr>
          <w:rFonts w:cs="Times New Roman"/>
          <w:szCs w:val="24"/>
        </w:rPr>
        <w:t xml:space="preserve"> біовідходи мають піддаватися </w:t>
      </w:r>
      <w:r w:rsidR="00925AFA" w:rsidRPr="004045B6">
        <w:rPr>
          <w:rFonts w:cs="Times New Roman"/>
          <w:szCs w:val="24"/>
        </w:rPr>
        <w:t xml:space="preserve">операціям, </w:t>
      </w:r>
      <w:r w:rsidRPr="004045B6">
        <w:rPr>
          <w:rFonts w:cs="Times New Roman"/>
          <w:szCs w:val="24"/>
        </w:rPr>
        <w:t>іншим</w:t>
      </w:r>
      <w:r w:rsidR="00925AFA" w:rsidRPr="004045B6">
        <w:rPr>
          <w:rFonts w:cs="Times New Roman"/>
          <w:szCs w:val="24"/>
        </w:rPr>
        <w:t xml:space="preserve"> </w:t>
      </w:r>
      <w:r w:rsidRPr="004045B6">
        <w:rPr>
          <w:rFonts w:cs="Times New Roman"/>
          <w:szCs w:val="24"/>
        </w:rPr>
        <w:t>крім захоронення</w:t>
      </w:r>
      <w:r w:rsidR="0079524F" w:rsidRPr="004045B6">
        <w:rPr>
          <w:rFonts w:cs="Times New Roman"/>
          <w:szCs w:val="24"/>
        </w:rPr>
        <w:t>,</w:t>
      </w:r>
      <w:r w:rsidRPr="004045B6">
        <w:rPr>
          <w:rFonts w:cs="Times New Roman"/>
          <w:szCs w:val="24"/>
        </w:rPr>
        <w:t xml:space="preserve"> наприклад</w:t>
      </w:r>
      <w:r w:rsidR="00925AFA" w:rsidRPr="004045B6">
        <w:rPr>
          <w:rFonts w:cs="Times New Roman"/>
          <w:szCs w:val="24"/>
        </w:rPr>
        <w:t>,</w:t>
      </w:r>
      <w:r w:rsidRPr="004045B6">
        <w:rPr>
          <w:rFonts w:cs="Times New Roman"/>
          <w:szCs w:val="24"/>
        </w:rPr>
        <w:t xml:space="preserve"> компостування, анаеробне розкладання тощо.</w:t>
      </w:r>
    </w:p>
    <w:p w14:paraId="0896BFAE" w14:textId="17EE91BD" w:rsidR="00E43F27" w:rsidRPr="004045B6" w:rsidRDefault="008C5F34" w:rsidP="008C5F34">
      <w:r w:rsidRPr="004045B6">
        <w:t>Закриття і рекультивація старих полігонів і таких, що не відповідають вимогам, здійснюватиметься паралельно з будівництвом нових регіональних полігонів.</w:t>
      </w:r>
      <w:r w:rsidR="007267F5" w:rsidRPr="004045B6">
        <w:t xml:space="preserve"> Законом </w:t>
      </w:r>
      <w:r w:rsidR="009676F3" w:rsidRPr="004045B6">
        <w:t xml:space="preserve">з 2030 року </w:t>
      </w:r>
      <w:r w:rsidR="00EB5FB6" w:rsidRPr="004045B6">
        <w:t>забороняється експлуатація</w:t>
      </w:r>
      <w:r w:rsidR="009676F3" w:rsidRPr="004045B6">
        <w:t xml:space="preserve"> полігонів та звалищ, що не оснащені системами вилучення та знешкодження біогазу та фільтрату, системами моніторингу викидів в атмосферне повітря та моніторингу забруднення ґрунтів і підземних вод</w:t>
      </w:r>
      <w:r w:rsidR="00C22C49" w:rsidRPr="004045B6">
        <w:t>,</w:t>
      </w:r>
      <w:r w:rsidR="00EB5FB6" w:rsidRPr="004045B6">
        <w:t xml:space="preserve"> </w:t>
      </w:r>
      <w:r w:rsidR="009B1150" w:rsidRPr="004045B6">
        <w:t xml:space="preserve">тому </w:t>
      </w:r>
      <w:r w:rsidR="00B21912" w:rsidRPr="004045B6">
        <w:t>до цього</w:t>
      </w:r>
      <w:r w:rsidR="0005255C" w:rsidRPr="004045B6">
        <w:t xml:space="preserve"> часу ма</w:t>
      </w:r>
      <w:r w:rsidR="00C22C49" w:rsidRPr="004045B6">
        <w:t>ють</w:t>
      </w:r>
      <w:r w:rsidR="0005255C" w:rsidRPr="004045B6">
        <w:t xml:space="preserve"> бути передбачені</w:t>
      </w:r>
      <w:r w:rsidR="00C22C49" w:rsidRPr="004045B6">
        <w:t xml:space="preserve"> та виконані</w:t>
      </w:r>
      <w:r w:rsidR="0005255C" w:rsidRPr="004045B6">
        <w:t xml:space="preserve"> захо</w:t>
      </w:r>
      <w:r w:rsidR="00C22C49" w:rsidRPr="004045B6">
        <w:t>д</w:t>
      </w:r>
      <w:r w:rsidR="0005255C" w:rsidRPr="004045B6">
        <w:t>и у регіональних та місцевих планах щодо закриття, рекультив</w:t>
      </w:r>
      <w:r w:rsidR="00C22C49" w:rsidRPr="004045B6">
        <w:t>аці</w:t>
      </w:r>
      <w:r w:rsidR="0005255C" w:rsidRPr="004045B6">
        <w:t xml:space="preserve">ї та будівництва </w:t>
      </w:r>
      <w:r w:rsidR="00B71733" w:rsidRPr="004045B6">
        <w:t>полігонів. В разі не</w:t>
      </w:r>
      <w:r w:rsidR="00C3283B" w:rsidRPr="004045B6">
        <w:t xml:space="preserve">можливості виконати ці </w:t>
      </w:r>
      <w:r w:rsidR="00B55A35" w:rsidRPr="004045B6">
        <w:t>заходи до 2030 року, заборона не застосовується, якщо виконує</w:t>
      </w:r>
      <w:r w:rsidR="00077287" w:rsidRPr="004045B6">
        <w:t>ться</w:t>
      </w:r>
      <w:r w:rsidR="00B55A35" w:rsidRPr="004045B6">
        <w:t xml:space="preserve"> план приведення місця розміщення відходів у відповідність з вимогами законодавства</w:t>
      </w:r>
      <w:r w:rsidR="00077287" w:rsidRPr="004045B6">
        <w:t>.</w:t>
      </w:r>
    </w:p>
    <w:p w14:paraId="0896BFAF" w14:textId="77777777" w:rsidR="006B1F14" w:rsidRPr="004045B6" w:rsidRDefault="006B1F14" w:rsidP="008B1E83"/>
    <w:p w14:paraId="0896BFB0" w14:textId="77777777" w:rsidR="008B1E83" w:rsidRPr="00C22C49" w:rsidRDefault="00113DAE" w:rsidP="00113DAE">
      <w:pPr>
        <w:pStyle w:val="30"/>
      </w:pPr>
      <w:bookmarkStart w:id="39" w:name="_Toc151583272"/>
      <w:r w:rsidRPr="00C22C49">
        <w:t>З</w:t>
      </w:r>
      <w:r w:rsidR="008B1E83" w:rsidRPr="00C22C49">
        <w:t>аходи із запобігання засміченню та очищення засмічених територій</w:t>
      </w:r>
      <w:bookmarkEnd w:id="39"/>
    </w:p>
    <w:p w14:paraId="0896BFB1" w14:textId="77777777" w:rsidR="006E3363" w:rsidRPr="00C22C49" w:rsidRDefault="0063157F" w:rsidP="006E3363">
      <w:r w:rsidRPr="00C22C49">
        <w:t>Джерелом засмічення навколишнього середовища є неналежне управління відходами, зокрема залишення</w:t>
      </w:r>
      <w:r w:rsidR="00A61D5B" w:rsidRPr="00C22C49">
        <w:t xml:space="preserve"> та викидання</w:t>
      </w:r>
      <w:r w:rsidRPr="00C22C49">
        <w:t xml:space="preserve"> відходів у не призначених для цього місцях.</w:t>
      </w:r>
      <w:r w:rsidR="00241670" w:rsidRPr="00C22C49">
        <w:t xml:space="preserve"> За даними Мінінфраструктури, станом на 2022р 20% населення не охоплені послугами поводження з відходами.</w:t>
      </w:r>
      <w:r w:rsidRPr="00C22C49">
        <w:t xml:space="preserve"> </w:t>
      </w:r>
      <w:r w:rsidR="003F3EB8" w:rsidRPr="00C22C49">
        <w:t>Щороку в Україні</w:t>
      </w:r>
      <w:r w:rsidR="00232289" w:rsidRPr="00C22C49">
        <w:t xml:space="preserve"> ч</w:t>
      </w:r>
      <w:r w:rsidR="00232289" w:rsidRPr="00C22C49">
        <w:rPr>
          <w:rFonts w:eastAsia="Times New Roman" w:cs="Times New Roman"/>
          <w:szCs w:val="24"/>
          <w:lang w:eastAsia="ru-RU"/>
        </w:rPr>
        <w:t>ерез неналежну систем</w:t>
      </w:r>
      <w:r w:rsidR="003F3EB8" w:rsidRPr="00C22C49">
        <w:rPr>
          <w:rFonts w:eastAsia="Times New Roman" w:cs="Times New Roman"/>
          <w:szCs w:val="24"/>
          <w:lang w:eastAsia="ru-RU"/>
        </w:rPr>
        <w:t>у</w:t>
      </w:r>
      <w:r w:rsidR="00232289" w:rsidRPr="00C22C49">
        <w:rPr>
          <w:rFonts w:eastAsia="Times New Roman" w:cs="Times New Roman"/>
          <w:szCs w:val="24"/>
          <w:lang w:eastAsia="ru-RU"/>
        </w:rPr>
        <w:t xml:space="preserve"> управління побутовими </w:t>
      </w:r>
      <w:r w:rsidR="0038004E" w:rsidRPr="00C22C49">
        <w:rPr>
          <w:rFonts w:eastAsia="Times New Roman" w:cs="Times New Roman"/>
          <w:szCs w:val="24"/>
          <w:lang w:eastAsia="ru-RU"/>
        </w:rPr>
        <w:t xml:space="preserve">в населених пунктах, як правило у приватному секторі, </w:t>
      </w:r>
      <w:r w:rsidR="003F3EB8" w:rsidRPr="00C22C49">
        <w:rPr>
          <w:rFonts w:eastAsia="Times New Roman" w:cs="Times New Roman"/>
          <w:szCs w:val="24"/>
          <w:lang w:eastAsia="ru-RU"/>
        </w:rPr>
        <w:t>утворюється близько 20 тис. несанкціонованих звалищ, площ</w:t>
      </w:r>
      <w:r w:rsidR="0038004E" w:rsidRPr="00C22C49">
        <w:rPr>
          <w:rFonts w:eastAsia="Times New Roman" w:cs="Times New Roman"/>
          <w:szCs w:val="24"/>
          <w:lang w:eastAsia="ru-RU"/>
        </w:rPr>
        <w:t>ею</w:t>
      </w:r>
      <w:r w:rsidR="003F3EB8" w:rsidRPr="00C22C49">
        <w:rPr>
          <w:rFonts w:eastAsia="Times New Roman" w:cs="Times New Roman"/>
          <w:szCs w:val="24"/>
          <w:lang w:eastAsia="ru-RU"/>
        </w:rPr>
        <w:t xml:space="preserve"> 0,</w:t>
      </w:r>
      <w:r w:rsidR="0038004E" w:rsidRPr="00C22C49">
        <w:rPr>
          <w:rFonts w:eastAsia="Times New Roman" w:cs="Times New Roman"/>
          <w:szCs w:val="24"/>
          <w:lang w:eastAsia="ru-RU"/>
        </w:rPr>
        <w:t>4-0,6</w:t>
      </w:r>
      <w:r w:rsidR="003F3EB8" w:rsidRPr="00C22C49">
        <w:rPr>
          <w:rFonts w:eastAsia="Times New Roman" w:cs="Times New Roman"/>
          <w:szCs w:val="24"/>
          <w:lang w:eastAsia="ru-RU"/>
        </w:rPr>
        <w:t> тис. га</w:t>
      </w:r>
      <w:r w:rsidR="0038004E" w:rsidRPr="00C22C49">
        <w:rPr>
          <w:rFonts w:eastAsia="Times New Roman" w:cs="Times New Roman"/>
          <w:szCs w:val="24"/>
          <w:lang w:eastAsia="ru-RU"/>
        </w:rPr>
        <w:t xml:space="preserve">. </w:t>
      </w:r>
      <w:r w:rsidR="006E24AE" w:rsidRPr="00C22C49">
        <w:t>Через н</w:t>
      </w:r>
      <w:r w:rsidRPr="00C22C49">
        <w:t xml:space="preserve">еналежне поводження з відходами на суші </w:t>
      </w:r>
      <w:r w:rsidR="006E24AE" w:rsidRPr="00C22C49">
        <w:t xml:space="preserve">відходи потрапляють </w:t>
      </w:r>
      <w:r w:rsidR="00E52E21" w:rsidRPr="00C22C49">
        <w:t>у річк</w:t>
      </w:r>
      <w:r w:rsidR="00A02D0C" w:rsidRPr="00C22C49">
        <w:t>и</w:t>
      </w:r>
      <w:r w:rsidR="00E52E21" w:rsidRPr="00C22C49">
        <w:t xml:space="preserve"> </w:t>
      </w:r>
      <w:r w:rsidR="006E24AE" w:rsidRPr="00C22C49">
        <w:t xml:space="preserve">та </w:t>
      </w:r>
      <w:r w:rsidR="00A02D0C" w:rsidRPr="00C22C49">
        <w:t>переносяться у морське</w:t>
      </w:r>
      <w:r w:rsidRPr="00C22C49">
        <w:t xml:space="preserve"> середовищ</w:t>
      </w:r>
      <w:r w:rsidR="00A02D0C" w:rsidRPr="00C22C49">
        <w:t>е.</w:t>
      </w:r>
      <w:r w:rsidR="0087215F" w:rsidRPr="00C22C49">
        <w:t xml:space="preserve"> Український науковий центр екології моря спільно з проєктом EMBLAS</w:t>
      </w:r>
      <w:r w:rsidR="00435927" w:rsidRPr="00C22C49">
        <w:t xml:space="preserve"> </w:t>
      </w:r>
      <w:r w:rsidR="000A0DAC" w:rsidRPr="00C22C49">
        <w:t>дослідили, що к</w:t>
      </w:r>
      <w:r w:rsidR="00BF6997" w:rsidRPr="00C22C49">
        <w:t>ількість сміття</w:t>
      </w:r>
      <w:r w:rsidR="00370B17" w:rsidRPr="00C22C49">
        <w:t xml:space="preserve"> та пластику </w:t>
      </w:r>
      <w:r w:rsidR="00D62582" w:rsidRPr="00C22C49">
        <w:t xml:space="preserve">за останні 30 років </w:t>
      </w:r>
      <w:r w:rsidR="00370B17" w:rsidRPr="00C22C49">
        <w:t>у</w:t>
      </w:r>
      <w:r w:rsidR="00BF6997" w:rsidRPr="00C22C49">
        <w:t xml:space="preserve"> </w:t>
      </w:r>
      <w:r w:rsidR="00370B17" w:rsidRPr="00C22C49">
        <w:t xml:space="preserve">Чорному морі </w:t>
      </w:r>
      <w:r w:rsidR="00B335DA" w:rsidRPr="00C22C49">
        <w:t>збільш</w:t>
      </w:r>
      <w:r w:rsidR="00076406" w:rsidRPr="00C22C49">
        <w:t>илась</w:t>
      </w:r>
      <w:r w:rsidR="00370B17" w:rsidRPr="00C22C49">
        <w:t xml:space="preserve"> </w:t>
      </w:r>
      <w:r w:rsidR="00076406" w:rsidRPr="00C22C49">
        <w:t>та</w:t>
      </w:r>
      <w:r w:rsidR="00BF6997" w:rsidRPr="00C22C49">
        <w:t xml:space="preserve"> становить 90 одиниць на 1 км2 – це вдвічі більше, ніж у Середземному морі. </w:t>
      </w:r>
      <w:r w:rsidR="000A0DAC" w:rsidRPr="00C22C49">
        <w:t>Це</w:t>
      </w:r>
      <w:r w:rsidR="00BF6997" w:rsidRPr="00C22C49">
        <w:t xml:space="preserve"> впливає негативно</w:t>
      </w:r>
      <w:r w:rsidR="000A0DAC" w:rsidRPr="00C22C49">
        <w:t xml:space="preserve"> на стан морської екосистеми</w:t>
      </w:r>
      <w:r w:rsidR="00BF6997" w:rsidRPr="00C22C49">
        <w:t>, адже щогодини до Чорного моря з великими річками приноситься від 6 до 50 елементів сміття</w:t>
      </w:r>
      <w:r w:rsidR="000A0DAC" w:rsidRPr="00C22C49">
        <w:t>.</w:t>
      </w:r>
      <w:r w:rsidR="00352C1E" w:rsidRPr="00C22C49">
        <w:t xml:space="preserve"> У сміттєвих плямах Чорного моря</w:t>
      </w:r>
      <w:r w:rsidR="006E3363" w:rsidRPr="00C22C49">
        <w:t xml:space="preserve"> 68% забруднення</w:t>
      </w:r>
      <w:r w:rsidR="00352C1E" w:rsidRPr="00C22C49">
        <w:t xml:space="preserve"> становить </w:t>
      </w:r>
      <w:r w:rsidR="006E3363" w:rsidRPr="00C22C49">
        <w:t>пластик</w:t>
      </w:r>
      <w:r w:rsidR="00352C1E" w:rsidRPr="00C22C49">
        <w:t>.</w:t>
      </w:r>
    </w:p>
    <w:p w14:paraId="0896BFB2" w14:textId="77777777" w:rsidR="009F5850" w:rsidRPr="00C22C49" w:rsidRDefault="009F5850" w:rsidP="00F719C3"/>
    <w:p w14:paraId="0896BFB3" w14:textId="77777777" w:rsidR="009F5850" w:rsidRPr="00C22C49" w:rsidRDefault="009F5850" w:rsidP="005502D0">
      <w:pPr>
        <w:pStyle w:val="REDBoldonly"/>
      </w:pPr>
      <w:r w:rsidRPr="00C22C49">
        <w:t>Заходи, що впроваджуються та</w:t>
      </w:r>
      <w:r w:rsidR="007A1799" w:rsidRPr="00C22C49">
        <w:t xml:space="preserve"> запобігання</w:t>
      </w:r>
      <w:r w:rsidRPr="00C22C49">
        <w:t>.</w:t>
      </w:r>
    </w:p>
    <w:p w14:paraId="0896BFB4" w14:textId="77777777" w:rsidR="008B1E83" w:rsidRPr="00C22C49" w:rsidRDefault="00FB40C6" w:rsidP="00F719C3">
      <w:r w:rsidRPr="00C22C49">
        <w:t xml:space="preserve">У 2021 році прийнято перший спеціальний закон України, спрямований на обмеження виробництва та споживання пластикових пакетів в Україні. Таким законом став Закон України від 1 червня 2021 року № 1489-IX «Про обмеження обігу пластикових пакетів на території України», яким запроваджено в Україні окремі положення тих змін, що були внесені Директивою ЄС/2015/720 до базової Директиви ЄС/94/62 про упаковку та відходи упаковки. </w:t>
      </w:r>
      <w:r w:rsidR="0056681C" w:rsidRPr="00C22C49">
        <w:t>З</w:t>
      </w:r>
      <w:r w:rsidR="00A65384" w:rsidRPr="00C22C49">
        <w:t>а результатами аналізу інформації, наданої Асоціацією ритейлерів України</w:t>
      </w:r>
      <w:r w:rsidR="0056681C" w:rsidRPr="00C22C49">
        <w:t>, з</w:t>
      </w:r>
      <w:r w:rsidR="00F719C3" w:rsidRPr="00C22C49">
        <w:t xml:space="preserve">а рік дії рішення уряду щодо встановлення мінімальних роздрібних цін на пластикові пакети українці зменшили їх використання на 40-90% та більш ніж вдвічі збільшили споживання біорозкладних. </w:t>
      </w:r>
      <w:r w:rsidR="00D640FD" w:rsidRPr="00C22C49">
        <w:t>Попри</w:t>
      </w:r>
      <w:r w:rsidR="00B97CBA" w:rsidRPr="00C22C49">
        <w:t xml:space="preserve"> це, залишається </w:t>
      </w:r>
      <w:r w:rsidR="00D640FD" w:rsidRPr="00C22C49">
        <w:t xml:space="preserve">не </w:t>
      </w:r>
      <w:r w:rsidR="00B97CBA" w:rsidRPr="00C22C49">
        <w:t>в</w:t>
      </w:r>
      <w:r w:rsidR="00D640FD" w:rsidRPr="00C22C49">
        <w:t>регул</w:t>
      </w:r>
      <w:r w:rsidR="00B97CBA" w:rsidRPr="00C22C49">
        <w:t>ьованим</w:t>
      </w:r>
      <w:r w:rsidR="00D640FD" w:rsidRPr="00C22C49">
        <w:t xml:space="preserve"> розповсюдження в торгових точках інших одноразових виробів із пластику.</w:t>
      </w:r>
    </w:p>
    <w:p w14:paraId="0896BFB5" w14:textId="77777777" w:rsidR="00FB40C6" w:rsidRPr="00C22C49" w:rsidRDefault="00655A1E" w:rsidP="00FB40C6">
      <w:r w:rsidRPr="00C22C49">
        <w:t>Щороку ОМС проводять заходи із ліквідації несанкціонованих звали</w:t>
      </w:r>
      <w:r w:rsidR="00DE5A0D" w:rsidRPr="00C22C49">
        <w:t>щ</w:t>
      </w:r>
      <w:r w:rsidRPr="00C22C49">
        <w:t xml:space="preserve"> </w:t>
      </w:r>
      <w:r w:rsidR="00D5050D" w:rsidRPr="00C22C49">
        <w:t xml:space="preserve">та роботи по </w:t>
      </w:r>
      <w:r w:rsidR="00DE5A0D" w:rsidRPr="00C22C49">
        <w:t>залученню</w:t>
      </w:r>
      <w:r w:rsidR="006D07A7" w:rsidRPr="00C22C49">
        <w:t xml:space="preserve"> громадськості</w:t>
      </w:r>
      <w:r w:rsidR="00D5050D" w:rsidRPr="00C22C49">
        <w:t xml:space="preserve"> </w:t>
      </w:r>
      <w:r w:rsidR="006D07A7" w:rsidRPr="00C22C49">
        <w:t>до здійснення заходів з благоустрою населених пунктів</w:t>
      </w:r>
      <w:r w:rsidR="00D5050D" w:rsidRPr="00C22C49">
        <w:t>. У 2022 році</w:t>
      </w:r>
      <w:r w:rsidR="006D07A7" w:rsidRPr="00C22C49">
        <w:t xml:space="preserve"> понад 2,66 млн. осіб</w:t>
      </w:r>
      <w:r w:rsidR="00D5050D" w:rsidRPr="00C22C49">
        <w:t xml:space="preserve"> взяли участь у таких заходах</w:t>
      </w:r>
      <w:r w:rsidR="006D07A7" w:rsidRPr="00C22C49">
        <w:t>.</w:t>
      </w:r>
      <w:r w:rsidR="00D5050D" w:rsidRPr="00C22C49">
        <w:t xml:space="preserve"> </w:t>
      </w:r>
    </w:p>
    <w:p w14:paraId="0896BFB6" w14:textId="77777777" w:rsidR="00D8605B" w:rsidRPr="00C22C49" w:rsidRDefault="00D8605B" w:rsidP="005502D0">
      <w:pPr>
        <w:pStyle w:val="REDBoldonly"/>
      </w:pPr>
      <w:r w:rsidRPr="00C22C49">
        <w:t>Рекомендовані заходи</w:t>
      </w:r>
    </w:p>
    <w:p w14:paraId="0896BFB7" w14:textId="77777777" w:rsidR="00D8605B" w:rsidRPr="00C22C49" w:rsidRDefault="00D8605B" w:rsidP="00D8605B">
      <w:r w:rsidRPr="00C22C49">
        <w:t xml:space="preserve">З погляду запобігання та подолання засмічення слід зазначити, що на практиці будь-яка дія, спрямована на запобігання утворенню відходів сприятиме зменшенню засмічення на суші та в морському середовищі. Значною мірою це стосується і потоку побутових відходів, і дій, спрямованих на впровадження кругової економіки, зокрема шляхом налагодження системи управління відходами упаковки та відмови від упаковки, що не підлягає </w:t>
      </w:r>
      <w:r w:rsidR="00E46732" w:rsidRPr="00C22C49">
        <w:t>рециклінгу та</w:t>
      </w:r>
      <w:r w:rsidRPr="00C22C49">
        <w:t xml:space="preserve"> подовження життєвого циклу продукції.</w:t>
      </w:r>
      <w:r w:rsidR="00E46732" w:rsidRPr="00C22C49">
        <w:t xml:space="preserve"> </w:t>
      </w:r>
      <w:r w:rsidRPr="00C22C49">
        <w:t>Крім того, важливо нал</w:t>
      </w:r>
      <w:r w:rsidR="00E143C3" w:rsidRPr="00C22C49">
        <w:t xml:space="preserve">агодити схеми збирання </w:t>
      </w:r>
      <w:r w:rsidR="00551257" w:rsidRPr="00C22C49">
        <w:t xml:space="preserve">побутових </w:t>
      </w:r>
      <w:r w:rsidR="00E143C3" w:rsidRPr="00C22C49">
        <w:t>відходів</w:t>
      </w:r>
      <w:r w:rsidR="00551257" w:rsidRPr="00C22C49">
        <w:t xml:space="preserve">, </w:t>
      </w:r>
      <w:r w:rsidR="00E143C3" w:rsidRPr="00C22C49">
        <w:t>сприяти будівництву ООВ</w:t>
      </w:r>
      <w:r w:rsidRPr="00C22C49">
        <w:t xml:space="preserve"> та підвищувати екологічну свідомість. </w:t>
      </w:r>
    </w:p>
    <w:p w14:paraId="0896BFB8" w14:textId="77777777" w:rsidR="00D8605B" w:rsidRPr="00C22C49" w:rsidRDefault="00D8605B" w:rsidP="00D8605B">
      <w:r w:rsidRPr="00C22C49">
        <w:t xml:space="preserve">З метою запобігання засміченню та прибирання всіх видів відходів рекомендуються наступні </w:t>
      </w:r>
      <w:r w:rsidR="00593F55" w:rsidRPr="00C22C49">
        <w:t>заходи</w:t>
      </w:r>
      <w:r w:rsidRPr="00C22C49">
        <w:t>:</w:t>
      </w:r>
    </w:p>
    <w:p w14:paraId="0896BFB9" w14:textId="77777777" w:rsidR="002B229F" w:rsidRPr="00C22C49" w:rsidRDefault="00593F55" w:rsidP="00593F55">
      <w:pPr>
        <w:rPr>
          <w:rFonts w:cs="Times New Roman"/>
          <w:szCs w:val="24"/>
          <w:lang w:eastAsia="bg-BG"/>
        </w:rPr>
      </w:pPr>
      <w:r w:rsidRPr="00C22C49">
        <w:rPr>
          <w:rStyle w:val="affe"/>
          <w:b/>
          <w:bCs/>
        </w:rPr>
        <w:t xml:space="preserve">1. </w:t>
      </w:r>
      <w:r w:rsidR="00061CF0" w:rsidRPr="00C22C49">
        <w:rPr>
          <w:rStyle w:val="affe"/>
          <w:b/>
          <w:bCs/>
        </w:rPr>
        <w:t>Проведення п</w:t>
      </w:r>
      <w:r w:rsidRPr="00C22C49">
        <w:rPr>
          <w:rStyle w:val="affe"/>
          <w:b/>
          <w:bCs/>
        </w:rPr>
        <w:t>росвітницьк</w:t>
      </w:r>
      <w:r w:rsidR="00061CF0" w:rsidRPr="00C22C49">
        <w:rPr>
          <w:rStyle w:val="affe"/>
          <w:b/>
          <w:bCs/>
        </w:rPr>
        <w:t>их</w:t>
      </w:r>
      <w:r w:rsidRPr="00C22C49">
        <w:rPr>
          <w:rStyle w:val="affe"/>
          <w:b/>
          <w:bCs/>
        </w:rPr>
        <w:t xml:space="preserve"> кампані</w:t>
      </w:r>
      <w:r w:rsidR="00061CF0" w:rsidRPr="00C22C49">
        <w:rPr>
          <w:rStyle w:val="affe"/>
          <w:b/>
          <w:bCs/>
        </w:rPr>
        <w:t>й</w:t>
      </w:r>
      <w:r w:rsidRPr="00C22C49">
        <w:rPr>
          <w:rStyle w:val="affe"/>
          <w:b/>
          <w:bCs/>
        </w:rPr>
        <w:t>.</w:t>
      </w:r>
      <w:r w:rsidRPr="00C22C49">
        <w:rPr>
          <w:rFonts w:cs="Times New Roman"/>
          <w:szCs w:val="24"/>
          <w:lang w:eastAsia="bg-BG"/>
        </w:rPr>
        <w:t xml:space="preserve"> Ці кампанії </w:t>
      </w:r>
      <w:r w:rsidR="006C7A6E" w:rsidRPr="00C22C49">
        <w:rPr>
          <w:rFonts w:cs="Times New Roman"/>
          <w:szCs w:val="24"/>
          <w:lang w:eastAsia="bg-BG"/>
        </w:rPr>
        <w:t>мають</w:t>
      </w:r>
      <w:r w:rsidRPr="00C22C49">
        <w:rPr>
          <w:rFonts w:cs="Times New Roman"/>
          <w:szCs w:val="24"/>
          <w:lang w:eastAsia="bg-BG"/>
        </w:rPr>
        <w:t xml:space="preserve"> бути спрямовані на приватних осіб, підприємства та інші організації з метою підвищення обізнаності про негативний вплив засмічення та важливість правильного управління відходами.</w:t>
      </w:r>
      <w:r w:rsidR="002B229F" w:rsidRPr="00C22C49">
        <w:rPr>
          <w:rFonts w:cs="Times New Roman"/>
          <w:szCs w:val="24"/>
          <w:lang w:eastAsia="bg-BG"/>
        </w:rPr>
        <w:t xml:space="preserve"> </w:t>
      </w:r>
    </w:p>
    <w:p w14:paraId="0896BFBA" w14:textId="77777777" w:rsidR="00593F55" w:rsidRPr="00C22C49" w:rsidRDefault="00593F55" w:rsidP="00593F55">
      <w:pPr>
        <w:rPr>
          <w:rFonts w:cs="Times New Roman"/>
          <w:szCs w:val="24"/>
          <w:lang w:eastAsia="bg-BG"/>
        </w:rPr>
      </w:pPr>
      <w:r w:rsidRPr="00C22C49">
        <w:rPr>
          <w:rFonts w:cs="Times New Roman"/>
          <w:szCs w:val="24"/>
          <w:lang w:eastAsia="bg-BG"/>
        </w:rPr>
        <w:t>Метою комунікаційної стратегії має бути сприяння тому, щоб суспільство перестало толерувати випадки засмічення територій та спалювання зелених відходів та сприймало це як недотримання правил та особистого права на чисте довкілля. Паралельно необхідне посилення спроможності регуляторних органів забезпечувати дотримання правил, які забороняють таку поведінку.</w:t>
      </w:r>
    </w:p>
    <w:p w14:paraId="0896BFBB" w14:textId="77777777" w:rsidR="0096019A" w:rsidRPr="00C22C49" w:rsidRDefault="0096019A" w:rsidP="0096019A">
      <w:pPr>
        <w:rPr>
          <w:rFonts w:cs="Times New Roman"/>
          <w:szCs w:val="24"/>
          <w:lang w:eastAsia="bg-BG"/>
        </w:rPr>
      </w:pPr>
      <w:r w:rsidRPr="00C22C49">
        <w:rPr>
          <w:rFonts w:cs="Times New Roman"/>
          <w:szCs w:val="24"/>
          <w:lang w:eastAsia="bg-BG"/>
        </w:rPr>
        <w:t xml:space="preserve">Громадські толоки. Органи влади та адміністратори послуг управління відходами мають сприяти ініціативам, які спрямовані на залучення мешканців до участі в заходах з прибирання, таких як волонтерські екологічні акції з прибирання чи толоки. </w:t>
      </w:r>
    </w:p>
    <w:p w14:paraId="0896BFBC" w14:textId="77777777" w:rsidR="00593F55" w:rsidRPr="00C22C49" w:rsidRDefault="00A400CD" w:rsidP="00593F55">
      <w:pPr>
        <w:rPr>
          <w:rFonts w:cs="Times New Roman"/>
          <w:szCs w:val="24"/>
          <w:lang w:eastAsia="bg-BG"/>
        </w:rPr>
      </w:pPr>
      <w:r w:rsidRPr="00C22C49">
        <w:rPr>
          <w:rStyle w:val="affe"/>
          <w:b/>
          <w:bCs/>
        </w:rPr>
        <w:t xml:space="preserve">2. </w:t>
      </w:r>
      <w:r w:rsidR="00593F55" w:rsidRPr="00C22C49">
        <w:rPr>
          <w:rStyle w:val="affe"/>
          <w:b/>
          <w:bCs/>
        </w:rPr>
        <w:t>Посилення правозастосування</w:t>
      </w:r>
      <w:r w:rsidR="0023775B" w:rsidRPr="00C22C49">
        <w:rPr>
          <w:rStyle w:val="affe"/>
          <w:b/>
          <w:bCs/>
        </w:rPr>
        <w:t xml:space="preserve"> та контролю</w:t>
      </w:r>
      <w:r w:rsidR="00593F55" w:rsidRPr="00C22C49">
        <w:rPr>
          <w:rStyle w:val="affe"/>
          <w:b/>
          <w:bCs/>
        </w:rPr>
        <w:t>.</w:t>
      </w:r>
      <w:r w:rsidR="00593F55" w:rsidRPr="00C22C49">
        <w:rPr>
          <w:rFonts w:cs="Times New Roman"/>
          <w:szCs w:val="24"/>
          <w:lang w:eastAsia="bg-BG"/>
        </w:rPr>
        <w:t xml:space="preserve"> Правоохоронні органи можуть отримати більше ресурсів для забезпечення дотримання </w:t>
      </w:r>
      <w:r w:rsidR="00573BB2" w:rsidRPr="00C22C49">
        <w:rPr>
          <w:rFonts w:cs="Times New Roman"/>
          <w:szCs w:val="24"/>
          <w:lang w:eastAsia="bg-BG"/>
        </w:rPr>
        <w:t>вимог щодо поводження з відходам та пр</w:t>
      </w:r>
      <w:r w:rsidR="0096019A" w:rsidRPr="00C22C49">
        <w:rPr>
          <w:rFonts w:cs="Times New Roman"/>
          <w:szCs w:val="24"/>
          <w:lang w:eastAsia="bg-BG"/>
        </w:rPr>
        <w:t>авил благоустрію</w:t>
      </w:r>
      <w:r w:rsidR="00593F55" w:rsidRPr="00C22C49">
        <w:rPr>
          <w:rFonts w:cs="Times New Roman"/>
          <w:szCs w:val="24"/>
          <w:lang w:eastAsia="bg-BG"/>
        </w:rPr>
        <w:t>, а штрафи за засмічення м</w:t>
      </w:r>
      <w:r w:rsidR="00C039E2" w:rsidRPr="00C22C49">
        <w:rPr>
          <w:rFonts w:cs="Times New Roman"/>
          <w:szCs w:val="24"/>
          <w:lang w:eastAsia="bg-BG"/>
        </w:rPr>
        <w:t>ають</w:t>
      </w:r>
      <w:r w:rsidR="00593F55" w:rsidRPr="00C22C49">
        <w:rPr>
          <w:rFonts w:cs="Times New Roman"/>
          <w:szCs w:val="24"/>
          <w:lang w:eastAsia="bg-BG"/>
        </w:rPr>
        <w:t xml:space="preserve"> бути збільшені</w:t>
      </w:r>
      <w:r w:rsidR="00C039E2" w:rsidRPr="00C22C49">
        <w:rPr>
          <w:rFonts w:cs="Times New Roman"/>
          <w:szCs w:val="24"/>
          <w:lang w:eastAsia="bg-BG"/>
        </w:rPr>
        <w:t xml:space="preserve"> до розміру</w:t>
      </w:r>
      <w:r w:rsidR="00593F55" w:rsidRPr="00C22C49">
        <w:rPr>
          <w:rFonts w:cs="Times New Roman"/>
          <w:szCs w:val="24"/>
          <w:lang w:eastAsia="bg-BG"/>
        </w:rPr>
        <w:t xml:space="preserve">, щоб утримати людей від такої поведінки. </w:t>
      </w:r>
    </w:p>
    <w:p w14:paraId="0896BFBD" w14:textId="77777777" w:rsidR="0023775B" w:rsidRPr="00C22C49" w:rsidRDefault="0023775B" w:rsidP="0023775B">
      <w:pPr>
        <w:rPr>
          <w:rFonts w:cs="Times New Roman"/>
          <w:szCs w:val="24"/>
          <w:lang w:eastAsia="bg-BG"/>
        </w:rPr>
      </w:pPr>
      <w:r w:rsidRPr="00C22C49">
        <w:rPr>
          <w:rFonts w:cs="Times New Roman"/>
          <w:szCs w:val="24"/>
          <w:lang w:eastAsia="bg-BG"/>
        </w:rPr>
        <w:t xml:space="preserve">Екологічні інспектори повинні вживати заходів для закриття та ліквідації несанкціонованих сміттєзвалищ - коли існує дозволена альтернатива - та інформувати місцеві адміністрації про необхідність вжиття таких заходів. </w:t>
      </w:r>
    </w:p>
    <w:p w14:paraId="0896BFBE" w14:textId="77777777" w:rsidR="00593F55" w:rsidRPr="00C22C49" w:rsidRDefault="00A53FCC" w:rsidP="00593F55">
      <w:pPr>
        <w:rPr>
          <w:rFonts w:cs="Times New Roman"/>
          <w:szCs w:val="24"/>
          <w:lang w:eastAsia="bg-BG"/>
        </w:rPr>
      </w:pPr>
      <w:r w:rsidRPr="00C22C49">
        <w:rPr>
          <w:rStyle w:val="affe"/>
          <w:b/>
          <w:bCs/>
        </w:rPr>
        <w:t>3</w:t>
      </w:r>
      <w:r w:rsidR="00593F55" w:rsidRPr="00C22C49">
        <w:rPr>
          <w:rStyle w:val="affe"/>
          <w:b/>
          <w:bCs/>
        </w:rPr>
        <w:t>. Покращення інфраструктури збирання та оброблення відходів.</w:t>
      </w:r>
      <w:r w:rsidR="00593F55" w:rsidRPr="00C22C49">
        <w:rPr>
          <w:rFonts w:cs="Times New Roman"/>
          <w:szCs w:val="24"/>
          <w:lang w:eastAsia="bg-BG"/>
        </w:rPr>
        <w:t xml:space="preserve"> </w:t>
      </w:r>
      <w:r w:rsidR="009F733F" w:rsidRPr="00C22C49">
        <w:rPr>
          <w:rFonts w:cs="Times New Roman"/>
          <w:szCs w:val="24"/>
          <w:lang w:eastAsia="bg-BG"/>
        </w:rPr>
        <w:t>Цей НПУВ</w:t>
      </w:r>
      <w:r w:rsidR="00593F55" w:rsidRPr="00C22C49">
        <w:rPr>
          <w:rFonts w:cs="Times New Roman"/>
          <w:szCs w:val="24"/>
          <w:lang w:eastAsia="bg-BG"/>
        </w:rPr>
        <w:t xml:space="preserve"> передбачає інвестиції в інфраструктуру збирання та оброблення відходів</w:t>
      </w:r>
      <w:r w:rsidR="00623905" w:rsidRPr="00C22C49">
        <w:rPr>
          <w:rFonts w:cs="Times New Roman"/>
          <w:szCs w:val="24"/>
          <w:lang w:eastAsia="bg-BG"/>
        </w:rPr>
        <w:t xml:space="preserve"> та</w:t>
      </w:r>
      <w:r w:rsidR="00E63AC9" w:rsidRPr="00C22C49">
        <w:rPr>
          <w:rFonts w:cs="Times New Roman"/>
          <w:szCs w:val="24"/>
          <w:lang w:eastAsia="bg-BG"/>
        </w:rPr>
        <w:t>,</w:t>
      </w:r>
      <w:r w:rsidR="00593F55" w:rsidRPr="00C22C49">
        <w:rPr>
          <w:rFonts w:cs="Times New Roman"/>
          <w:szCs w:val="24"/>
          <w:lang w:eastAsia="bg-BG"/>
        </w:rPr>
        <w:t xml:space="preserve"> наприклад,</w:t>
      </w:r>
      <w:r w:rsidR="00E63AC9" w:rsidRPr="00C22C49">
        <w:rPr>
          <w:rFonts w:cs="Times New Roman"/>
          <w:szCs w:val="24"/>
          <w:lang w:eastAsia="bg-BG"/>
        </w:rPr>
        <w:t xml:space="preserve"> заходи</w:t>
      </w:r>
      <w:r w:rsidR="00593F55" w:rsidRPr="00C22C49">
        <w:rPr>
          <w:rFonts w:cs="Times New Roman"/>
          <w:szCs w:val="24"/>
          <w:lang w:eastAsia="bg-BG"/>
        </w:rPr>
        <w:t xml:space="preserve"> збільшення </w:t>
      </w:r>
      <w:r w:rsidR="009F733F" w:rsidRPr="00C22C49">
        <w:rPr>
          <w:rFonts w:cs="Times New Roman"/>
          <w:szCs w:val="24"/>
          <w:lang w:eastAsia="bg-BG"/>
        </w:rPr>
        <w:t>охоплення населення послугами управління відходами до повного покриття</w:t>
      </w:r>
      <w:r w:rsidR="001E276F" w:rsidRPr="00C22C49">
        <w:rPr>
          <w:rFonts w:cs="Times New Roman"/>
          <w:szCs w:val="24"/>
          <w:lang w:eastAsia="bg-BG"/>
        </w:rPr>
        <w:t xml:space="preserve">, </w:t>
      </w:r>
      <w:r w:rsidR="00593F55" w:rsidRPr="00C22C49">
        <w:rPr>
          <w:rFonts w:cs="Times New Roman"/>
          <w:szCs w:val="24"/>
          <w:lang w:eastAsia="bg-BG"/>
        </w:rPr>
        <w:t>покращення систем вивезення відход</w:t>
      </w:r>
      <w:r w:rsidR="00E63AC9" w:rsidRPr="00C22C49">
        <w:rPr>
          <w:rFonts w:cs="Times New Roman"/>
          <w:szCs w:val="24"/>
          <w:lang w:eastAsia="bg-BG"/>
        </w:rPr>
        <w:t>ів</w:t>
      </w:r>
      <w:r w:rsidR="00593F55" w:rsidRPr="00C22C49">
        <w:rPr>
          <w:rFonts w:cs="Times New Roman"/>
          <w:szCs w:val="24"/>
          <w:lang w:eastAsia="bg-BG"/>
        </w:rPr>
        <w:t>.</w:t>
      </w:r>
    </w:p>
    <w:p w14:paraId="0896BFBF" w14:textId="77777777" w:rsidR="00593F55" w:rsidRPr="00C22C49" w:rsidRDefault="00593F55" w:rsidP="00593F55">
      <w:pPr>
        <w:rPr>
          <w:rFonts w:cs="Times New Roman"/>
          <w:szCs w:val="24"/>
          <w:lang w:eastAsia="bg-BG"/>
        </w:rPr>
      </w:pPr>
      <w:r w:rsidRPr="00C22C49">
        <w:rPr>
          <w:rFonts w:cs="Times New Roman"/>
          <w:szCs w:val="24"/>
          <w:lang w:eastAsia="bg-BG"/>
        </w:rPr>
        <w:t>Для забезпечення створення комплексної інфраструктури управління відходами важливо підвищувати обізнаність про негативні наслідки нинішніх методів захоронення відходів та переваги сталих практик управління відходами. Важливо також пояснити, що витрати на надання послуг зі комплексного управління відходами повинні покриватися утворювачами відходів за рахунок тарифів, доповнених, у разі необхідності, грантовим фінансуванням або субсидіями. Крім того, інформація про реалістичну вартість послуг з управління відходами повинна бути надана особам, які приймають рішення, планувальникам, медіа та громадянському суспільству. У громадянському суспільстві поширена помилкова думка, що відновлення матеріалів і рециклінг приносять дохід, який перевищує понесені витрати. Проте аналіз показує, що це фактично чиста собівартість діяльності. Це повідомлення має бути зрозумілим для всіх зацікавлених сторін. Подібні хибні уявлення можуть перешкодити прийняттю ефективних рішень щодо управління відходами.</w:t>
      </w:r>
    </w:p>
    <w:p w14:paraId="0896BFC0" w14:textId="4ECCF5B4" w:rsidR="00593F55" w:rsidRPr="00C22C49" w:rsidRDefault="00A53FCC" w:rsidP="00593F55">
      <w:pPr>
        <w:rPr>
          <w:rFonts w:cs="Times New Roman"/>
          <w:szCs w:val="24"/>
          <w:lang w:eastAsia="bg-BG"/>
        </w:rPr>
      </w:pPr>
      <w:r w:rsidRPr="00C22C49">
        <w:rPr>
          <w:rStyle w:val="affe"/>
          <w:b/>
          <w:bCs/>
        </w:rPr>
        <w:t>4</w:t>
      </w:r>
      <w:r w:rsidR="00593F55" w:rsidRPr="00C22C49">
        <w:rPr>
          <w:rStyle w:val="affe"/>
          <w:b/>
          <w:bCs/>
        </w:rPr>
        <w:t>. Політика зменшення відходів.</w:t>
      </w:r>
      <w:r w:rsidR="00593F55" w:rsidRPr="00C22C49">
        <w:rPr>
          <w:rFonts w:cs="Times New Roman"/>
          <w:szCs w:val="24"/>
          <w:lang w:eastAsia="bg-BG"/>
        </w:rPr>
        <w:t xml:space="preserve"> Національна програма запобігання утворенню відходів </w:t>
      </w:r>
      <w:r w:rsidRPr="00C22C49">
        <w:rPr>
          <w:rFonts w:cs="Times New Roman"/>
          <w:szCs w:val="24"/>
          <w:lang w:eastAsia="bg-BG"/>
        </w:rPr>
        <w:t>включатиме заходи</w:t>
      </w:r>
      <w:r w:rsidR="00593F55" w:rsidRPr="00C22C49">
        <w:rPr>
          <w:rFonts w:cs="Times New Roman"/>
          <w:szCs w:val="24"/>
          <w:lang w:eastAsia="bg-BG"/>
        </w:rPr>
        <w:t>, спрямован</w:t>
      </w:r>
      <w:r w:rsidR="00592D28" w:rsidRPr="00C22C49">
        <w:rPr>
          <w:rFonts w:cs="Times New Roman"/>
          <w:szCs w:val="24"/>
          <w:lang w:eastAsia="bg-BG"/>
        </w:rPr>
        <w:t>і</w:t>
      </w:r>
      <w:r w:rsidR="00593F55" w:rsidRPr="00C22C49">
        <w:rPr>
          <w:rFonts w:cs="Times New Roman"/>
          <w:szCs w:val="24"/>
          <w:lang w:eastAsia="bg-BG"/>
        </w:rPr>
        <w:t xml:space="preserve"> на зменшення </w:t>
      </w:r>
      <w:r w:rsidR="00664A18">
        <w:rPr>
          <w:rFonts w:cs="Times New Roman"/>
          <w:szCs w:val="24"/>
          <w:lang w:eastAsia="bg-BG"/>
        </w:rPr>
        <w:t>обсягів</w:t>
      </w:r>
      <w:r w:rsidR="00664A18" w:rsidRPr="00C22C49">
        <w:rPr>
          <w:rFonts w:cs="Times New Roman"/>
          <w:szCs w:val="24"/>
          <w:lang w:eastAsia="bg-BG"/>
        </w:rPr>
        <w:t xml:space="preserve"> </w:t>
      </w:r>
      <w:r w:rsidRPr="00C22C49">
        <w:rPr>
          <w:rFonts w:cs="Times New Roman"/>
          <w:szCs w:val="24"/>
          <w:lang w:eastAsia="bg-BG"/>
        </w:rPr>
        <w:t>утворених</w:t>
      </w:r>
      <w:r w:rsidR="00593F55" w:rsidRPr="00C22C49">
        <w:rPr>
          <w:rFonts w:cs="Times New Roman"/>
          <w:szCs w:val="24"/>
          <w:lang w:eastAsia="bg-BG"/>
        </w:rPr>
        <w:t xml:space="preserve"> відходів, наприклад, заборону одноразового пластику, а також стимули для бізнесу щодо зменшення </w:t>
      </w:r>
      <w:r w:rsidR="00664A18" w:rsidRPr="00664A18">
        <w:rPr>
          <w:rFonts w:cs="Times New Roman"/>
          <w:szCs w:val="24"/>
          <w:lang w:eastAsia="bg-BG"/>
        </w:rPr>
        <w:t xml:space="preserve">обсягів </w:t>
      </w:r>
      <w:r w:rsidR="00593F55" w:rsidRPr="00C22C49">
        <w:rPr>
          <w:rFonts w:cs="Times New Roman"/>
          <w:szCs w:val="24"/>
          <w:lang w:eastAsia="bg-BG"/>
        </w:rPr>
        <w:t>відходів.</w:t>
      </w:r>
    </w:p>
    <w:p w14:paraId="0896BFC1" w14:textId="77777777" w:rsidR="00593F55" w:rsidRPr="00C22C49" w:rsidRDefault="00A53FCC" w:rsidP="00593F55">
      <w:pPr>
        <w:rPr>
          <w:rFonts w:cs="Times New Roman"/>
          <w:szCs w:val="24"/>
          <w:lang w:eastAsia="bg-BG"/>
        </w:rPr>
      </w:pPr>
      <w:r w:rsidRPr="00C22C49">
        <w:rPr>
          <w:rStyle w:val="affe"/>
          <w:b/>
          <w:bCs/>
        </w:rPr>
        <w:t>5</w:t>
      </w:r>
      <w:r w:rsidR="00593F55" w:rsidRPr="00C22C49">
        <w:rPr>
          <w:rStyle w:val="affe"/>
          <w:b/>
          <w:bCs/>
        </w:rPr>
        <w:t xml:space="preserve">. </w:t>
      </w:r>
      <w:r w:rsidR="00CB44D2" w:rsidRPr="00C22C49">
        <w:rPr>
          <w:rStyle w:val="affe"/>
          <w:b/>
          <w:bCs/>
        </w:rPr>
        <w:t>Заходи п</w:t>
      </w:r>
      <w:r w:rsidR="00593F55" w:rsidRPr="00C22C49">
        <w:rPr>
          <w:rStyle w:val="affe"/>
          <w:b/>
          <w:bCs/>
        </w:rPr>
        <w:t>росторов</w:t>
      </w:r>
      <w:r w:rsidR="00CB44D2" w:rsidRPr="00C22C49">
        <w:rPr>
          <w:rStyle w:val="affe"/>
          <w:b/>
          <w:bCs/>
        </w:rPr>
        <w:t>ого</w:t>
      </w:r>
      <w:r w:rsidR="00593F55" w:rsidRPr="00C22C49">
        <w:rPr>
          <w:rStyle w:val="affe"/>
          <w:b/>
          <w:bCs/>
        </w:rPr>
        <w:t xml:space="preserve"> планування.</w:t>
      </w:r>
      <w:r w:rsidR="00593F55" w:rsidRPr="00C22C49">
        <w:rPr>
          <w:rFonts w:cs="Times New Roman"/>
          <w:szCs w:val="24"/>
          <w:lang w:eastAsia="bg-BG"/>
        </w:rPr>
        <w:t xml:space="preserve"> Громадські місця </w:t>
      </w:r>
      <w:r w:rsidR="00C003AC" w:rsidRPr="00C22C49">
        <w:rPr>
          <w:rFonts w:cs="Times New Roman"/>
          <w:szCs w:val="24"/>
          <w:lang w:eastAsia="bg-BG"/>
        </w:rPr>
        <w:t xml:space="preserve">мають </w:t>
      </w:r>
      <w:r w:rsidR="00593F55" w:rsidRPr="00C22C49">
        <w:rPr>
          <w:rFonts w:cs="Times New Roman"/>
          <w:szCs w:val="24"/>
          <w:lang w:eastAsia="bg-BG"/>
        </w:rPr>
        <w:t xml:space="preserve">бути спроектовані таким чином, щоб вони були вільними від сміття, наприклад, з достатньою кількістю сміттєвих баків і знаків, що заохочують до належного поводження з відходами. </w:t>
      </w:r>
      <w:r w:rsidR="00C003AC" w:rsidRPr="00C22C49">
        <w:rPr>
          <w:rFonts w:cs="Times New Roman"/>
          <w:szCs w:val="24"/>
          <w:lang w:eastAsia="bg-BG"/>
        </w:rPr>
        <w:t xml:space="preserve">Колір </w:t>
      </w:r>
      <w:r w:rsidR="003E5485" w:rsidRPr="00C22C49">
        <w:rPr>
          <w:rFonts w:cs="Times New Roman"/>
          <w:szCs w:val="24"/>
          <w:lang w:eastAsia="bg-BG"/>
        </w:rPr>
        <w:t xml:space="preserve">та </w:t>
      </w:r>
      <w:r w:rsidR="00593F55" w:rsidRPr="00C22C49">
        <w:rPr>
          <w:rFonts w:cs="Times New Roman"/>
          <w:szCs w:val="24"/>
          <w:lang w:eastAsia="bg-BG"/>
        </w:rPr>
        <w:t>яскраві написи</w:t>
      </w:r>
      <w:r w:rsidR="003E5485" w:rsidRPr="00C22C49">
        <w:rPr>
          <w:rFonts w:cs="Times New Roman"/>
          <w:szCs w:val="24"/>
          <w:lang w:eastAsia="bg-BG"/>
        </w:rPr>
        <w:t xml:space="preserve"> на баках</w:t>
      </w:r>
      <w:r w:rsidR="00593F55" w:rsidRPr="00C22C49">
        <w:rPr>
          <w:rFonts w:cs="Times New Roman"/>
          <w:szCs w:val="24"/>
          <w:lang w:eastAsia="bg-BG"/>
        </w:rPr>
        <w:t xml:space="preserve"> </w:t>
      </w:r>
      <w:r w:rsidR="003E5485" w:rsidRPr="00C22C49">
        <w:rPr>
          <w:rFonts w:cs="Times New Roman"/>
          <w:szCs w:val="24"/>
          <w:lang w:eastAsia="bg-BG"/>
        </w:rPr>
        <w:t>мають</w:t>
      </w:r>
      <w:r w:rsidR="00593F55" w:rsidRPr="00C22C49">
        <w:rPr>
          <w:rFonts w:cs="Times New Roman"/>
          <w:szCs w:val="24"/>
          <w:lang w:eastAsia="bg-BG"/>
        </w:rPr>
        <w:t xml:space="preserve"> привер</w:t>
      </w:r>
      <w:r w:rsidR="00592D28" w:rsidRPr="00C22C49">
        <w:rPr>
          <w:rFonts w:cs="Times New Roman"/>
          <w:szCs w:val="24"/>
          <w:lang w:eastAsia="bg-BG"/>
        </w:rPr>
        <w:t xml:space="preserve">тати </w:t>
      </w:r>
      <w:r w:rsidR="00593F55" w:rsidRPr="00C22C49">
        <w:rPr>
          <w:rFonts w:cs="Times New Roman"/>
          <w:szCs w:val="24"/>
          <w:lang w:eastAsia="bg-BG"/>
        </w:rPr>
        <w:t xml:space="preserve">увагу людей до них і заохотити правильно </w:t>
      </w:r>
      <w:r w:rsidR="003E5485" w:rsidRPr="00C22C49">
        <w:rPr>
          <w:rFonts w:cs="Times New Roman"/>
          <w:szCs w:val="24"/>
          <w:lang w:eastAsia="bg-BG"/>
        </w:rPr>
        <w:t>поводитись</w:t>
      </w:r>
      <w:r w:rsidR="00593F55" w:rsidRPr="00C22C49">
        <w:rPr>
          <w:rFonts w:cs="Times New Roman"/>
          <w:szCs w:val="24"/>
          <w:lang w:eastAsia="bg-BG"/>
        </w:rPr>
        <w:t xml:space="preserve"> </w:t>
      </w:r>
      <w:r w:rsidR="00592D28" w:rsidRPr="00C22C49">
        <w:rPr>
          <w:rFonts w:cs="Times New Roman"/>
          <w:szCs w:val="24"/>
          <w:lang w:eastAsia="bg-BG"/>
        </w:rPr>
        <w:t xml:space="preserve">зі </w:t>
      </w:r>
      <w:r w:rsidR="00593F55" w:rsidRPr="00C22C49">
        <w:rPr>
          <w:rFonts w:cs="Times New Roman"/>
          <w:szCs w:val="24"/>
          <w:lang w:eastAsia="bg-BG"/>
        </w:rPr>
        <w:t>своїми відходами. У громадських місцях, де дозволено куріння, попільнички можуть запобігти засміченню недопалками. Можуть бути здійсненні інвестиції в інноваційні технології такі як "розумні" сміттєві баки, які визнача</w:t>
      </w:r>
      <w:r w:rsidR="003067C9" w:rsidRPr="00C22C49">
        <w:rPr>
          <w:rFonts w:cs="Times New Roman"/>
          <w:szCs w:val="24"/>
          <w:lang w:eastAsia="bg-BG"/>
        </w:rPr>
        <w:t>ють</w:t>
      </w:r>
      <w:r w:rsidR="00593F55" w:rsidRPr="00C22C49">
        <w:rPr>
          <w:rFonts w:cs="Times New Roman"/>
          <w:szCs w:val="24"/>
          <w:lang w:eastAsia="bg-BG"/>
        </w:rPr>
        <w:t>, коли вони переповнені і потребують спорожнення. Фізичні бар'єри, такі як паркани, живоплоти та низькі стіни, запобіг</w:t>
      </w:r>
      <w:r w:rsidR="003067C9" w:rsidRPr="00C22C49">
        <w:rPr>
          <w:rFonts w:cs="Times New Roman"/>
          <w:szCs w:val="24"/>
          <w:lang w:eastAsia="bg-BG"/>
        </w:rPr>
        <w:t>ають</w:t>
      </w:r>
      <w:r w:rsidR="00593F55" w:rsidRPr="00C22C49">
        <w:rPr>
          <w:rFonts w:cs="Times New Roman"/>
          <w:szCs w:val="24"/>
          <w:lang w:eastAsia="bg-BG"/>
        </w:rPr>
        <w:t xml:space="preserve"> рознесенню </w:t>
      </w:r>
      <w:r w:rsidR="003067C9" w:rsidRPr="00C22C49">
        <w:rPr>
          <w:rFonts w:cs="Times New Roman"/>
          <w:szCs w:val="24"/>
          <w:lang w:eastAsia="bg-BG"/>
        </w:rPr>
        <w:t>відходів</w:t>
      </w:r>
      <w:r w:rsidR="00593F55" w:rsidRPr="00C22C49">
        <w:rPr>
          <w:rFonts w:cs="Times New Roman"/>
          <w:szCs w:val="24"/>
          <w:lang w:eastAsia="bg-BG"/>
        </w:rPr>
        <w:t xml:space="preserve"> з території. Враховуючи ці особливості в дизайні громадських просторів, можна запобігти засміченню та заохотити</w:t>
      </w:r>
      <w:r w:rsidR="003067C9" w:rsidRPr="00C22C49">
        <w:rPr>
          <w:rFonts w:cs="Times New Roman"/>
          <w:szCs w:val="24"/>
          <w:lang w:eastAsia="bg-BG"/>
        </w:rPr>
        <w:t xml:space="preserve"> населення до</w:t>
      </w:r>
      <w:r w:rsidR="00593F55" w:rsidRPr="00C22C49">
        <w:rPr>
          <w:rFonts w:cs="Times New Roman"/>
          <w:szCs w:val="24"/>
          <w:lang w:eastAsia="bg-BG"/>
        </w:rPr>
        <w:t xml:space="preserve"> належн</w:t>
      </w:r>
      <w:r w:rsidR="003067C9" w:rsidRPr="00C22C49">
        <w:rPr>
          <w:rFonts w:cs="Times New Roman"/>
          <w:szCs w:val="24"/>
          <w:lang w:eastAsia="bg-BG"/>
        </w:rPr>
        <w:t>ого</w:t>
      </w:r>
      <w:r w:rsidR="00593F55" w:rsidRPr="00C22C49">
        <w:rPr>
          <w:rFonts w:cs="Times New Roman"/>
          <w:szCs w:val="24"/>
          <w:lang w:eastAsia="bg-BG"/>
        </w:rPr>
        <w:t xml:space="preserve"> </w:t>
      </w:r>
      <w:r w:rsidR="003067C9" w:rsidRPr="00C22C49">
        <w:rPr>
          <w:rFonts w:cs="Times New Roman"/>
          <w:szCs w:val="24"/>
          <w:lang w:eastAsia="bg-BG"/>
        </w:rPr>
        <w:t xml:space="preserve">поводження із </w:t>
      </w:r>
      <w:r w:rsidR="00593F55" w:rsidRPr="00C22C49">
        <w:rPr>
          <w:rFonts w:cs="Times New Roman"/>
          <w:szCs w:val="24"/>
          <w:lang w:eastAsia="bg-BG"/>
        </w:rPr>
        <w:t>відход</w:t>
      </w:r>
      <w:r w:rsidR="003067C9" w:rsidRPr="00C22C49">
        <w:rPr>
          <w:rFonts w:cs="Times New Roman"/>
          <w:szCs w:val="24"/>
          <w:lang w:eastAsia="bg-BG"/>
        </w:rPr>
        <w:t>ами</w:t>
      </w:r>
      <w:r w:rsidR="00593F55" w:rsidRPr="00C22C49">
        <w:rPr>
          <w:rFonts w:cs="Times New Roman"/>
          <w:szCs w:val="24"/>
          <w:lang w:eastAsia="bg-BG"/>
        </w:rPr>
        <w:t>.</w:t>
      </w:r>
    </w:p>
    <w:p w14:paraId="0896BFC2" w14:textId="77777777" w:rsidR="008B1E83" w:rsidRPr="00C22C49" w:rsidRDefault="008B1E83" w:rsidP="008B1E83"/>
    <w:p w14:paraId="0896BFC3" w14:textId="77777777" w:rsidR="008B1E83" w:rsidRPr="00C22C49" w:rsidRDefault="00113DAE" w:rsidP="00113DAE">
      <w:pPr>
        <w:pStyle w:val="30"/>
      </w:pPr>
      <w:bookmarkStart w:id="40" w:name="_Toc151583273"/>
      <w:r w:rsidRPr="00C22C49">
        <w:t>І</w:t>
      </w:r>
      <w:r w:rsidR="008B1E83" w:rsidRPr="00C22C49">
        <w:t>сторичні місця розміщення відходів та заходи з їх очищення, обсяги витрат і можливі джерела фінансування</w:t>
      </w:r>
      <w:bookmarkEnd w:id="40"/>
    </w:p>
    <w:p w14:paraId="0896BFC4" w14:textId="77777777" w:rsidR="008B1E83" w:rsidRPr="00C22C49" w:rsidRDefault="005458EC" w:rsidP="008B1E83">
      <w:r w:rsidRPr="00C22C49">
        <w:t xml:space="preserve">Більшість потоків відходів містять речовини, які становлять небезпеку для здоров'я людини та довкілля, а </w:t>
      </w:r>
      <w:r w:rsidR="00447DC6" w:rsidRPr="00C22C49">
        <w:t xml:space="preserve">покинуті промислові підприємства, місця видалення відходів, </w:t>
      </w:r>
      <w:r w:rsidRPr="00C22C49">
        <w:t xml:space="preserve">об'єкти управління відходами є потенційними джерелами викидів цих речовин. Через недосконалість законодавства щодо </w:t>
      </w:r>
      <w:r w:rsidR="00832679" w:rsidRPr="00C22C49">
        <w:t xml:space="preserve">таких </w:t>
      </w:r>
      <w:r w:rsidRPr="00C22C49">
        <w:t>об'єктів вони часто ста</w:t>
      </w:r>
      <w:r w:rsidR="00832679" w:rsidRPr="00C22C49">
        <w:t>ють</w:t>
      </w:r>
      <w:r w:rsidRPr="00C22C49">
        <w:t xml:space="preserve"> джерелом забруднення ґрунтів і ґрунтових вод, оскільки </w:t>
      </w:r>
      <w:r w:rsidR="00832679" w:rsidRPr="00C22C49">
        <w:t xml:space="preserve">місця зберігання та видалення відходів </w:t>
      </w:r>
      <w:r w:rsidRPr="00C22C49">
        <w:t>без належної герметизації перетвор</w:t>
      </w:r>
      <w:r w:rsidR="00832679" w:rsidRPr="00C22C49">
        <w:t>юються</w:t>
      </w:r>
      <w:r w:rsidRPr="00C22C49">
        <w:t xml:space="preserve"> на історично забруднені території.</w:t>
      </w:r>
      <w:r w:rsidR="00DE33AE" w:rsidRPr="00C22C49">
        <w:t xml:space="preserve"> </w:t>
      </w:r>
      <w:r w:rsidR="003666A1" w:rsidRPr="00C22C49">
        <w:t>НПУВ</w:t>
      </w:r>
      <w:r w:rsidR="00DE33AE" w:rsidRPr="00C22C49">
        <w:t xml:space="preserve"> пропонує невідкладні заходи для підготовки інвентаризації та оцінки ризиків усіх таких </w:t>
      </w:r>
      <w:r w:rsidR="003666A1" w:rsidRPr="00C22C49">
        <w:t>історично забруднених</w:t>
      </w:r>
      <w:r w:rsidR="00DE33AE" w:rsidRPr="00C22C49">
        <w:t xml:space="preserve"> об'єктів, визначення </w:t>
      </w:r>
      <w:r w:rsidR="000762D9" w:rsidRPr="00C22C49">
        <w:t xml:space="preserve">рівня ризику від їх впливу </w:t>
      </w:r>
      <w:r w:rsidR="001A4064" w:rsidRPr="00C22C49">
        <w:t xml:space="preserve">для здоров'я людей та </w:t>
      </w:r>
      <w:r w:rsidR="000762D9" w:rsidRPr="00C22C49">
        <w:t>на довкілля</w:t>
      </w:r>
      <w:r w:rsidR="00DE33AE" w:rsidRPr="00C22C49">
        <w:t>, а також заходів, необхідних для зменшення</w:t>
      </w:r>
      <w:r w:rsidR="001A4064" w:rsidRPr="00C22C49">
        <w:t xml:space="preserve"> та усунення</w:t>
      </w:r>
      <w:r w:rsidR="00DE33AE" w:rsidRPr="00C22C49">
        <w:t xml:space="preserve"> </w:t>
      </w:r>
      <w:r w:rsidR="000762D9" w:rsidRPr="00C22C49">
        <w:t>цього</w:t>
      </w:r>
      <w:r w:rsidR="00DE33AE" w:rsidRPr="00C22C49">
        <w:t xml:space="preserve"> ризику.</w:t>
      </w:r>
    </w:p>
    <w:p w14:paraId="0896BFC5" w14:textId="77777777" w:rsidR="0055357D" w:rsidRPr="00C22C49" w:rsidRDefault="0055357D" w:rsidP="0015421E">
      <w:pPr>
        <w:pStyle w:val="REDBoldonly"/>
      </w:pPr>
      <w:r w:rsidRPr="00C22C49">
        <w:t>Законода</w:t>
      </w:r>
      <w:r w:rsidR="00C5123D" w:rsidRPr="00C22C49">
        <w:t>вство</w:t>
      </w:r>
    </w:p>
    <w:p w14:paraId="0896BFC6" w14:textId="77777777" w:rsidR="008B1E83" w:rsidRPr="00C22C49" w:rsidRDefault="0055357D" w:rsidP="0055357D">
      <w:r w:rsidRPr="00C22C49">
        <w:t xml:space="preserve">Забруднені ділянки повинні регулюватися законодавством про управління відходами, а також ґрунтовим або водним законодавством. Зазвичай, правила щодо забруднених ділянок застосовуються не лише до історичних місць </w:t>
      </w:r>
      <w:r w:rsidR="000E658D" w:rsidRPr="00C22C49">
        <w:t>розміщення</w:t>
      </w:r>
      <w:r w:rsidRPr="00C22C49">
        <w:t xml:space="preserve"> відходів, але й до промислових об'єктів, які забруднили </w:t>
      </w:r>
      <w:r w:rsidR="000E658D" w:rsidRPr="00C22C49">
        <w:t>прилеглу</w:t>
      </w:r>
      <w:r w:rsidRPr="00C22C49">
        <w:t xml:space="preserve"> територію. Законом України "Про охорону навколишнього природного середовища" (статті 20, 22) передбачено створення державної системи моніторингу довкілля (далі – ДСМД) та проведення спостережень за станом навколишнього природного середовища, рівнем його забруднення. </w:t>
      </w:r>
      <w:r w:rsidR="004B22C2" w:rsidRPr="00C22C49">
        <w:t>Таке с</w:t>
      </w:r>
      <w:r w:rsidRPr="00C22C49">
        <w:t>постереження здійснюється Міністерство</w:t>
      </w:r>
      <w:r w:rsidR="002D6C89" w:rsidRPr="00C22C49">
        <w:t>м</w:t>
      </w:r>
      <w:r w:rsidRPr="00C22C49">
        <w:t xml:space="preserve"> захисту довкілля та природних ресурсів України, іншими спеціально уповноваженими державними органами, а також підприємствами, установами та організаціями, діяльність яких призводить або може призвести до погіршення стану навколишнього природного середовища.</w:t>
      </w:r>
    </w:p>
    <w:p w14:paraId="0896BFC7" w14:textId="77777777" w:rsidR="00516825" w:rsidRPr="00C22C49" w:rsidRDefault="00516825" w:rsidP="008B1E83">
      <w:r w:rsidRPr="00C22C49">
        <w:t xml:space="preserve">Сучасний стан навколишнього природного середовища в Україні є наслідком тривалої господарської діяльності, яка проводилася без урахування екологічних вимог. В Україні розвивалися переважно сировинно-видобувні галузі промисловості, які </w:t>
      </w:r>
      <w:r w:rsidR="006F44FB" w:rsidRPr="00C22C49">
        <w:t xml:space="preserve">чинять </w:t>
      </w:r>
      <w:r w:rsidR="003C2760" w:rsidRPr="00C22C49">
        <w:t xml:space="preserve">значне </w:t>
      </w:r>
      <w:r w:rsidR="006F44FB" w:rsidRPr="00C22C49">
        <w:t>антропогенне навантаження на екосистеми</w:t>
      </w:r>
      <w:r w:rsidRPr="00C22C49">
        <w:t>.</w:t>
      </w:r>
    </w:p>
    <w:p w14:paraId="0896BFC8" w14:textId="77777777" w:rsidR="007B1AF2" w:rsidRPr="00C22C49" w:rsidRDefault="007476B0" w:rsidP="008B1E83">
      <w:r w:rsidRPr="00C22C49">
        <w:t xml:space="preserve">Реальні обсяги накопичених відходів та локації їх зберігання в Україні не відображені в статистичних звітах. Це відбувається тому, що при проведенні державного статистичного </w:t>
      </w:r>
      <w:r w:rsidR="001A3CB7" w:rsidRPr="00C22C49">
        <w:t>звітності</w:t>
      </w:r>
      <w:r w:rsidRPr="00C22C49">
        <w:t xml:space="preserve"> не враховуються відходи від збанкрутілих або нефункціонуючих підприємств, які раніше сформували значні обсяги відходів. Таким чином, проблема очищення історичних місць накопичення відходів стає дуже актуальною.</w:t>
      </w:r>
    </w:p>
    <w:p w14:paraId="0896BFC9" w14:textId="77777777" w:rsidR="00E27F23" w:rsidRPr="00C22C49" w:rsidRDefault="00E27F23" w:rsidP="00E27F23">
      <w:r w:rsidRPr="00C22C49">
        <w:t xml:space="preserve">Основна маса відходів </w:t>
      </w:r>
      <w:r w:rsidR="0080283D" w:rsidRPr="00C22C49">
        <w:t xml:space="preserve">на </w:t>
      </w:r>
      <w:r w:rsidRPr="00C22C49">
        <w:t xml:space="preserve">історично </w:t>
      </w:r>
      <w:r w:rsidR="0080283D" w:rsidRPr="00C22C49">
        <w:t xml:space="preserve">забруднених ділянках </w:t>
      </w:r>
      <w:r w:rsidRPr="00C22C49">
        <w:t xml:space="preserve">концентрується навколо таких </w:t>
      </w:r>
      <w:r w:rsidR="0080283D" w:rsidRPr="00C22C49">
        <w:t>об’єктів</w:t>
      </w:r>
      <w:r w:rsidRPr="00C22C49">
        <w:t>:</w:t>
      </w:r>
    </w:p>
    <w:p w14:paraId="0896BFCA" w14:textId="77777777" w:rsidR="00E27F23" w:rsidRPr="00C22C49" w:rsidRDefault="00E27F23" w:rsidP="00183308">
      <w:pPr>
        <w:pStyle w:val="BulletRED"/>
      </w:pPr>
      <w:r w:rsidRPr="00C22C49">
        <w:t>тепло-</w:t>
      </w:r>
      <w:r w:rsidR="0080283D" w:rsidRPr="00C22C49">
        <w:t xml:space="preserve">, </w:t>
      </w:r>
      <w:r w:rsidRPr="00C22C49">
        <w:t>електростанцій, що спалюють органічне паливо</w:t>
      </w:r>
    </w:p>
    <w:p w14:paraId="0896BFCB" w14:textId="77777777" w:rsidR="00E27F23" w:rsidRPr="00C22C49" w:rsidRDefault="00E27F23" w:rsidP="00183308">
      <w:pPr>
        <w:pStyle w:val="BulletRED"/>
      </w:pPr>
      <w:r w:rsidRPr="00C22C49">
        <w:t>підприємств чорної та кольорової металургії, машинобудування, хімічної, харчової та інших галузей промисловості</w:t>
      </w:r>
    </w:p>
    <w:p w14:paraId="0896BFCC" w14:textId="77777777" w:rsidR="00E27F23" w:rsidRPr="00C22C49" w:rsidRDefault="00E27F23" w:rsidP="00183308">
      <w:pPr>
        <w:pStyle w:val="BulletRED"/>
      </w:pPr>
      <w:r w:rsidRPr="00C22C49">
        <w:t>об’єктів видобутку і переробки мінеральної сировини</w:t>
      </w:r>
    </w:p>
    <w:p w14:paraId="0896BFCD" w14:textId="77777777" w:rsidR="00E27F23" w:rsidRPr="00C22C49" w:rsidRDefault="00E27F23" w:rsidP="00183308">
      <w:pPr>
        <w:pStyle w:val="BulletRED"/>
      </w:pPr>
      <w:r w:rsidRPr="00C22C49">
        <w:t>відкритих джерел (видобуток корисних копалин, сільськогосподарська рілля, будівництво)</w:t>
      </w:r>
    </w:p>
    <w:p w14:paraId="0896BFCE" w14:textId="77777777" w:rsidR="00E27F23" w:rsidRPr="00C22C49" w:rsidRDefault="0080283D" w:rsidP="00183308">
      <w:pPr>
        <w:pStyle w:val="BulletRED"/>
      </w:pPr>
      <w:r w:rsidRPr="00C22C49">
        <w:t>міс</w:t>
      </w:r>
      <w:r w:rsidR="00183308" w:rsidRPr="00C22C49">
        <w:t>ц</w:t>
      </w:r>
      <w:r w:rsidRPr="00C22C49">
        <w:t>ь розміщення відходів</w:t>
      </w:r>
      <w:r w:rsidR="00183308" w:rsidRPr="00C22C49">
        <w:t>,</w:t>
      </w:r>
      <w:r w:rsidRPr="00C22C49">
        <w:t xml:space="preserve"> </w:t>
      </w:r>
      <w:r w:rsidR="00E27F23" w:rsidRPr="00C22C49">
        <w:t xml:space="preserve">побутових та </w:t>
      </w:r>
      <w:r w:rsidR="00183308" w:rsidRPr="00C22C49">
        <w:t>промислових.</w:t>
      </w:r>
    </w:p>
    <w:p w14:paraId="0896BFCF" w14:textId="77777777" w:rsidR="00516A62" w:rsidRPr="00C22C49" w:rsidRDefault="00FC4190" w:rsidP="008B1E83">
      <w:r w:rsidRPr="00C22C49">
        <w:t>Усього в зонах можливого хімічного зараження потенційно небезпечних об’єктів мешкає значна частина населення України. Найбільша кількість хімічно небезпечних об’єктів зосереджена в Донецькій, Дніпропетровській, Луганській та Харківській областях.</w:t>
      </w:r>
    </w:p>
    <w:p w14:paraId="0896BFD0" w14:textId="77777777" w:rsidR="00516A62" w:rsidRPr="00C22C49" w:rsidRDefault="00516A62" w:rsidP="008B1E83"/>
    <w:p w14:paraId="0896BFD1" w14:textId="77777777" w:rsidR="007B1AF2" w:rsidRPr="00C22C49" w:rsidRDefault="00516A62" w:rsidP="0015421E">
      <w:pPr>
        <w:pStyle w:val="REDBoldonly"/>
      </w:pPr>
      <w:r w:rsidRPr="00C22C49">
        <w:t>Заходи з очищення історичних місць розміщення відходів</w:t>
      </w:r>
    </w:p>
    <w:p w14:paraId="0896BFD2" w14:textId="77777777" w:rsidR="00AA7A61" w:rsidRPr="00C22C49" w:rsidRDefault="00AA7A61" w:rsidP="007B1AF2">
      <w:r w:rsidRPr="00C22C49">
        <w:t xml:space="preserve">Технічні обмеження та надзвичайно високі затрати очищення історичних місць вказують на те, що на даний момент неможливо або нереалістично розглядати питання комплексного очищення об'єктів, де розміщені небезпечні промислові відходи. </w:t>
      </w:r>
      <w:r w:rsidR="00D03883" w:rsidRPr="00C22C49">
        <w:t>Тому</w:t>
      </w:r>
      <w:r w:rsidRPr="00C22C49">
        <w:t xml:space="preserve"> необхідно</w:t>
      </w:r>
      <w:r w:rsidR="00D03883" w:rsidRPr="00C22C49">
        <w:t xml:space="preserve"> провести інвентаризацію </w:t>
      </w:r>
      <w:r w:rsidR="00F10E1E" w:rsidRPr="00C22C49">
        <w:t>із визначенням ступеня ризику (від низького до високого ризику)</w:t>
      </w:r>
      <w:r w:rsidRPr="00C22C49">
        <w:t xml:space="preserve"> </w:t>
      </w:r>
      <w:r w:rsidR="00F10E1E" w:rsidRPr="00C22C49">
        <w:t xml:space="preserve">та </w:t>
      </w:r>
      <w:r w:rsidR="009F7284" w:rsidRPr="00C22C49">
        <w:t>встановлення</w:t>
      </w:r>
      <w:r w:rsidR="00F10E1E" w:rsidRPr="00C22C49">
        <w:t xml:space="preserve"> пріоритетності </w:t>
      </w:r>
      <w:r w:rsidR="009F7284" w:rsidRPr="00C22C49">
        <w:t xml:space="preserve">для </w:t>
      </w:r>
      <w:r w:rsidR="00F10E1E" w:rsidRPr="00C22C49">
        <w:t xml:space="preserve">ділянок, а також графік остаточної рекультивації. </w:t>
      </w:r>
      <w:r w:rsidR="009F7284" w:rsidRPr="00C22C49">
        <w:t>В першу чергу очищенню підлягають</w:t>
      </w:r>
      <w:r w:rsidRPr="00C22C49">
        <w:t xml:space="preserve"> найбільш критичні об'єкти,</w:t>
      </w:r>
      <w:r w:rsidR="00B968E5" w:rsidRPr="00C22C49">
        <w:t xml:space="preserve"> </w:t>
      </w:r>
      <w:r w:rsidRPr="00C22C49">
        <w:t>розподіл обмежен</w:t>
      </w:r>
      <w:r w:rsidR="00B968E5" w:rsidRPr="00C22C49">
        <w:t>их</w:t>
      </w:r>
      <w:r w:rsidRPr="00C22C49">
        <w:t xml:space="preserve"> ресурс</w:t>
      </w:r>
      <w:r w:rsidR="00B968E5" w:rsidRPr="00C22C49">
        <w:t>ів</w:t>
      </w:r>
      <w:r w:rsidRPr="00C22C49">
        <w:t xml:space="preserve"> на відновлення об'єкта </w:t>
      </w:r>
      <w:r w:rsidR="00B968E5" w:rsidRPr="00C22C49">
        <w:t>має бути таким</w:t>
      </w:r>
      <w:r w:rsidRPr="00C22C49">
        <w:t xml:space="preserve">, щоб це принесло максимальну користь суспільству. </w:t>
      </w:r>
    </w:p>
    <w:p w14:paraId="0896BFD3" w14:textId="77777777" w:rsidR="007E1885" w:rsidRPr="00C22C49" w:rsidRDefault="007E1885" w:rsidP="007E1885">
      <w:r w:rsidRPr="00C22C49">
        <w:t>На основі вивчення наявних літературних джерел та вітчизняних і міжнародних  практичних рекомендацій та досвіду реалізації аналогічних проектів з врахуванням проведених досліджень та аналізу отриманих матеріалів і звітів обґрунтовуються основні варіанти локалізації та ліквідації/рекультивації забруднених ділянок:</w:t>
      </w:r>
    </w:p>
    <w:p w14:paraId="0896BFD4" w14:textId="77777777" w:rsidR="007E1885" w:rsidRPr="00C22C49" w:rsidRDefault="007E1885" w:rsidP="007E1885">
      <w:r w:rsidRPr="00C22C49">
        <w:rPr>
          <w:b/>
        </w:rPr>
        <w:t>1. Переміщення відходів</w:t>
      </w:r>
      <w:r w:rsidRPr="00C22C49">
        <w:t xml:space="preserve">. Вилучення (звільнення території від відходів) та подальше їх перевезення й </w:t>
      </w:r>
      <w:r w:rsidR="00160557" w:rsidRPr="00C22C49">
        <w:t>перезахоронення</w:t>
      </w:r>
      <w:r w:rsidRPr="00C22C49">
        <w:t xml:space="preserve"> є одним із найбільш часто застосовуваних методів. При цьому мобілізаційні та експлуатаційні витрати становлять більшу частину загальної вартості методу.</w:t>
      </w:r>
    </w:p>
    <w:p w14:paraId="0896BFD5" w14:textId="77777777" w:rsidR="007E1885" w:rsidRPr="00C22C49" w:rsidRDefault="007E1885" w:rsidP="007E1885">
      <w:r w:rsidRPr="00C22C49">
        <w:rPr>
          <w:b/>
        </w:rPr>
        <w:t>2. Локалізація забруднення</w:t>
      </w:r>
      <w:r w:rsidR="00160557" w:rsidRPr="00C22C49">
        <w:t xml:space="preserve">. </w:t>
      </w:r>
      <w:r w:rsidRPr="00C22C49">
        <w:t>Системи локалізації забруднення є традиційним методом інженерної рекультивації ґрунтів. Сутність його полягає в організації захисного «покриття» або в облаштуванні бар’єру між майбутнім користува</w:t>
      </w:r>
      <w:r w:rsidR="00160557" w:rsidRPr="00C22C49">
        <w:t>нням</w:t>
      </w:r>
      <w:r w:rsidRPr="00C22C49">
        <w:t xml:space="preserve"> ділянк</w:t>
      </w:r>
      <w:r w:rsidR="00160557" w:rsidRPr="00C22C49">
        <w:t>ою</w:t>
      </w:r>
      <w:r w:rsidRPr="00C22C49">
        <w:t xml:space="preserve"> землі та забрудненим ґрунтовим шаром. </w:t>
      </w:r>
    </w:p>
    <w:p w14:paraId="0896BFD6" w14:textId="77777777" w:rsidR="007E1885" w:rsidRPr="00C22C49" w:rsidRDefault="007E1885" w:rsidP="007E1885">
      <w:r w:rsidRPr="00C22C49">
        <w:rPr>
          <w:b/>
        </w:rPr>
        <w:t>3. Консервація із застосуванням розчину бішофіту</w:t>
      </w:r>
      <w:r w:rsidR="00160557" w:rsidRPr="00C22C49">
        <w:rPr>
          <w:b/>
        </w:rPr>
        <w:t>.</w:t>
      </w:r>
      <w:r w:rsidR="00160557" w:rsidRPr="00C22C49">
        <w:t xml:space="preserve"> </w:t>
      </w:r>
      <w:r w:rsidRPr="00C22C49">
        <w:t xml:space="preserve">Даний метод можна віднести до методів санітарної консервації, суть якого полягає в попередньому ущільненні мас відходів, що залишаються «на місці» без переміщення, далі проводиться відсипка ущільнених мас інертними відходами (наприклад, подрібненими будівельними відходами) або суглинистим </w:t>
      </w:r>
      <w:r w:rsidR="00E71A22" w:rsidRPr="00C22C49">
        <w:t>ґ</w:t>
      </w:r>
      <w:r w:rsidRPr="00C22C49">
        <w:t>рунтом, при цьому формується рельєф площадки (технічна рекультивація) й далі підготовлена площадка заливається розчином бішофіту.</w:t>
      </w:r>
    </w:p>
    <w:p w14:paraId="0896BFD7" w14:textId="77777777" w:rsidR="007E1885" w:rsidRPr="00C22C49" w:rsidRDefault="007E1885" w:rsidP="007E1885">
      <w:pPr>
        <w:rPr>
          <w:b/>
        </w:rPr>
      </w:pPr>
      <w:r w:rsidRPr="00C22C49">
        <w:rPr>
          <w:b/>
        </w:rPr>
        <w:t>4. Ліквідація звалища з облаштуванням котловану «на місці»</w:t>
      </w:r>
      <w:r w:rsidR="00E71A22" w:rsidRPr="00C22C49">
        <w:rPr>
          <w:b/>
        </w:rPr>
        <w:t>.</w:t>
      </w:r>
    </w:p>
    <w:p w14:paraId="0896BFD8" w14:textId="77777777" w:rsidR="007E1885" w:rsidRPr="00C22C49" w:rsidRDefault="007E1885" w:rsidP="007E1885">
      <w:pPr>
        <w:rPr>
          <w:b/>
        </w:rPr>
      </w:pPr>
      <w:r w:rsidRPr="00C22C49">
        <w:rPr>
          <w:b/>
        </w:rPr>
        <w:t>5. Ліквідація звалища із розділенням маси відходів</w:t>
      </w:r>
      <w:r w:rsidR="00E71A22" w:rsidRPr="00C22C49">
        <w:rPr>
          <w:b/>
        </w:rPr>
        <w:t>.</w:t>
      </w:r>
    </w:p>
    <w:p w14:paraId="0896BFD9" w14:textId="77777777" w:rsidR="007E1885" w:rsidRPr="00C22C49" w:rsidRDefault="007E1885" w:rsidP="007E1885">
      <w:pPr>
        <w:rPr>
          <w:b/>
        </w:rPr>
      </w:pPr>
      <w:r w:rsidRPr="00C22C49">
        <w:rPr>
          <w:b/>
        </w:rPr>
        <w:t>6. Ліквідація звалища із розділенням маси відходів та отриманням ґрунту-рекультиванту</w:t>
      </w:r>
      <w:r w:rsidR="00E71A22" w:rsidRPr="00C22C49">
        <w:rPr>
          <w:b/>
        </w:rPr>
        <w:t>.</w:t>
      </w:r>
    </w:p>
    <w:p w14:paraId="0896BFDA" w14:textId="77777777" w:rsidR="007E1885" w:rsidRPr="00C22C49" w:rsidRDefault="007E1885" w:rsidP="007E1885">
      <w:r w:rsidRPr="00C22C49">
        <w:rPr>
          <w:b/>
        </w:rPr>
        <w:t>7. Стабілізаці</w:t>
      </w:r>
      <w:r w:rsidRPr="00C22C49">
        <w:t>я</w:t>
      </w:r>
      <w:r w:rsidR="00E71A22" w:rsidRPr="00C22C49">
        <w:t>.</w:t>
      </w:r>
    </w:p>
    <w:p w14:paraId="0896BFDB" w14:textId="77777777" w:rsidR="00516A62" w:rsidRPr="00C22C49" w:rsidRDefault="00516A62" w:rsidP="0015421E">
      <w:pPr>
        <w:pStyle w:val="REDBoldonly"/>
      </w:pPr>
      <w:r w:rsidRPr="00C22C49">
        <w:t>Обсяги витрат і можливі джерела фінансування</w:t>
      </w:r>
    </w:p>
    <w:p w14:paraId="0896BFDC" w14:textId="77777777" w:rsidR="007B1AF2" w:rsidRPr="00C22C49" w:rsidRDefault="0015421E" w:rsidP="007B1AF2">
      <w:r w:rsidRPr="00C22C49">
        <w:t xml:space="preserve">Аналіз </w:t>
      </w:r>
      <w:r w:rsidR="007B1AF2" w:rsidRPr="00C22C49">
        <w:t>потенційно забруднених ділянок, реабілітація і подальший догляд за ними є трудомісткими і дорогими завданнями. Тому необхідно визначити скільки коштів буде потрібно для управління ділянками і звідки вони будуть взяті.</w:t>
      </w:r>
    </w:p>
    <w:p w14:paraId="0896BFDD" w14:textId="77777777" w:rsidR="00EF3A7B" w:rsidRPr="00C22C49" w:rsidRDefault="00EF3A7B" w:rsidP="00EF3A7B">
      <w:pPr>
        <w:rPr>
          <w:rFonts w:cs="Times New Roman"/>
          <w:strike/>
          <w:szCs w:val="24"/>
          <w:lang w:eastAsia="bg-BG"/>
        </w:rPr>
      </w:pPr>
      <w:r w:rsidRPr="00C22C49">
        <w:rPr>
          <w:rFonts w:cs="Times New Roman"/>
          <w:szCs w:val="24"/>
          <w:lang w:eastAsia="bg-BG"/>
        </w:rPr>
        <w:t xml:space="preserve">Загалом вартість реабілітації історично забруднених місць може коливатися від десятків тисяч до мільйонів гривень, залежно від характеристики об’єкту та розміщених на ньому небезпечних речовин. </w:t>
      </w:r>
      <w:r w:rsidRPr="00C22C49">
        <w:rPr>
          <w:rFonts w:cs="Times New Roman"/>
          <w:b/>
          <w:bCs/>
          <w:szCs w:val="24"/>
          <w:lang w:eastAsia="bg-BG"/>
        </w:rPr>
        <w:t>Витрати можуть бути значними, але вони необхідні для захисту здоров’я людини</w:t>
      </w:r>
      <w:r w:rsidRPr="00C22C49">
        <w:rPr>
          <w:rFonts w:cs="Times New Roman"/>
          <w:szCs w:val="24"/>
          <w:lang w:eastAsia="bg-BG"/>
        </w:rPr>
        <w:t xml:space="preserve"> та навколишнього середовища, забезпечення відповідності нормам і забезпечення безпечного та продуктивного використання сайту в майбутньому. Власникам ділянок чи місцевим органам в</w:t>
      </w:r>
      <w:r w:rsidR="00D416EF" w:rsidRPr="00C22C49">
        <w:rPr>
          <w:rFonts w:cs="Times New Roman"/>
          <w:szCs w:val="24"/>
          <w:lang w:eastAsia="bg-BG"/>
        </w:rPr>
        <w:t>л</w:t>
      </w:r>
      <w:r w:rsidRPr="00C22C49">
        <w:rPr>
          <w:rFonts w:cs="Times New Roman"/>
          <w:szCs w:val="24"/>
          <w:lang w:eastAsia="bg-BG"/>
        </w:rPr>
        <w:t>ади</w:t>
      </w:r>
      <w:r w:rsidR="00D416EF" w:rsidRPr="00C22C49">
        <w:rPr>
          <w:rFonts w:cs="Times New Roman"/>
          <w:szCs w:val="24"/>
          <w:lang w:eastAsia="bg-BG"/>
        </w:rPr>
        <w:t xml:space="preserve"> самостійно</w:t>
      </w:r>
      <w:r w:rsidRPr="00C22C49">
        <w:rPr>
          <w:rFonts w:cs="Times New Roman"/>
          <w:szCs w:val="24"/>
          <w:lang w:eastAsia="bg-BG"/>
        </w:rPr>
        <w:t xml:space="preserve"> не завжди під силу профінансувати ці заходи</w:t>
      </w:r>
      <w:r w:rsidRPr="00C22C49">
        <w:rPr>
          <w:rFonts w:cs="Times New Roman"/>
          <w:b/>
          <w:bCs/>
          <w:szCs w:val="24"/>
          <w:lang w:eastAsia="bg-BG"/>
        </w:rPr>
        <w:t xml:space="preserve">. </w:t>
      </w:r>
      <w:r w:rsidRPr="00C22C49">
        <w:rPr>
          <w:rFonts w:cs="Times New Roman"/>
          <w:szCs w:val="24"/>
          <w:lang w:eastAsia="bg-BG"/>
        </w:rPr>
        <w:t xml:space="preserve">Тому необхідного на національному рівні розробити процедуру визначення та реабілітації історично забруднених місць. </w:t>
      </w:r>
    </w:p>
    <w:p w14:paraId="0896BFDE" w14:textId="77777777" w:rsidR="007E1885" w:rsidRPr="00C22C49" w:rsidRDefault="007E1885" w:rsidP="0015421E">
      <w:pPr>
        <w:pStyle w:val="REDBoldonly"/>
      </w:pPr>
      <w:r w:rsidRPr="00C22C49">
        <w:t>Запропоновані заходи:</w:t>
      </w:r>
    </w:p>
    <w:p w14:paraId="0896BFDF" w14:textId="77777777" w:rsidR="007E1885" w:rsidRPr="00C22C49" w:rsidRDefault="007E1885" w:rsidP="003466DC">
      <w:pPr>
        <w:pStyle w:val="a1"/>
        <w:numPr>
          <w:ilvl w:val="0"/>
          <w:numId w:val="17"/>
        </w:numPr>
        <w:rPr>
          <w:color w:val="auto"/>
        </w:rPr>
      </w:pPr>
      <w:r w:rsidRPr="00C22C49">
        <w:rPr>
          <w:color w:val="auto"/>
        </w:rPr>
        <w:t>Міндовкілля за підтримки Мінекономіки, Державної екологічної інспекції та обласних адміністрацій підготує інвентаризацію всіх історично забруднених об’єктів протягом року після ухвалення цього НПУВ. Інвентаризація міститиме детальну інформацію про розташування занедбаних та історичних місць видалення промислових та небезпечних відходів, а також ризики, які вони становлять для здоров'я населення та довкілля;</w:t>
      </w:r>
    </w:p>
    <w:p w14:paraId="0896BFE0" w14:textId="77777777" w:rsidR="007E1885" w:rsidRPr="00C22C49" w:rsidRDefault="007E1885" w:rsidP="003466DC">
      <w:pPr>
        <w:pStyle w:val="a1"/>
        <w:numPr>
          <w:ilvl w:val="0"/>
          <w:numId w:val="17"/>
        </w:numPr>
        <w:rPr>
          <w:color w:val="auto"/>
        </w:rPr>
      </w:pPr>
      <w:r w:rsidRPr="00C22C49">
        <w:rPr>
          <w:color w:val="auto"/>
        </w:rPr>
        <w:t xml:space="preserve">Проведення оцінки ризиків для кожного об'єкта та ранжування об'єктів по пріоритетності для рекультивації. </w:t>
      </w:r>
    </w:p>
    <w:p w14:paraId="0896BFE1" w14:textId="77777777" w:rsidR="007E1885" w:rsidRPr="00C22C49" w:rsidRDefault="007E1885" w:rsidP="003466DC">
      <w:pPr>
        <w:pStyle w:val="a1"/>
        <w:numPr>
          <w:ilvl w:val="0"/>
          <w:numId w:val="17"/>
        </w:numPr>
        <w:rPr>
          <w:color w:val="auto"/>
        </w:rPr>
      </w:pPr>
      <w:r w:rsidRPr="00C22C49">
        <w:rPr>
          <w:color w:val="auto"/>
        </w:rPr>
        <w:t>Розроблення Міндовкіллям спільно з Міністерством фінансів, Міністерством економіки та обласними державними адміністраціями реалістичної програми відновлення та рекультивації об'єктів із розрахунком вартості.</w:t>
      </w:r>
    </w:p>
    <w:p w14:paraId="0896BFE2" w14:textId="77777777" w:rsidR="007E1885" w:rsidRPr="00C22C49" w:rsidRDefault="007E1885" w:rsidP="003466DC">
      <w:pPr>
        <w:pStyle w:val="a1"/>
        <w:numPr>
          <w:ilvl w:val="0"/>
          <w:numId w:val="17"/>
        </w:numPr>
        <w:rPr>
          <w:color w:val="auto"/>
        </w:rPr>
      </w:pPr>
      <w:r w:rsidRPr="00C22C49">
        <w:rPr>
          <w:color w:val="auto"/>
        </w:rPr>
        <w:t>Створення законодавчої бази із встановленням обов’язку управляти відходами після закриття об’єкта для попередження таких випадків у майбутньому, а також розроблення фінансового механізму залучення коштів на рекультивацію існуючих об’єктів.</w:t>
      </w:r>
    </w:p>
    <w:p w14:paraId="0896BFE3" w14:textId="77777777" w:rsidR="00EF3A7B" w:rsidRPr="00C22C49" w:rsidRDefault="00EF3A7B" w:rsidP="007B1AF2">
      <w:pPr>
        <w:rPr>
          <w:b/>
          <w:bCs/>
        </w:rPr>
      </w:pPr>
    </w:p>
    <w:p w14:paraId="0896BFE4" w14:textId="77777777" w:rsidR="00832679" w:rsidRPr="00C22C49" w:rsidRDefault="00832679" w:rsidP="008B1E83"/>
    <w:p w14:paraId="46C6208A" w14:textId="5D37C568" w:rsidR="001B475F" w:rsidRDefault="00B109EB" w:rsidP="00B109EB">
      <w:pPr>
        <w:pStyle w:val="20"/>
        <w:rPr>
          <w:lang w:eastAsia="bg-BG"/>
        </w:rPr>
      </w:pPr>
      <w:bookmarkStart w:id="41" w:name="_Toc151583274"/>
      <w:r w:rsidRPr="00B109EB">
        <w:rPr>
          <w:lang w:eastAsia="bg-BG"/>
        </w:rPr>
        <w:t>НАЦІОНАЛЬНА ПРОГРАМА ЗМЕНШЕННЯ ЗАХОРОНЕННЯ БІОВІДХОДІВ</w:t>
      </w:r>
      <w:bookmarkEnd w:id="41"/>
    </w:p>
    <w:p w14:paraId="05EE3CC6" w14:textId="77777777" w:rsidR="00B109EB" w:rsidRDefault="00B109EB">
      <w:pPr>
        <w:rPr>
          <w:lang w:eastAsia="bg-BG"/>
        </w:rPr>
      </w:pPr>
    </w:p>
    <w:p w14:paraId="32F44CA9" w14:textId="33DFA6AD" w:rsidR="00E51ECC" w:rsidRPr="00E74A7D" w:rsidRDefault="008948B3" w:rsidP="00E51ECC">
      <w:pPr>
        <w:rPr>
          <w:lang w:eastAsia="uk-UA"/>
        </w:rPr>
      </w:pPr>
      <w:r w:rsidRPr="00E74A7D">
        <w:rPr>
          <w:lang w:eastAsia="uk-UA"/>
        </w:rPr>
        <w:t xml:space="preserve">Одним з показників економічного зростання країни є збільшенням </w:t>
      </w:r>
      <w:r w:rsidR="00664A18" w:rsidRPr="00664A18">
        <w:rPr>
          <w:lang w:eastAsia="uk-UA"/>
        </w:rPr>
        <w:t>обсягів</w:t>
      </w:r>
      <w:r w:rsidRPr="00E74A7D">
        <w:rPr>
          <w:lang w:eastAsia="uk-UA"/>
        </w:rPr>
        <w:t xml:space="preserve"> утворюваних відходів в процесі життєдіяльності людини та її господарської діяльності поза межами житла. В структурі утворюваних відходів більше половини становлять відходи, що біологічно розкладаються - харчові відходи, садові відходи, папір, картон, та інші, які здатні до анаеробного чи аеробного розкладання.</w:t>
      </w:r>
      <w:r w:rsidR="00E51ECC" w:rsidRPr="00E51ECC">
        <w:rPr>
          <w:lang w:eastAsia="uk-UA"/>
        </w:rPr>
        <w:t xml:space="preserve"> </w:t>
      </w:r>
      <w:r w:rsidR="00E51ECC" w:rsidRPr="00E74A7D">
        <w:rPr>
          <w:lang w:eastAsia="uk-UA"/>
        </w:rPr>
        <w:t>Розрахункові дані свідчать про те, що в Україні кількість утворених побутових відходів, що біологічно розкладаються становить в середньому 5,2 млн тонн на рік.</w:t>
      </w:r>
    </w:p>
    <w:p w14:paraId="3D38C90A" w14:textId="34C2E400" w:rsidR="008948B3" w:rsidRPr="00E74A7D" w:rsidRDefault="008948B3" w:rsidP="008948B3">
      <w:pPr>
        <w:rPr>
          <w:rFonts w:eastAsia="Calibri"/>
        </w:rPr>
      </w:pPr>
      <w:r w:rsidRPr="00E74A7D">
        <w:rPr>
          <w:lang w:eastAsia="uk-UA"/>
        </w:rPr>
        <w:t xml:space="preserve">Національна програма зменшення захоронення </w:t>
      </w:r>
      <w:r w:rsidRPr="00457617">
        <w:rPr>
          <w:lang w:eastAsia="uk-UA"/>
        </w:rPr>
        <w:t xml:space="preserve">біовідходів </w:t>
      </w:r>
      <w:r w:rsidRPr="00457617">
        <w:rPr>
          <w:i/>
          <w:iCs/>
          <w:lang w:eastAsia="uk-UA"/>
        </w:rPr>
        <w:t xml:space="preserve">(далі – </w:t>
      </w:r>
      <w:r w:rsidR="00341FFB">
        <w:rPr>
          <w:i/>
          <w:iCs/>
          <w:lang w:eastAsia="uk-UA"/>
        </w:rPr>
        <w:t>НП</w:t>
      </w:r>
      <w:r w:rsidR="00670044">
        <w:rPr>
          <w:i/>
          <w:iCs/>
          <w:lang w:eastAsia="uk-UA"/>
        </w:rPr>
        <w:t>ЗЗБ</w:t>
      </w:r>
      <w:r w:rsidRPr="00457617">
        <w:rPr>
          <w:i/>
          <w:iCs/>
          <w:lang w:eastAsia="uk-UA"/>
        </w:rPr>
        <w:t>),</w:t>
      </w:r>
      <w:r w:rsidRPr="00E74A7D">
        <w:rPr>
          <w:lang w:eastAsia="uk-UA"/>
        </w:rPr>
        <w:t xml:space="preserve"> як складова Національного плану управління відходами в Україні, розроблена </w:t>
      </w:r>
      <w:r w:rsidR="00C15E7B">
        <w:rPr>
          <w:rFonts w:eastAsia="Calibri"/>
        </w:rPr>
        <w:t>центральним органом виконавчої влади</w:t>
      </w:r>
      <w:r w:rsidRPr="00E74A7D">
        <w:rPr>
          <w:rFonts w:eastAsia="Calibri"/>
        </w:rPr>
        <w:t>, що реалізує державну політику у сфері управління відходами</w:t>
      </w:r>
      <w:r w:rsidRPr="00E74A7D">
        <w:rPr>
          <w:lang w:eastAsia="uk-UA"/>
        </w:rPr>
        <w:t xml:space="preserve"> у відповідності до чинного законодавства України та вимог ЄС</w:t>
      </w:r>
      <w:r w:rsidRPr="00E74A7D">
        <w:rPr>
          <w:rFonts w:eastAsia="Calibri"/>
        </w:rPr>
        <w:t xml:space="preserve"> і підлягає затвердженню КМУ.</w:t>
      </w:r>
    </w:p>
    <w:p w14:paraId="46854F90" w14:textId="212FE1E4" w:rsidR="008948B3" w:rsidRPr="00E74A7D" w:rsidRDefault="00C26848" w:rsidP="008948B3">
      <w:pPr>
        <w:rPr>
          <w:lang w:eastAsia="uk-UA"/>
        </w:rPr>
      </w:pPr>
      <w:r w:rsidRPr="00E74A7D">
        <w:rPr>
          <w:lang w:eastAsia="uk-UA"/>
        </w:rPr>
        <w:t xml:space="preserve">Основною метою заходів </w:t>
      </w:r>
      <w:r w:rsidR="00222C41">
        <w:rPr>
          <w:lang w:eastAsia="uk-UA"/>
        </w:rPr>
        <w:t>НПЗЗВ є</w:t>
      </w:r>
      <w:r w:rsidR="008948B3" w:rsidRPr="00E74A7D">
        <w:rPr>
          <w:lang w:eastAsia="uk-UA"/>
        </w:rPr>
        <w:t xml:space="preserve"> поступове скорочення </w:t>
      </w:r>
      <w:r w:rsidR="00664A18" w:rsidRPr="00664A18">
        <w:rPr>
          <w:lang w:eastAsia="uk-UA"/>
        </w:rPr>
        <w:t>обсягів</w:t>
      </w:r>
      <w:r w:rsidR="008948B3" w:rsidRPr="00E74A7D">
        <w:rPr>
          <w:lang w:eastAsia="uk-UA"/>
        </w:rPr>
        <w:t xml:space="preserve"> відходів, що біологічно розкладаються призначених для захоронення, поетапне зменшення обсягів </w:t>
      </w:r>
      <w:r w:rsidR="008948B3">
        <w:rPr>
          <w:lang w:eastAsia="uk-UA"/>
        </w:rPr>
        <w:t>захороненн</w:t>
      </w:r>
      <w:r w:rsidR="008948B3" w:rsidRPr="00E74A7D">
        <w:rPr>
          <w:lang w:eastAsia="uk-UA"/>
        </w:rPr>
        <w:t>я, покращення управління даним видом відходів з метою зменшення впливу на навколишнє середовище.</w:t>
      </w:r>
    </w:p>
    <w:p w14:paraId="61FF439D" w14:textId="205471CC" w:rsidR="008948B3" w:rsidRPr="00F724CB" w:rsidRDefault="008948B3" w:rsidP="00222C41">
      <w:pPr>
        <w:rPr>
          <w:rStyle w:val="affe"/>
          <w:b/>
          <w:i/>
        </w:rPr>
      </w:pPr>
      <w:r w:rsidRPr="00F724CB">
        <w:rPr>
          <w:rStyle w:val="affe"/>
        </w:rPr>
        <w:t>Сфера дії Національної програми зменшення захоронення біовідходів</w:t>
      </w:r>
    </w:p>
    <w:p w14:paraId="18D1CB0F" w14:textId="1D262766" w:rsidR="008948B3" w:rsidRPr="00E74A7D" w:rsidRDefault="00DF7D1B" w:rsidP="008948B3">
      <w:pPr>
        <w:rPr>
          <w:lang w:eastAsia="uk-UA"/>
        </w:rPr>
      </w:pPr>
      <w:r>
        <w:rPr>
          <w:lang w:eastAsia="uk-UA"/>
        </w:rPr>
        <w:t>НПЗЗБ</w:t>
      </w:r>
      <w:r w:rsidR="008948B3" w:rsidRPr="00E74A7D">
        <w:rPr>
          <w:lang w:eastAsia="uk-UA"/>
        </w:rPr>
        <w:t xml:space="preserve"> визначає цілі, які ставить перед собою Україна, що мають бути досягнені в управлінні відходам, що біологічно розкладаються. </w:t>
      </w:r>
    </w:p>
    <w:p w14:paraId="4367BCF1" w14:textId="77777777" w:rsidR="008948B3" w:rsidRPr="00E74A7D" w:rsidRDefault="008948B3" w:rsidP="008948B3">
      <w:pPr>
        <w:rPr>
          <w:lang w:eastAsia="uk-UA"/>
        </w:rPr>
      </w:pPr>
      <w:r w:rsidRPr="00E74A7D">
        <w:rPr>
          <w:lang w:eastAsia="uk-UA"/>
        </w:rPr>
        <w:t>Проведено аналіз показано наявну ситуацію в країні та можливості досягнення цілей. Для більш точного визначення необхідних заходів, очищені потоки відходів, що біологічно розкладаються (папір, картон, зелені відходи з парків і садів, харчові та кухонні відходи відходи) та змішані відходи, що біологічно розкладаються розглядаються окремо.</w:t>
      </w:r>
    </w:p>
    <w:p w14:paraId="7DC82FC1" w14:textId="77777777" w:rsidR="008948B3" w:rsidRPr="00E74A7D" w:rsidRDefault="008948B3" w:rsidP="008948B3">
      <w:pPr>
        <w:rPr>
          <w:lang w:eastAsia="uk-UA"/>
        </w:rPr>
      </w:pPr>
      <w:r w:rsidRPr="00E74A7D">
        <w:rPr>
          <w:lang w:eastAsia="uk-UA"/>
        </w:rPr>
        <w:t xml:space="preserve">Пропонуються ряд варіантів і технологічних рішень для оброблення відходів, що біологічно розкладаються та оцінено їх переваги та недоліки. </w:t>
      </w:r>
    </w:p>
    <w:p w14:paraId="03DD06E3" w14:textId="77777777" w:rsidR="008948B3" w:rsidRPr="00E74A7D" w:rsidRDefault="008948B3" w:rsidP="008948B3">
      <w:pPr>
        <w:rPr>
          <w:lang w:eastAsia="uk-UA"/>
        </w:rPr>
      </w:pPr>
      <w:r w:rsidRPr="00E74A7D">
        <w:rPr>
          <w:lang w:eastAsia="uk-UA"/>
        </w:rPr>
        <w:t xml:space="preserve">Для кількісної оцінки реалізації поставлених цілей розроблено індикатори. Реалізація заходів і планування діяльність та їх фінансове забезпечення відображено в плані заходів. </w:t>
      </w:r>
    </w:p>
    <w:p w14:paraId="515DEB09" w14:textId="77777777" w:rsidR="008948B3" w:rsidRPr="00F724CB" w:rsidRDefault="008948B3" w:rsidP="008948B3">
      <w:pPr>
        <w:pStyle w:val="REDBoldonly"/>
        <w:rPr>
          <w:rStyle w:val="affe"/>
        </w:rPr>
      </w:pPr>
      <w:r w:rsidRPr="00F724CB">
        <w:rPr>
          <w:rStyle w:val="affe"/>
        </w:rPr>
        <w:t>Методологія, тенденції та прогнози</w:t>
      </w:r>
    </w:p>
    <w:p w14:paraId="1B0E976E" w14:textId="77777777" w:rsidR="008948B3" w:rsidRPr="00E74A7D" w:rsidRDefault="008948B3" w:rsidP="008948B3">
      <w:pPr>
        <w:rPr>
          <w:lang w:eastAsia="uk-UA"/>
        </w:rPr>
      </w:pPr>
      <w:r w:rsidRPr="00E74A7D">
        <w:rPr>
          <w:lang w:eastAsia="uk-UA"/>
        </w:rPr>
        <w:t>В процесі розроблення Національної програми зменшення захоронення біовідходів проаналізовано наявну інформацію про:</w:t>
      </w:r>
    </w:p>
    <w:p w14:paraId="19D424AA" w14:textId="77777777" w:rsidR="008948B3" w:rsidRPr="00E74A7D" w:rsidRDefault="008948B3" w:rsidP="008948B3">
      <w:pPr>
        <w:pStyle w:val="BulletRED"/>
        <w:ind w:left="924" w:hanging="357"/>
        <w:rPr>
          <w:lang w:eastAsia="uk-UA"/>
        </w:rPr>
      </w:pPr>
      <w:r w:rsidRPr="00E74A7D">
        <w:rPr>
          <w:lang w:eastAsia="uk-UA"/>
        </w:rPr>
        <w:t>кількість і тип компонентів, що біологічно розкладаються у побутових відходах;</w:t>
      </w:r>
    </w:p>
    <w:p w14:paraId="7A8F4F18" w14:textId="77777777" w:rsidR="008948B3" w:rsidRPr="00E74A7D" w:rsidRDefault="008948B3" w:rsidP="008948B3">
      <w:pPr>
        <w:pStyle w:val="BulletRED"/>
        <w:ind w:left="924" w:hanging="357"/>
        <w:rPr>
          <w:lang w:eastAsia="uk-UA"/>
        </w:rPr>
      </w:pPr>
      <w:r w:rsidRPr="00E74A7D">
        <w:rPr>
          <w:lang w:eastAsia="uk-UA"/>
        </w:rPr>
        <w:t>економічний і соціальний стан населення, динаміка (природний приріст, міграція) тощо;</w:t>
      </w:r>
    </w:p>
    <w:p w14:paraId="66DA348B" w14:textId="77777777" w:rsidR="008948B3" w:rsidRPr="00E74A7D" w:rsidRDefault="008948B3" w:rsidP="008948B3">
      <w:pPr>
        <w:pStyle w:val="BulletRED"/>
        <w:ind w:left="924" w:hanging="357"/>
        <w:rPr>
          <w:lang w:eastAsia="uk-UA"/>
        </w:rPr>
      </w:pPr>
      <w:r w:rsidRPr="00E74A7D">
        <w:rPr>
          <w:lang w:eastAsia="uk-UA"/>
        </w:rPr>
        <w:t>стан сільського господарства України, вирощувані культури та площі, зайняті ними, потреба в підживленні.</w:t>
      </w:r>
    </w:p>
    <w:p w14:paraId="5C1E96D4" w14:textId="77777777" w:rsidR="008948B3" w:rsidRPr="00E74A7D" w:rsidRDefault="008948B3" w:rsidP="008948B3">
      <w:pPr>
        <w:rPr>
          <w:lang w:eastAsia="uk-UA"/>
        </w:rPr>
      </w:pPr>
      <w:r w:rsidRPr="00E74A7D">
        <w:rPr>
          <w:lang w:eastAsia="uk-UA"/>
        </w:rPr>
        <w:t>Проаналізовано існуючі практики збирання та транспортування відходів в Україні, зокрема компонентів, що біологічно розкладаються, а також заплановані потужності для їх оброблення.</w:t>
      </w:r>
    </w:p>
    <w:p w14:paraId="1C8D3728" w14:textId="4713A8CC" w:rsidR="008948B3" w:rsidRPr="00F240F8" w:rsidRDefault="00B2314A" w:rsidP="008948B3">
      <w:pPr>
        <w:pStyle w:val="a1"/>
        <w:numPr>
          <w:ilvl w:val="0"/>
          <w:numId w:val="0"/>
        </w:numPr>
        <w:rPr>
          <w:color w:val="auto"/>
          <w:lang w:eastAsia="uk-UA"/>
        </w:rPr>
      </w:pPr>
      <w:r>
        <w:rPr>
          <w:color w:val="auto"/>
          <w:lang w:eastAsia="uk-UA"/>
        </w:rPr>
        <w:t>Поточний с</w:t>
      </w:r>
      <w:r w:rsidR="000C45AC">
        <w:rPr>
          <w:color w:val="auto"/>
          <w:lang w:eastAsia="uk-UA"/>
        </w:rPr>
        <w:t xml:space="preserve">тан управління відходами, </w:t>
      </w:r>
      <w:r>
        <w:rPr>
          <w:color w:val="auto"/>
          <w:lang w:eastAsia="uk-UA"/>
        </w:rPr>
        <w:t>що біологічно розкладаються</w:t>
      </w:r>
      <w:r w:rsidR="00017027">
        <w:rPr>
          <w:color w:val="auto"/>
          <w:lang w:eastAsia="uk-UA"/>
        </w:rPr>
        <w:t xml:space="preserve"> </w:t>
      </w:r>
      <w:r w:rsidR="00017027" w:rsidRPr="00017027">
        <w:rPr>
          <w:color w:val="auto"/>
          <w:lang w:eastAsia="uk-UA"/>
        </w:rPr>
        <w:t>в Україні</w:t>
      </w:r>
      <w:r>
        <w:rPr>
          <w:color w:val="auto"/>
          <w:lang w:eastAsia="uk-UA"/>
        </w:rPr>
        <w:t xml:space="preserve"> </w:t>
      </w:r>
      <w:r w:rsidR="00017027">
        <w:rPr>
          <w:color w:val="auto"/>
          <w:lang w:eastAsia="uk-UA"/>
        </w:rPr>
        <w:t xml:space="preserve">характеризується наступним чином: </w:t>
      </w:r>
    </w:p>
    <w:p w14:paraId="7089C1D6" w14:textId="77777777" w:rsidR="008948B3" w:rsidRPr="00222C41" w:rsidRDefault="008948B3" w:rsidP="00222C41">
      <w:pPr>
        <w:pStyle w:val="a1"/>
        <w:numPr>
          <w:ilvl w:val="0"/>
          <w:numId w:val="63"/>
        </w:numPr>
        <w:rPr>
          <w:color w:val="auto"/>
          <w:lang w:eastAsia="uk-UA"/>
        </w:rPr>
      </w:pPr>
      <w:r w:rsidRPr="00222C41">
        <w:rPr>
          <w:color w:val="auto"/>
          <w:lang w:eastAsia="uk-UA"/>
        </w:rPr>
        <w:t>Основна частина всіх відходів,</w:t>
      </w:r>
      <w:r w:rsidRPr="00222C41">
        <w:rPr>
          <w:color w:val="auto"/>
        </w:rPr>
        <w:t xml:space="preserve"> </w:t>
      </w:r>
      <w:r w:rsidRPr="00222C41">
        <w:rPr>
          <w:color w:val="auto"/>
          <w:lang w:eastAsia="uk-UA"/>
        </w:rPr>
        <w:t>що біологічно розкладаються потрапляє на полігони та звалища;</w:t>
      </w:r>
    </w:p>
    <w:p w14:paraId="6FDE1371" w14:textId="77777777" w:rsidR="008948B3" w:rsidRPr="00F724CB" w:rsidRDefault="008948B3" w:rsidP="00222C41">
      <w:pPr>
        <w:pStyle w:val="a1"/>
        <w:numPr>
          <w:ilvl w:val="0"/>
          <w:numId w:val="63"/>
        </w:numPr>
        <w:rPr>
          <w:color w:val="auto"/>
          <w:lang w:eastAsia="uk-UA"/>
        </w:rPr>
      </w:pPr>
      <w:r w:rsidRPr="00F240F8">
        <w:rPr>
          <w:color w:val="auto"/>
          <w:lang w:eastAsia="uk-UA"/>
        </w:rPr>
        <w:t>Діяльність з компостування</w:t>
      </w:r>
      <w:r w:rsidRPr="00F724CB">
        <w:rPr>
          <w:color w:val="auto"/>
          <w:lang w:eastAsia="uk-UA"/>
        </w:rPr>
        <w:t xml:space="preserve"> та попереднього оброблення практично відсутня;</w:t>
      </w:r>
    </w:p>
    <w:p w14:paraId="359CDB0D" w14:textId="77777777" w:rsidR="008948B3" w:rsidRPr="00F724CB" w:rsidRDefault="008948B3" w:rsidP="00222C41">
      <w:pPr>
        <w:pStyle w:val="a1"/>
        <w:numPr>
          <w:ilvl w:val="0"/>
          <w:numId w:val="63"/>
        </w:numPr>
        <w:rPr>
          <w:color w:val="auto"/>
          <w:lang w:eastAsia="uk-UA"/>
        </w:rPr>
      </w:pPr>
      <w:r w:rsidRPr="00F724CB">
        <w:rPr>
          <w:color w:val="auto"/>
          <w:lang w:eastAsia="uk-UA"/>
        </w:rPr>
        <w:t xml:space="preserve">Збиранням та вивезенням побутових відходів охоплено 85% міст і приблизно 66% сільських населених пунктів; </w:t>
      </w:r>
    </w:p>
    <w:p w14:paraId="5D8C4515" w14:textId="77777777" w:rsidR="008948B3" w:rsidRPr="00F724CB" w:rsidRDefault="008948B3" w:rsidP="00222C41">
      <w:pPr>
        <w:pStyle w:val="a1"/>
        <w:numPr>
          <w:ilvl w:val="0"/>
          <w:numId w:val="63"/>
        </w:numPr>
        <w:rPr>
          <w:color w:val="auto"/>
          <w:lang w:eastAsia="uk-UA"/>
        </w:rPr>
      </w:pPr>
      <w:r w:rsidRPr="00F724CB">
        <w:rPr>
          <w:color w:val="auto"/>
          <w:lang w:eastAsia="uk-UA"/>
        </w:rPr>
        <w:t xml:space="preserve">Оплата вартості послуг з управління побутовими відходами для домогосподарств становить </w:t>
      </w:r>
      <w:r w:rsidRPr="00F724CB">
        <w:rPr>
          <w:rFonts w:eastAsia="Calibri"/>
          <w:color w:val="auto"/>
        </w:rPr>
        <w:t>від 0,32 до 0,73% від середньорічного наявного доходу на одну особу</w:t>
      </w:r>
      <w:r w:rsidRPr="00F724CB">
        <w:rPr>
          <w:color w:val="auto"/>
          <w:lang w:eastAsia="uk-UA"/>
        </w:rPr>
        <w:t>;</w:t>
      </w:r>
    </w:p>
    <w:p w14:paraId="69431BC8" w14:textId="77777777" w:rsidR="008948B3" w:rsidRPr="00F724CB" w:rsidRDefault="008948B3" w:rsidP="00222C41">
      <w:pPr>
        <w:pStyle w:val="a1"/>
        <w:numPr>
          <w:ilvl w:val="0"/>
          <w:numId w:val="63"/>
        </w:numPr>
        <w:rPr>
          <w:color w:val="auto"/>
          <w:lang w:eastAsia="uk-UA"/>
        </w:rPr>
      </w:pPr>
      <w:r w:rsidRPr="00F724CB">
        <w:rPr>
          <w:color w:val="auto"/>
          <w:lang w:eastAsia="uk-UA"/>
        </w:rPr>
        <w:t>На більшості полігонів та звалищ побутових відходів, які не відповідають нормативним вимогам, відомості про склад та кількість видалених відходів, ґрунтується на експертній та бухгалтерській оцінці, у зв’язку з відсутністю вагового та вхідного контролю;</w:t>
      </w:r>
    </w:p>
    <w:p w14:paraId="4E8DA9BD" w14:textId="77777777" w:rsidR="008948B3" w:rsidRPr="00F724CB" w:rsidRDefault="008948B3" w:rsidP="00222C41">
      <w:pPr>
        <w:pStyle w:val="a1"/>
        <w:numPr>
          <w:ilvl w:val="0"/>
          <w:numId w:val="63"/>
        </w:numPr>
        <w:rPr>
          <w:color w:val="auto"/>
          <w:lang w:eastAsia="uk-UA"/>
        </w:rPr>
      </w:pPr>
      <w:r w:rsidRPr="00F724CB">
        <w:rPr>
          <w:color w:val="auto"/>
          <w:lang w:eastAsia="uk-UA"/>
        </w:rPr>
        <w:t>Відсутність детальних досліджень морфологічного складу відходів у різних регіонах України ускладнює визначення морфологічного складу на національному рівні;</w:t>
      </w:r>
    </w:p>
    <w:p w14:paraId="2BB58896" w14:textId="77777777" w:rsidR="008948B3" w:rsidRPr="00F724CB" w:rsidRDefault="008948B3" w:rsidP="00222C41">
      <w:pPr>
        <w:pStyle w:val="a1"/>
        <w:numPr>
          <w:ilvl w:val="0"/>
          <w:numId w:val="63"/>
        </w:numPr>
        <w:rPr>
          <w:color w:val="auto"/>
          <w:lang w:eastAsia="uk-UA"/>
        </w:rPr>
      </w:pPr>
      <w:r w:rsidRPr="00F724CB">
        <w:rPr>
          <w:color w:val="auto"/>
          <w:lang w:eastAsia="uk-UA"/>
        </w:rPr>
        <w:t>У сільській місцевості велика частина відходів, що біологічно розкладаються використовується як їжа для домашніх тварин або спалюється;</w:t>
      </w:r>
    </w:p>
    <w:p w14:paraId="6E459C8F" w14:textId="77777777" w:rsidR="008948B3" w:rsidRPr="00F724CB" w:rsidRDefault="008948B3" w:rsidP="00222C41">
      <w:pPr>
        <w:pStyle w:val="a1"/>
        <w:numPr>
          <w:ilvl w:val="0"/>
          <w:numId w:val="63"/>
        </w:numPr>
        <w:rPr>
          <w:color w:val="auto"/>
          <w:lang w:eastAsia="uk-UA"/>
        </w:rPr>
      </w:pPr>
      <w:r w:rsidRPr="00F724CB">
        <w:rPr>
          <w:color w:val="auto"/>
          <w:lang w:eastAsia="uk-UA"/>
        </w:rPr>
        <w:t>Оціночна кількість побутових відходів у сільській місцевості становить в середньому до 300 кг/рік (120 кг з яких ті, що біологічно розкладаються), тоді як у містах побутові відходи, в т.ч. відходи від комерційних установ становлять близько 330-380 кг/рік (140 з яких біологічно розкладаються);</w:t>
      </w:r>
    </w:p>
    <w:p w14:paraId="7F941162" w14:textId="77777777" w:rsidR="008948B3" w:rsidRPr="00F724CB" w:rsidRDefault="008948B3" w:rsidP="00222C41">
      <w:pPr>
        <w:pStyle w:val="a1"/>
        <w:numPr>
          <w:ilvl w:val="0"/>
          <w:numId w:val="63"/>
        </w:numPr>
        <w:rPr>
          <w:color w:val="auto"/>
          <w:lang w:eastAsia="uk-UA"/>
        </w:rPr>
      </w:pPr>
      <w:r w:rsidRPr="00F724CB">
        <w:rPr>
          <w:color w:val="auto"/>
          <w:lang w:eastAsia="uk-UA"/>
        </w:rPr>
        <w:t>Середньорічна кількість відходів, що біологічно розкладаються, утворених у країні становить 5,2 млн. т (47% утворених побутових відходів), припускаючи, що ця група включає харчові продукти, папір, картон, садові та деревні відходи, а також  відходи текстилю, кістки, шкіру та  ін. (неідентифіковані) відходи.</w:t>
      </w:r>
    </w:p>
    <w:p w14:paraId="29BA234F" w14:textId="4F9BB4CC" w:rsidR="004117CA" w:rsidRPr="00E74A7D" w:rsidRDefault="004117CA" w:rsidP="004117CA">
      <w:pPr>
        <w:rPr>
          <w:lang w:eastAsia="uk-UA"/>
        </w:rPr>
      </w:pPr>
      <w:r w:rsidRPr="00E74A7D">
        <w:rPr>
          <w:lang w:eastAsia="uk-UA"/>
        </w:rPr>
        <w:t xml:space="preserve">Цілі, визначені ст. 5, абз. 2 Директиви 1999/31/ЄС відносяться до загальної кількості відходів, що біологічно розкладаються, утворених у 1995 р. або останньому перед 1995 р., для яких є стандартизовані дані в EUROSTAT і включають поетапне зменшення обсягів видалення відходів, що біологічно розкладаються з 75% до 35% за десятилітній період та до 10% до 2035 року чи 2040 - для держав-членів, яким було надано 5-річний відступ через відносно низьку продуктивність, тобто &gt;60 % рівня видалення у 2013 році. </w:t>
      </w:r>
    </w:p>
    <w:p w14:paraId="64E94BD0" w14:textId="2D05ED82" w:rsidR="004117CA" w:rsidRPr="00E74A7D" w:rsidRDefault="004117CA" w:rsidP="004117CA">
      <w:pPr>
        <w:rPr>
          <w:lang w:eastAsia="uk-UA"/>
        </w:rPr>
      </w:pPr>
      <w:r w:rsidRPr="00E74A7D">
        <w:rPr>
          <w:lang w:eastAsia="uk-UA"/>
        </w:rPr>
        <w:t xml:space="preserve">З огляду на те, що за базовий рік в Директиві 1999/31/ЄС, яка була прийнята в 1999р., був прийнятий 1995р, в НПУВ до 2035рр., пропонується </w:t>
      </w:r>
      <w:r w:rsidRPr="00E74A7D">
        <w:rPr>
          <w:b/>
          <w:bCs/>
          <w:lang w:eastAsia="uk-UA"/>
        </w:rPr>
        <w:t>за базовий рік взяти 2016р</w:t>
      </w:r>
      <w:r w:rsidRPr="00E74A7D">
        <w:rPr>
          <w:lang w:eastAsia="uk-UA"/>
        </w:rPr>
        <w:t xml:space="preserve">., оскільки саме він є базовим в затвердженій </w:t>
      </w:r>
      <w:r w:rsidR="00742D2F">
        <w:rPr>
          <w:lang w:eastAsia="uk-UA"/>
        </w:rPr>
        <w:t>НСУВ</w:t>
      </w:r>
      <w:r w:rsidRPr="00E74A7D">
        <w:rPr>
          <w:lang w:eastAsia="uk-UA"/>
        </w:rPr>
        <w:t xml:space="preserve"> в Україні до 2030р. Рік відліку для виконання цільових показників пропонується взяти 2022 у якому було прийнято ЗУ «Про управління відходами», який імплементує в українське законодавство положення згаданої Директиви.</w:t>
      </w:r>
    </w:p>
    <w:p w14:paraId="650E5AA7" w14:textId="77777777" w:rsidR="004117CA" w:rsidRPr="00E74A7D" w:rsidRDefault="004117CA" w:rsidP="004117CA">
      <w:pPr>
        <w:rPr>
          <w:lang w:eastAsia="uk-UA"/>
        </w:rPr>
      </w:pPr>
      <w:r w:rsidRPr="00E74A7D">
        <w:rPr>
          <w:lang w:eastAsia="uk-UA"/>
        </w:rPr>
        <w:t xml:space="preserve">Зважаючи на часові проміжки надані для виконання цільових показників з зменшення видалення на полігони відходів, що біологічно розкладаються (75% через 5 років, 50% через 8 років, 35% - через 15 років - після прийняття Державами-членами та введенням ними в дію законів, підзаконних нормативно-правових актів та адміністративних положень, необхідних для дотримання вимог Директиви). У рамках Пакету заходів щодо циркулярної економіки, Директиву оновили у 2018 році та включили додаткову ціль зменшення видалення на полігони відходів, що біологічно розкладаються до 10% до 2035 року (відтермінування у досягненні цілі на 5 років – до 2040 надається для держав-членів, через відносно низьку ефективність виконання ЦП, тобто &gt;60 % рівня видалення у 2013 році). Крім того, якщо відтермінування застосовано, держава-член все одно повинна забезпечити, щоб загальна кількість видалених побутових відходів не перевищувала 25 % у 2035 році. Україна після прийняття в члени ЄС потрапляє в дану категорію. </w:t>
      </w:r>
    </w:p>
    <w:p w14:paraId="10FFB467" w14:textId="77777777" w:rsidR="004117CA" w:rsidRPr="00F724CB" w:rsidRDefault="004117CA" w:rsidP="004117CA">
      <w:pPr>
        <w:pStyle w:val="REDBoldonly"/>
        <w:rPr>
          <w:rStyle w:val="affe"/>
        </w:rPr>
      </w:pPr>
      <w:r w:rsidRPr="00F724CB">
        <w:rPr>
          <w:rStyle w:val="affe"/>
        </w:rPr>
        <w:t>Визначення термінів</w:t>
      </w:r>
    </w:p>
    <w:p w14:paraId="3CB89368" w14:textId="77777777" w:rsidR="004117CA" w:rsidRPr="00EF6E71" w:rsidRDefault="004117CA" w:rsidP="004117CA">
      <w:pPr>
        <w:rPr>
          <w:lang w:val="bg-BG" w:eastAsia="uk-UA"/>
        </w:rPr>
      </w:pPr>
      <w:r w:rsidRPr="00EF6E71">
        <w:rPr>
          <w:lang w:val="bg-BG" w:eastAsia="uk-UA"/>
        </w:rPr>
        <w:t xml:space="preserve">У законодавстві ЄС є два різних визначення – біовідходи та відходи, що що біологічно розкладаються, з різним значенням і цілями. </w:t>
      </w:r>
    </w:p>
    <w:p w14:paraId="0FFBDB45" w14:textId="77777777" w:rsidR="004117CA" w:rsidRDefault="004117CA" w:rsidP="004117CA">
      <w:pPr>
        <w:rPr>
          <w:lang w:val="bg-BG" w:eastAsia="uk-UA"/>
        </w:rPr>
      </w:pPr>
      <w:r w:rsidRPr="00EF6E71">
        <w:rPr>
          <w:lang w:val="bg-BG" w:eastAsia="uk-UA"/>
        </w:rPr>
        <w:t>Визначення біорозкладних відходів міститься в Директиві 1999/31/ЄС про захоронення відходів і має більш широке значення, оскільки включає всі види відходів, що біологічно розкладаються, захоронення як</w:t>
      </w:r>
      <w:r>
        <w:rPr>
          <w:lang w:val="bg-BG" w:eastAsia="uk-UA"/>
        </w:rPr>
        <w:t>их</w:t>
      </w:r>
      <w:r w:rsidRPr="00EF6E71">
        <w:rPr>
          <w:lang w:val="bg-BG" w:eastAsia="uk-UA"/>
        </w:rPr>
        <w:t xml:space="preserve"> необхідно обмежити.</w:t>
      </w:r>
    </w:p>
    <w:p w14:paraId="4C179B6A" w14:textId="77777777" w:rsidR="004117CA" w:rsidRPr="00EF6E71" w:rsidRDefault="004117CA" w:rsidP="004117CA">
      <w:pPr>
        <w:rPr>
          <w:lang w:eastAsia="uk-UA"/>
        </w:rPr>
      </w:pPr>
      <w:r w:rsidRPr="00E74A7D">
        <w:rPr>
          <w:lang w:eastAsia="uk-UA"/>
        </w:rPr>
        <w:t>Директива Ради 1999/31/ЄС від 26 квітня 1999 року про захоронення відходів визначає, що термін</w:t>
      </w:r>
      <w:r>
        <w:rPr>
          <w:lang w:eastAsia="uk-UA"/>
        </w:rPr>
        <w:t xml:space="preserve"> </w:t>
      </w:r>
      <w:r w:rsidRPr="00E74A7D">
        <w:rPr>
          <w:lang w:eastAsia="uk-UA"/>
        </w:rPr>
        <w:t>«відходи, що біологічно розкладаються»</w:t>
      </w:r>
      <w:r>
        <w:rPr>
          <w:lang w:eastAsia="uk-UA"/>
        </w:rPr>
        <w:t xml:space="preserve">, що </w:t>
      </w:r>
      <w:r w:rsidRPr="00E74A7D">
        <w:rPr>
          <w:lang w:eastAsia="uk-UA"/>
        </w:rPr>
        <w:t xml:space="preserve"> означає будь-які відходи, що здатні до анаеробного чи аеробного розкладання, такі як харчові та садові відходи, а також папір і </w:t>
      </w:r>
      <w:r w:rsidRPr="00EF6E71">
        <w:rPr>
          <w:lang w:eastAsia="uk-UA"/>
        </w:rPr>
        <w:t>картон.</w:t>
      </w:r>
    </w:p>
    <w:p w14:paraId="40B217EF" w14:textId="77777777" w:rsidR="004117CA" w:rsidRPr="00EF6E71" w:rsidRDefault="004117CA" w:rsidP="004117CA">
      <w:pPr>
        <w:rPr>
          <w:lang w:val="bg-BG" w:eastAsia="uk-UA"/>
        </w:rPr>
      </w:pPr>
      <w:r w:rsidRPr="00EF6E71">
        <w:rPr>
          <w:lang w:val="bg-BG" w:eastAsia="uk-UA"/>
        </w:rPr>
        <w:t>Визначення біовідходів включено в Рамкову Директиву 2008/98/ЄС про відходи і є вужчим за обсягом, ніж визначення відходів, що біологічно розкладаються.</w:t>
      </w:r>
    </w:p>
    <w:p w14:paraId="0B4D1148" w14:textId="77777777" w:rsidR="004117CA" w:rsidRPr="00E74A7D" w:rsidRDefault="004117CA" w:rsidP="004117CA">
      <w:pPr>
        <w:rPr>
          <w:lang w:eastAsia="uk-UA"/>
        </w:rPr>
      </w:pPr>
      <w:r w:rsidRPr="00E74A7D">
        <w:rPr>
          <w:lang w:eastAsia="uk-UA"/>
        </w:rPr>
        <w:t xml:space="preserve">Рамкова директива про відходи 2008/98/EC від 19.11.2008 р. вводить більш вужче поняття -  «біовідходи». Біовідходи  - це біорозкладні садові та паркові відходи, харчові та кухонні відходи домогосподарств, установ, ресторанів, гуртової торгівлі, їдальнь, закладів громадського харчування і роздрібної торгівлі, а також аналогічні відходи харчопереробних підприємств з метою категоризувати відходи для системи роздільного збирання. </w:t>
      </w:r>
    </w:p>
    <w:p w14:paraId="269CA863" w14:textId="77777777" w:rsidR="004117CA" w:rsidRPr="00E74A7D" w:rsidRDefault="004117CA" w:rsidP="004117CA">
      <w:pPr>
        <w:rPr>
          <w:lang w:eastAsia="uk-UA"/>
        </w:rPr>
      </w:pPr>
      <w:r w:rsidRPr="00E74A7D">
        <w:rPr>
          <w:lang w:eastAsia="uk-UA"/>
        </w:rPr>
        <w:t xml:space="preserve">Вони поділяються на два основних потоки: </w:t>
      </w:r>
    </w:p>
    <w:p w14:paraId="62F49E67" w14:textId="77777777" w:rsidR="004117CA" w:rsidRPr="00E74A7D" w:rsidRDefault="004117CA" w:rsidP="004117CA">
      <w:pPr>
        <w:pStyle w:val="BulletRED"/>
        <w:ind w:left="924" w:hanging="357"/>
        <w:rPr>
          <w:lang w:eastAsia="uk-UA"/>
        </w:rPr>
      </w:pPr>
      <w:r w:rsidRPr="00E74A7D">
        <w:rPr>
          <w:lang w:eastAsia="uk-UA"/>
        </w:rPr>
        <w:t>зелені відходи з парків і садів, які містять близько 50-60% вологи;</w:t>
      </w:r>
    </w:p>
    <w:p w14:paraId="5D6DB759" w14:textId="77777777" w:rsidR="004117CA" w:rsidRPr="00E74A7D" w:rsidRDefault="004117CA" w:rsidP="004117CA">
      <w:pPr>
        <w:pStyle w:val="BulletRED"/>
        <w:ind w:left="924" w:hanging="357"/>
        <w:rPr>
          <w:lang w:eastAsia="uk-UA"/>
        </w:rPr>
      </w:pPr>
      <w:r w:rsidRPr="00E74A7D">
        <w:rPr>
          <w:lang w:eastAsia="uk-UA"/>
        </w:rPr>
        <w:t>деревні і кухонні відходи, де вміст вологи досягає до 80%,  природні добрива, осад стічних вод або інші біологічно розкладні відходи такі як натуральний текстиль, папір або оброблена деревина.</w:t>
      </w:r>
    </w:p>
    <w:p w14:paraId="551FBAAE" w14:textId="77777777" w:rsidR="004117CA" w:rsidRPr="00E74A7D" w:rsidRDefault="004117CA" w:rsidP="004117CA">
      <w:pPr>
        <w:rPr>
          <w:lang w:eastAsia="uk-UA"/>
        </w:rPr>
      </w:pPr>
      <w:r w:rsidRPr="00E74A7D">
        <w:rPr>
          <w:lang w:eastAsia="uk-UA"/>
        </w:rPr>
        <w:t>Відповідно до Рамкової директиви про відходи 2008/98/EC, країни-члени повинні вживати заходів і заохочувати:</w:t>
      </w:r>
    </w:p>
    <w:p w14:paraId="3D498DE3" w14:textId="77777777" w:rsidR="004117CA" w:rsidRPr="00E74A7D" w:rsidRDefault="004117CA" w:rsidP="004117CA">
      <w:pPr>
        <w:pStyle w:val="BulletRED"/>
        <w:numPr>
          <w:ilvl w:val="0"/>
          <w:numId w:val="0"/>
        </w:numPr>
        <w:ind w:left="924"/>
        <w:rPr>
          <w:lang w:eastAsia="uk-UA"/>
        </w:rPr>
      </w:pPr>
      <w:r w:rsidRPr="00E74A7D">
        <w:t>а) роздільне збирання біовідходів з метою компостування та анаеробної деградації біовідходів;</w:t>
      </w:r>
      <w:r w:rsidRPr="00E74A7D">
        <w:rPr>
          <w:shd w:val="clear" w:color="auto" w:fill="F8F9FA"/>
        </w:rPr>
        <w:t xml:space="preserve"> </w:t>
      </w:r>
    </w:p>
    <w:p w14:paraId="49D50DCA" w14:textId="77777777" w:rsidR="004117CA" w:rsidRPr="00E74A7D" w:rsidRDefault="004117CA" w:rsidP="004117CA">
      <w:pPr>
        <w:pStyle w:val="BulletRED"/>
        <w:numPr>
          <w:ilvl w:val="0"/>
          <w:numId w:val="0"/>
        </w:numPr>
        <w:ind w:left="924"/>
        <w:rPr>
          <w:shd w:val="clear" w:color="auto" w:fill="F8F9FA"/>
        </w:rPr>
      </w:pPr>
      <w:r w:rsidRPr="00E74A7D">
        <w:t>b) оброблення біовідходів у спосіб, який забезпечує високий ступінь захисту навколишнього</w:t>
      </w:r>
      <w:r w:rsidRPr="00E74A7D">
        <w:rPr>
          <w:shd w:val="clear" w:color="auto" w:fill="F8F9FA"/>
        </w:rPr>
        <w:t xml:space="preserve"> </w:t>
      </w:r>
      <w:r w:rsidRPr="00E74A7D">
        <w:t>середовища;</w:t>
      </w:r>
      <w:r w:rsidRPr="00E74A7D">
        <w:rPr>
          <w:shd w:val="clear" w:color="auto" w:fill="F8F9FA"/>
        </w:rPr>
        <w:t xml:space="preserve"> </w:t>
      </w:r>
    </w:p>
    <w:p w14:paraId="0D7ECD70" w14:textId="77777777" w:rsidR="004117CA" w:rsidRPr="00E74A7D" w:rsidRDefault="004117CA" w:rsidP="004117CA">
      <w:pPr>
        <w:pStyle w:val="BulletRED"/>
        <w:numPr>
          <w:ilvl w:val="0"/>
          <w:numId w:val="0"/>
        </w:numPr>
        <w:ind w:left="924"/>
        <w:rPr>
          <w:shd w:val="clear" w:color="auto" w:fill="F8F9FA"/>
        </w:rPr>
      </w:pPr>
      <w:r w:rsidRPr="00E74A7D">
        <w:t>в) використання екологічно безпечних матеріалів</w:t>
      </w:r>
      <w:r w:rsidRPr="00E74A7D">
        <w:rPr>
          <w:shd w:val="clear" w:color="auto" w:fill="F8F9FA"/>
        </w:rPr>
        <w:t xml:space="preserve"> </w:t>
      </w:r>
      <w:r w:rsidRPr="00E74A7D">
        <w:t>виробництва органічних відходів.</w:t>
      </w:r>
    </w:p>
    <w:p w14:paraId="549BE700" w14:textId="77777777" w:rsidR="004117CA" w:rsidRPr="00E74A7D" w:rsidRDefault="004117CA" w:rsidP="004117CA">
      <w:pPr>
        <w:rPr>
          <w:lang w:eastAsia="uk-UA"/>
        </w:rPr>
      </w:pPr>
      <w:r w:rsidRPr="00E74A7D">
        <w:rPr>
          <w:lang w:eastAsia="uk-UA"/>
        </w:rPr>
        <w:t>Рамкова директива про відходи для заохочення держав-членів до окремого збирання та оброблення  біовідходів дозволяє включити їх у розрахунок загально обов’язкових цілей щодо оброблення побутових відходів. Крім того, ця директива дозволяє встановити мінімальні вимоги в ЄС для управління біовідходами, а також критеріїв якості компосту з біовідходів, у т.ч вимоги до походження відходів і процесів оброблення. Ці критерії мають завдання підвищити довіру споживачів і розширити ринок за рахунок ціни при раціональному використанні матеріалів.</w:t>
      </w:r>
    </w:p>
    <w:p w14:paraId="7BF9D65E" w14:textId="77777777" w:rsidR="004117CA" w:rsidRPr="00AA085B" w:rsidRDefault="004117CA" w:rsidP="004117CA">
      <w:pPr>
        <w:rPr>
          <w:lang w:eastAsia="uk-UA"/>
        </w:rPr>
      </w:pPr>
      <w:r w:rsidRPr="00E74A7D">
        <w:rPr>
          <w:lang w:eastAsia="uk-UA"/>
        </w:rPr>
        <w:t xml:space="preserve">У Європейському </w:t>
      </w:r>
      <w:r w:rsidRPr="00AA085B">
        <w:rPr>
          <w:lang w:eastAsia="uk-UA"/>
        </w:rPr>
        <w:t xml:space="preserve">Союзі </w:t>
      </w:r>
      <w:r w:rsidRPr="00AA085B">
        <w:rPr>
          <w:lang w:val="bg-BG" w:eastAsia="uk-UA"/>
        </w:rPr>
        <w:t xml:space="preserve">відходів, що біологічно розкладаються </w:t>
      </w:r>
      <w:r w:rsidRPr="00AA085B">
        <w:rPr>
          <w:lang w:eastAsia="uk-UA"/>
        </w:rPr>
        <w:t>складають від 30% до 40% обсягів утворюваних твердих побутових відходів. В середньому 41% побутових відходів вивозиться на полігони, у деяких державах-членах (наприклад, Польщі, Литві) цей відсоток перевищує 90%.</w:t>
      </w:r>
    </w:p>
    <w:p w14:paraId="3AA1DF84" w14:textId="77777777" w:rsidR="004117CA" w:rsidRPr="00E74A7D" w:rsidRDefault="004117CA" w:rsidP="004117CA">
      <w:pPr>
        <w:rPr>
          <w:lang w:eastAsia="uk-UA"/>
        </w:rPr>
      </w:pPr>
      <w:r w:rsidRPr="00AA085B">
        <w:rPr>
          <w:lang w:eastAsia="uk-UA"/>
        </w:rPr>
        <w:t>Однак захоронення</w:t>
      </w:r>
      <w:r w:rsidRPr="00AA085B">
        <w:rPr>
          <w:lang w:val="bg-BG" w:eastAsia="uk-UA"/>
        </w:rPr>
        <w:t xml:space="preserve"> відходів, що біологічно розкладаються</w:t>
      </w:r>
      <w:r>
        <w:rPr>
          <w:lang w:val="bg-BG" w:eastAsia="uk-UA"/>
        </w:rPr>
        <w:t xml:space="preserve"> </w:t>
      </w:r>
      <w:r w:rsidRPr="00E74A7D">
        <w:rPr>
          <w:lang w:eastAsia="uk-UA"/>
        </w:rPr>
        <w:t>на полігонах та сміттєзвалищах пов’язане з серйозними екологічними ризиками, такими як викиди парникових газів, забруднення ґрунту та ґрунтових вод. З господарського та природного циклу вилучаються  цінні ресурси (компост, енергія). Таким чином порушуються основоположні принципи політики ЄС щодо відходів та сталого управління ресурсами, особливо «ієрархії відходів», яка має бути основою політики управління відходами.</w:t>
      </w:r>
    </w:p>
    <w:p w14:paraId="6F089F18" w14:textId="77777777" w:rsidR="004117CA" w:rsidRPr="00E74A7D" w:rsidRDefault="004117CA" w:rsidP="004117CA">
      <w:pPr>
        <w:rPr>
          <w:lang w:eastAsia="uk-UA"/>
        </w:rPr>
      </w:pPr>
      <w:r w:rsidRPr="00E74A7D">
        <w:rPr>
          <w:lang w:eastAsia="uk-UA"/>
        </w:rPr>
        <w:t xml:space="preserve">Для </w:t>
      </w:r>
      <w:r w:rsidRPr="00AA085B">
        <w:rPr>
          <w:lang w:eastAsia="uk-UA"/>
        </w:rPr>
        <w:t xml:space="preserve">управління </w:t>
      </w:r>
      <w:r w:rsidRPr="00AA085B">
        <w:rPr>
          <w:lang w:val="bg-BG" w:eastAsia="uk-UA"/>
        </w:rPr>
        <w:t xml:space="preserve">відходів, що біологічно розкладаються </w:t>
      </w:r>
      <w:r w:rsidRPr="00AA085B">
        <w:rPr>
          <w:lang w:eastAsia="uk-UA"/>
        </w:rPr>
        <w:t>відходами, які вивозяться на полігони, не існує єдиної модель, яка найкраще підходить для</w:t>
      </w:r>
      <w:r w:rsidRPr="00E74A7D">
        <w:rPr>
          <w:lang w:eastAsia="uk-UA"/>
        </w:rPr>
        <w:t xml:space="preserve"> охорони навколишнього середовища. Управління цим видом відходів залежить від ряду місцевих факторів, серед яких системи збирання відходів, склад і якість відходів, кліматичні умови, можливість використання різних продуктів, отриманих з відходів, таких як електроенергія, тепло, біогаз або компост.</w:t>
      </w:r>
    </w:p>
    <w:p w14:paraId="38CC5B3F" w14:textId="77777777" w:rsidR="004117CA" w:rsidRPr="00E74A7D" w:rsidRDefault="004117CA" w:rsidP="004117CA">
      <w:pPr>
        <w:rPr>
          <w:lang w:eastAsia="uk-UA"/>
        </w:rPr>
      </w:pPr>
      <w:r w:rsidRPr="00E74A7D">
        <w:rPr>
          <w:lang w:eastAsia="uk-UA"/>
        </w:rPr>
        <w:t>Варіанти управління біовідходами включають, окрім запобігання утворення відходів, збирання (окремий або у складі змішаних відходів), анаеробне розкладання та компостування, спалювання та захоронення. Екологічні та економічні переваги різних методів оброблення істотно залежать від місцевих умов, таких як щільність населення, інфраструктури та клімату, а також наявності кінцевих ринків збуту продукту (енергоносій, компост тощо).</w:t>
      </w:r>
    </w:p>
    <w:p w14:paraId="12D55FB9" w14:textId="77777777" w:rsidR="004117CA" w:rsidRPr="00AA085B" w:rsidRDefault="004117CA" w:rsidP="004117CA">
      <w:pPr>
        <w:rPr>
          <w:lang w:eastAsia="uk-UA"/>
        </w:rPr>
      </w:pPr>
      <w:r w:rsidRPr="00E74A7D">
        <w:rPr>
          <w:lang w:eastAsia="uk-UA"/>
        </w:rPr>
        <w:t xml:space="preserve">Загальні вимоги до </w:t>
      </w:r>
      <w:r w:rsidRPr="00AA085B">
        <w:rPr>
          <w:lang w:eastAsia="uk-UA"/>
        </w:rPr>
        <w:t>управління</w:t>
      </w:r>
      <w:r w:rsidRPr="00AA085B">
        <w:rPr>
          <w:lang w:val="bg-BG" w:eastAsia="uk-UA"/>
        </w:rPr>
        <w:t xml:space="preserve"> </w:t>
      </w:r>
      <w:r w:rsidRPr="00AA085B">
        <w:rPr>
          <w:lang w:eastAsia="uk-UA"/>
        </w:rPr>
        <w:t xml:space="preserve"> </w:t>
      </w:r>
      <w:r w:rsidRPr="00AA085B">
        <w:rPr>
          <w:lang w:val="bg-BG" w:eastAsia="uk-UA"/>
        </w:rPr>
        <w:t>відходами, що біологічно розкладаються</w:t>
      </w:r>
      <w:r w:rsidRPr="00AA085B">
        <w:rPr>
          <w:lang w:eastAsia="uk-UA"/>
        </w:rPr>
        <w:t>,</w:t>
      </w:r>
      <w:r w:rsidRPr="00E74A7D">
        <w:rPr>
          <w:lang w:eastAsia="uk-UA"/>
        </w:rPr>
        <w:t xml:space="preserve"> наприклад захист навколишнього середовища та здоров'я людини під час оброблення та видалення відходів, прі</w:t>
      </w:r>
      <w:r>
        <w:rPr>
          <w:lang w:eastAsia="uk-UA"/>
        </w:rPr>
        <w:t xml:space="preserve">оритети перероблення відходів, </w:t>
      </w:r>
      <w:r w:rsidRPr="00E74A7D">
        <w:rPr>
          <w:lang w:eastAsia="uk-UA"/>
        </w:rPr>
        <w:t xml:space="preserve">закріплені в новій Рамковій директиві про відходи, які також містять специфічні елементи, пов’язані з біовідходами (нові цілі рециклінгу побутових відходів, які можуть включати біовідходи) та механізми, що дозволяють визначати критерії якості </w:t>
      </w:r>
      <w:r w:rsidRPr="00AA085B">
        <w:rPr>
          <w:lang w:eastAsia="uk-UA"/>
        </w:rPr>
        <w:t>компосту.</w:t>
      </w:r>
    </w:p>
    <w:p w14:paraId="1EC5FBE6" w14:textId="77777777" w:rsidR="004117CA" w:rsidRPr="00AA085B" w:rsidRDefault="004117CA" w:rsidP="004117CA">
      <w:pPr>
        <w:rPr>
          <w:lang w:eastAsia="uk-UA"/>
        </w:rPr>
      </w:pPr>
      <w:r w:rsidRPr="00AA085B">
        <w:rPr>
          <w:lang w:eastAsia="uk-UA"/>
        </w:rPr>
        <w:t xml:space="preserve">Поліпшення управління </w:t>
      </w:r>
      <w:r w:rsidRPr="00AA085B">
        <w:rPr>
          <w:lang w:val="bg-BG" w:eastAsia="uk-UA"/>
        </w:rPr>
        <w:t>відходами, що біологічно розкладаються</w:t>
      </w:r>
      <w:r w:rsidRPr="00AA085B">
        <w:rPr>
          <w:lang w:eastAsia="uk-UA"/>
        </w:rPr>
        <w:t xml:space="preserve"> в Україні принесе наступні переваги:</w:t>
      </w:r>
    </w:p>
    <w:p w14:paraId="2C5D692B" w14:textId="77777777" w:rsidR="004117CA" w:rsidRPr="00AA085B" w:rsidRDefault="004117CA" w:rsidP="004117CA">
      <w:pPr>
        <w:pStyle w:val="BulletRED"/>
        <w:ind w:left="924" w:hanging="357"/>
        <w:rPr>
          <w:lang w:eastAsia="uk-UA"/>
        </w:rPr>
      </w:pPr>
      <w:r w:rsidRPr="00AA085B">
        <w:rPr>
          <w:lang w:eastAsia="uk-UA"/>
        </w:rPr>
        <w:t>зменшення викидів парникових газів, виражених у еквіваленті CO2, щодо скорочення викидів для секторів, які не охоплені Схемою торгівлі викидами;</w:t>
      </w:r>
    </w:p>
    <w:p w14:paraId="16985C75" w14:textId="77777777" w:rsidR="004117CA" w:rsidRPr="00AA085B" w:rsidRDefault="004117CA" w:rsidP="004117CA">
      <w:pPr>
        <w:pStyle w:val="BulletRED"/>
        <w:ind w:left="924" w:hanging="357"/>
        <w:rPr>
          <w:lang w:eastAsia="uk-UA"/>
        </w:rPr>
      </w:pPr>
      <w:r w:rsidRPr="00AA085B">
        <w:rPr>
          <w:lang w:eastAsia="uk-UA"/>
        </w:rPr>
        <w:t>використання відновлюваної енергії у транспорті, наприклад, як паливо для автомобілів використовується біогаз, отриманий з біовідходів, отримання  енергії з відновлюваних джерел,  якщо всі біовідходи перетворювати в енергію;</w:t>
      </w:r>
    </w:p>
    <w:p w14:paraId="6E1FB311" w14:textId="77777777" w:rsidR="004117CA" w:rsidRPr="00AA085B" w:rsidRDefault="004117CA" w:rsidP="004117CA">
      <w:pPr>
        <w:pStyle w:val="BulletRED"/>
        <w:ind w:left="924" w:hanging="357"/>
        <w:rPr>
          <w:lang w:eastAsia="uk-UA"/>
        </w:rPr>
      </w:pPr>
      <w:r w:rsidRPr="00AA085B">
        <w:rPr>
          <w:lang w:eastAsia="uk-UA"/>
        </w:rPr>
        <w:t>формування ринку якісного компосту;</w:t>
      </w:r>
    </w:p>
    <w:p w14:paraId="512586B7" w14:textId="77777777" w:rsidR="004117CA" w:rsidRPr="00AA085B" w:rsidRDefault="004117CA" w:rsidP="004117CA">
      <w:pPr>
        <w:pStyle w:val="BulletRED"/>
        <w:ind w:left="924" w:hanging="357"/>
        <w:rPr>
          <w:lang w:eastAsia="uk-UA"/>
        </w:rPr>
      </w:pPr>
      <w:r w:rsidRPr="00AA085B">
        <w:rPr>
          <w:lang w:eastAsia="uk-UA"/>
        </w:rPr>
        <w:t>економія ресурсів за рахунок заміни 10% фосфорних добрив, 9% калійних добрив і 8% кальцієвих добрив компостом;</w:t>
      </w:r>
    </w:p>
    <w:p w14:paraId="27ADF7EB" w14:textId="77777777" w:rsidR="004117CA" w:rsidRPr="00AA085B" w:rsidRDefault="004117CA" w:rsidP="004117CA">
      <w:pPr>
        <w:pStyle w:val="BulletRED"/>
        <w:ind w:left="924" w:hanging="357"/>
        <w:rPr>
          <w:lang w:eastAsia="uk-UA"/>
        </w:rPr>
      </w:pPr>
      <w:r w:rsidRPr="00AA085B">
        <w:rPr>
          <w:lang w:eastAsia="uk-UA"/>
        </w:rPr>
        <w:t>покращення виснажених сільськогосподарських ґрунтів компостом та вирішення проблеми деградації ґрунтів.</w:t>
      </w:r>
    </w:p>
    <w:p w14:paraId="580CB941" w14:textId="77777777" w:rsidR="004117CA" w:rsidRPr="00AA085B" w:rsidRDefault="004117CA" w:rsidP="004117CA">
      <w:pPr>
        <w:rPr>
          <w:lang w:eastAsia="uk-UA"/>
        </w:rPr>
      </w:pPr>
      <w:r w:rsidRPr="00AA085B">
        <w:rPr>
          <w:lang w:eastAsia="uk-UA"/>
        </w:rPr>
        <w:t xml:space="preserve">Українське законодавство, яке регулює питання </w:t>
      </w:r>
      <w:r>
        <w:rPr>
          <w:lang w:eastAsia="uk-UA"/>
        </w:rPr>
        <w:t>управління</w:t>
      </w:r>
      <w:r w:rsidRPr="00AA085B">
        <w:rPr>
          <w:lang w:eastAsia="uk-UA"/>
        </w:rPr>
        <w:t xml:space="preserve"> із відходами та матеріалами, що біологічно розкладаються:</w:t>
      </w:r>
    </w:p>
    <w:p w14:paraId="7B2BC601" w14:textId="77777777" w:rsidR="004117CA" w:rsidRPr="00AA085B" w:rsidRDefault="004117CA" w:rsidP="004117CA">
      <w:pPr>
        <w:pStyle w:val="BulletRED"/>
        <w:ind w:left="924" w:hanging="357"/>
        <w:rPr>
          <w:lang w:eastAsia="uk-UA"/>
        </w:rPr>
      </w:pPr>
      <w:r w:rsidRPr="00AA085B">
        <w:rPr>
          <w:lang w:eastAsia="uk-UA"/>
        </w:rPr>
        <w:t>Закон України «Про управління відходами» - запобігання утворенню, зменшення обсягів утворення відходів, зниження негативних наслідків від діяльності з управління відходами, сприяння підготовці відходів до повторного використання, рециклінгу і відновленню</w:t>
      </w:r>
    </w:p>
    <w:p w14:paraId="59581AEF" w14:textId="77777777" w:rsidR="004117CA" w:rsidRPr="00AA085B" w:rsidRDefault="004117CA" w:rsidP="004117CA">
      <w:pPr>
        <w:pStyle w:val="BulletRED"/>
        <w:ind w:left="924" w:hanging="357"/>
        <w:rPr>
          <w:lang w:eastAsia="uk-UA"/>
        </w:rPr>
      </w:pPr>
      <w:r w:rsidRPr="00AA085B">
        <w:rPr>
          <w:lang w:eastAsia="uk-UA"/>
        </w:rPr>
        <w:t>Закон України «Про альтернативні джерела енергії» - визначає правові, економічні, екологічні та організаційні засади використання альтернативних джерел енергії (біомаси, газу з органічних відходів, газу каналізаційно-очисних станцій, біогазів) та сприяння розширенню їх використання у паливно-енергетичному комплексі. Регулювання питання встановлення «зеленого тарифу».</w:t>
      </w:r>
    </w:p>
    <w:p w14:paraId="240E255B" w14:textId="77777777" w:rsidR="004117CA" w:rsidRPr="00AA085B" w:rsidRDefault="004117CA" w:rsidP="004117CA">
      <w:pPr>
        <w:pStyle w:val="BulletRED"/>
        <w:ind w:left="924" w:hanging="357"/>
        <w:rPr>
          <w:lang w:eastAsia="uk-UA"/>
        </w:rPr>
      </w:pPr>
      <w:r w:rsidRPr="00AA085B">
        <w:rPr>
          <w:lang w:eastAsia="uk-UA"/>
        </w:rPr>
        <w:t>Закон України «Про побічні продукти тваринного походження, не призначені для споживання людиною» - визначає організаційні та правові засади діяльності фізичних та юридичних осіб, пов’язаної з утворенням, збиранням, перевезенням, зберіганням, обробленням, переробкою, утилізацією, видаленням побічних продуктів тваринного походження.</w:t>
      </w:r>
    </w:p>
    <w:p w14:paraId="4DBBE86D" w14:textId="77777777" w:rsidR="004117CA" w:rsidRPr="00F724CB" w:rsidRDefault="004117CA" w:rsidP="004117CA">
      <w:pPr>
        <w:rPr>
          <w:color w:val="202124"/>
          <w:lang w:eastAsia="uk-UA"/>
        </w:rPr>
      </w:pPr>
    </w:p>
    <w:p w14:paraId="3CD08BAB" w14:textId="77777777" w:rsidR="004117CA" w:rsidRPr="00AA085B" w:rsidRDefault="004117CA" w:rsidP="004117CA">
      <w:pPr>
        <w:pStyle w:val="REDBoldonly"/>
        <w:rPr>
          <w:szCs w:val="18"/>
        </w:rPr>
      </w:pPr>
      <w:r w:rsidRPr="00AA085B">
        <w:rPr>
          <w:szCs w:val="18"/>
          <w:lang w:eastAsia="uk-UA"/>
        </w:rPr>
        <w:t xml:space="preserve">Принципи Національної </w:t>
      </w:r>
      <w:r w:rsidRPr="00AA085B">
        <w:rPr>
          <w:szCs w:val="18"/>
        </w:rPr>
        <w:t>програми зменшення захоронення відходів</w:t>
      </w:r>
      <w:r w:rsidRPr="00AA085B">
        <w:rPr>
          <w:szCs w:val="18"/>
          <w:lang w:val="bg-BG" w:eastAsia="uk-UA"/>
        </w:rPr>
        <w:t>, що біологічно розкладаються</w:t>
      </w:r>
      <w:r w:rsidRPr="00AA085B">
        <w:rPr>
          <w:szCs w:val="18"/>
          <w:lang w:eastAsia="uk-UA"/>
        </w:rPr>
        <w:t xml:space="preserve"> </w:t>
      </w:r>
    </w:p>
    <w:p w14:paraId="278AF271" w14:textId="77777777" w:rsidR="004117CA" w:rsidRPr="00E74A7D" w:rsidRDefault="004117CA" w:rsidP="004117CA">
      <w:pPr>
        <w:rPr>
          <w:lang w:eastAsia="uk-UA"/>
        </w:rPr>
      </w:pPr>
      <w:r w:rsidRPr="00E74A7D">
        <w:rPr>
          <w:lang w:eastAsia="uk-UA"/>
        </w:rPr>
        <w:t>Програма базується на таких принципах:</w:t>
      </w:r>
    </w:p>
    <w:p w14:paraId="1883B24B" w14:textId="77777777" w:rsidR="004117CA" w:rsidRPr="00E74A7D" w:rsidRDefault="004117CA" w:rsidP="004117CA">
      <w:pPr>
        <w:pStyle w:val="BulletRED"/>
        <w:ind w:left="924" w:hanging="357"/>
        <w:rPr>
          <w:lang w:eastAsia="uk-UA"/>
        </w:rPr>
      </w:pPr>
      <w:r w:rsidRPr="00E74A7D">
        <w:rPr>
          <w:b/>
          <w:bCs/>
          <w:lang w:eastAsia="uk-UA"/>
        </w:rPr>
        <w:t>«сталого розвитку»</w:t>
      </w:r>
      <w:r w:rsidRPr="00E74A7D">
        <w:rPr>
          <w:lang w:eastAsia="uk-UA"/>
        </w:rPr>
        <w:t xml:space="preserve"> - використання природних ресурсів таким чином, що вони не знищувалися або пошкоджувалися та не обмежувалися можливості їх використання майбутніми поколіннями;</w:t>
      </w:r>
    </w:p>
    <w:p w14:paraId="0F5BA78A" w14:textId="77777777" w:rsidR="004117CA" w:rsidRPr="00E74A7D" w:rsidRDefault="004117CA" w:rsidP="004117CA">
      <w:pPr>
        <w:pStyle w:val="BulletRED"/>
        <w:ind w:left="924" w:hanging="357"/>
        <w:rPr>
          <w:lang w:eastAsia="uk-UA"/>
        </w:rPr>
      </w:pPr>
      <w:r w:rsidRPr="00E74A7D">
        <w:rPr>
          <w:b/>
          <w:bCs/>
          <w:lang w:eastAsia="uk-UA"/>
        </w:rPr>
        <w:t>«профілактики»</w:t>
      </w:r>
      <w:r w:rsidRPr="00E74A7D">
        <w:rPr>
          <w:lang w:eastAsia="uk-UA"/>
        </w:rPr>
        <w:t xml:space="preserve"> – зменшення обсягів утворення відходів де це можливо;</w:t>
      </w:r>
    </w:p>
    <w:p w14:paraId="4A3706C4" w14:textId="77777777" w:rsidR="004117CA" w:rsidRPr="00E74A7D" w:rsidRDefault="004117CA" w:rsidP="004117CA">
      <w:pPr>
        <w:pStyle w:val="BulletRED"/>
        <w:ind w:left="924" w:hanging="357"/>
        <w:rPr>
          <w:lang w:eastAsia="uk-UA"/>
        </w:rPr>
      </w:pPr>
      <w:r w:rsidRPr="00E74A7D">
        <w:rPr>
          <w:b/>
          <w:bCs/>
          <w:lang w:eastAsia="uk-UA"/>
        </w:rPr>
        <w:t>«запобігання»</w:t>
      </w:r>
      <w:r w:rsidRPr="00E74A7D">
        <w:rPr>
          <w:lang w:eastAsia="uk-UA"/>
        </w:rPr>
        <w:t xml:space="preserve"> – потенційні проблеми, які слід передбачити, запобігти на ранній стадії;</w:t>
      </w:r>
    </w:p>
    <w:p w14:paraId="3C0B586F" w14:textId="77777777" w:rsidR="004117CA" w:rsidRPr="00E74A7D" w:rsidRDefault="004117CA" w:rsidP="004117CA">
      <w:pPr>
        <w:pStyle w:val="BulletRED"/>
        <w:ind w:left="924" w:hanging="357"/>
        <w:rPr>
          <w:lang w:eastAsia="uk-UA"/>
        </w:rPr>
      </w:pPr>
      <w:r w:rsidRPr="00E74A7D">
        <w:rPr>
          <w:b/>
          <w:bCs/>
          <w:lang w:eastAsia="uk-UA"/>
        </w:rPr>
        <w:t xml:space="preserve">«забруднювач платить» </w:t>
      </w:r>
      <w:r w:rsidRPr="00E74A7D">
        <w:rPr>
          <w:lang w:eastAsia="uk-UA"/>
        </w:rPr>
        <w:t>- власники та утворювачі відходів, які забруднюють навколишнє середовище, відшкодовують повну вартість шкоди, спричиненої в результаті їхніх дій;</w:t>
      </w:r>
    </w:p>
    <w:p w14:paraId="1A4C5BE4" w14:textId="77777777" w:rsidR="004117CA" w:rsidRPr="00E74A7D" w:rsidRDefault="004117CA" w:rsidP="004117CA">
      <w:pPr>
        <w:pStyle w:val="BulletRED"/>
        <w:ind w:left="924" w:hanging="357"/>
        <w:rPr>
          <w:lang w:eastAsia="uk-UA"/>
        </w:rPr>
      </w:pPr>
      <w:r w:rsidRPr="00E74A7D">
        <w:rPr>
          <w:b/>
          <w:bCs/>
          <w:lang w:eastAsia="uk-UA"/>
        </w:rPr>
        <w:t>«територіальної наближеності»</w:t>
      </w:r>
      <w:r w:rsidRPr="00E74A7D">
        <w:rPr>
          <w:lang w:eastAsia="uk-UA"/>
        </w:rPr>
        <w:t xml:space="preserve"> - відходи, які потрібно обробляти якомога ближче місця їх утворення;</w:t>
      </w:r>
    </w:p>
    <w:p w14:paraId="7E6DEAD4" w14:textId="77777777" w:rsidR="004117CA" w:rsidRPr="00E74A7D" w:rsidRDefault="004117CA" w:rsidP="004117CA">
      <w:pPr>
        <w:pStyle w:val="BulletRED"/>
        <w:ind w:left="924" w:hanging="357"/>
        <w:rPr>
          <w:b/>
          <w:bCs/>
          <w:lang w:eastAsia="uk-UA"/>
        </w:rPr>
      </w:pPr>
      <w:r w:rsidRPr="00E74A7D">
        <w:rPr>
          <w:b/>
          <w:bCs/>
          <w:lang w:eastAsia="uk-UA"/>
        </w:rPr>
        <w:t>«ієрархії управління відходами»:</w:t>
      </w:r>
    </w:p>
    <w:p w14:paraId="59D6BF46"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запобігання утворенню відходів - шляхом зменшення кількість та/або вмісту небезпечних речовин в утворюваних відходах;</w:t>
      </w:r>
    </w:p>
    <w:p w14:paraId="1E74CECD"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підготовка до повторного використання – багаторазове використання продукції або предметів того або іншого призначення;</w:t>
      </w:r>
    </w:p>
    <w:p w14:paraId="022E574F"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рециклінг - перероблення відходів і використання їх як сировини для виробництва такої або іншої продукції;</w:t>
      </w:r>
    </w:p>
    <w:p w14:paraId="46D81417"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відновлення відходів (у тому числі виробництва енергії);</w:t>
      </w:r>
    </w:p>
    <w:p w14:paraId="6A879E82"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видалення відходів - шляхом захоронення або спалювання відходів, без рекуперація енергії у разі відсутності іншого відповідного рішення;</w:t>
      </w:r>
    </w:p>
    <w:p w14:paraId="6FD8BE23" w14:textId="77777777" w:rsidR="004117CA" w:rsidRPr="00E74A7D" w:rsidRDefault="004117CA" w:rsidP="004117CA">
      <w:pPr>
        <w:pStyle w:val="BulletRED"/>
        <w:ind w:left="924" w:hanging="357"/>
        <w:rPr>
          <w:lang w:eastAsia="uk-UA"/>
        </w:rPr>
      </w:pPr>
      <w:r w:rsidRPr="0087122C">
        <w:rPr>
          <w:b/>
          <w:bCs/>
          <w:lang w:eastAsia="uk-UA"/>
        </w:rPr>
        <w:t>«найкращих доступних технологій та методів»</w:t>
      </w:r>
      <w:r w:rsidRPr="00E74A7D">
        <w:rPr>
          <w:lang w:eastAsia="uk-UA"/>
        </w:rPr>
        <w:t xml:space="preserve"> - використання рішення (або комбінація рішень), які для заданих цілей і обставин забезпечують найбільшу користь або найменшу шкоду навколишньому середовищу, як в короткостроковій, так і довгостроковій перспективі;</w:t>
      </w:r>
    </w:p>
    <w:p w14:paraId="6903278B" w14:textId="77777777" w:rsidR="004117CA" w:rsidRPr="00E74A7D" w:rsidRDefault="004117CA" w:rsidP="004117CA">
      <w:pPr>
        <w:pStyle w:val="BulletRED"/>
        <w:ind w:left="924" w:hanging="357"/>
        <w:rPr>
          <w:lang w:eastAsia="uk-UA"/>
        </w:rPr>
      </w:pPr>
      <w:r w:rsidRPr="0087122C">
        <w:rPr>
          <w:b/>
          <w:bCs/>
          <w:lang w:eastAsia="uk-UA"/>
        </w:rPr>
        <w:t>«інтегрованого управління відходами»</w:t>
      </w:r>
      <w:r w:rsidRPr="00E74A7D">
        <w:rPr>
          <w:lang w:eastAsia="uk-UA"/>
        </w:rPr>
        <w:t xml:space="preserve"> - система правових, технічних, організаційно</w:t>
      </w:r>
    </w:p>
    <w:p w14:paraId="3910EFD0" w14:textId="77777777" w:rsidR="004117CA" w:rsidRPr="00E74A7D" w:rsidRDefault="004117CA" w:rsidP="004117CA">
      <w:pPr>
        <w:pStyle w:val="BulletRED"/>
        <w:ind w:left="924" w:hanging="357"/>
        <w:rPr>
          <w:lang w:eastAsia="uk-UA"/>
        </w:rPr>
      </w:pPr>
      <w:r w:rsidRPr="00E74A7D">
        <w:rPr>
          <w:lang w:eastAsia="uk-UA"/>
        </w:rPr>
        <w:t>господарських заходів та обов'язків, що забезпечують взаємодію та оптимальне поєднання різних методів і підходів, спрямованих на досягнення економічної і екологічної ефективності управління відходами;</w:t>
      </w:r>
    </w:p>
    <w:p w14:paraId="59CCE31D" w14:textId="77777777" w:rsidR="004117CA" w:rsidRPr="0087122C" w:rsidRDefault="004117CA" w:rsidP="004117CA">
      <w:pPr>
        <w:pStyle w:val="BulletRED"/>
        <w:ind w:left="924" w:hanging="357"/>
        <w:rPr>
          <w:b/>
          <w:bCs/>
          <w:lang w:eastAsia="uk-UA"/>
        </w:rPr>
      </w:pPr>
      <w:r w:rsidRPr="0087122C">
        <w:rPr>
          <w:b/>
          <w:bCs/>
          <w:lang w:eastAsia="uk-UA"/>
        </w:rPr>
        <w:t>«участі громадсько</w:t>
      </w:r>
      <w:r w:rsidRPr="0087122C">
        <w:rPr>
          <w:b/>
          <w:bCs/>
          <w:lang w:val="bg-BG" w:eastAsia="uk-UA"/>
        </w:rPr>
        <w:t>ст</w:t>
      </w:r>
      <w:r w:rsidRPr="0087122C">
        <w:rPr>
          <w:b/>
          <w:bCs/>
          <w:lang w:eastAsia="uk-UA"/>
        </w:rPr>
        <w:t>і»:</w:t>
      </w:r>
    </w:p>
    <w:p w14:paraId="2431C699"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інформування населення про вплив відходів на навколишнє середовище та здоров'я людини, про можливості та відповідальність щодо запобігання, відновлення або видалення відходів;</w:t>
      </w:r>
    </w:p>
    <w:p w14:paraId="249CA71D" w14:textId="77777777" w:rsidR="004117CA" w:rsidRPr="00E74A7D" w:rsidRDefault="004117CA" w:rsidP="004117CA">
      <w:pPr>
        <w:pStyle w:val="a1"/>
        <w:numPr>
          <w:ilvl w:val="0"/>
          <w:numId w:val="11"/>
        </w:numPr>
        <w:ind w:left="1418"/>
        <w:rPr>
          <w:color w:val="auto"/>
          <w:lang w:eastAsia="uk-UA"/>
        </w:rPr>
      </w:pPr>
      <w:r w:rsidRPr="00E74A7D">
        <w:rPr>
          <w:color w:val="auto"/>
          <w:lang w:eastAsia="uk-UA"/>
        </w:rPr>
        <w:t>врахування громадської думки при плануванні заходів і дій та прийняття рішень у сфері управління відходами;</w:t>
      </w:r>
    </w:p>
    <w:p w14:paraId="28C3BA9C" w14:textId="77777777" w:rsidR="004117CA" w:rsidRPr="00E74A7D" w:rsidRDefault="004117CA" w:rsidP="004117CA">
      <w:pPr>
        <w:pStyle w:val="a1"/>
        <w:numPr>
          <w:ilvl w:val="0"/>
          <w:numId w:val="11"/>
        </w:numPr>
        <w:ind w:left="1418"/>
        <w:rPr>
          <w:lang w:eastAsia="uk-UA"/>
        </w:rPr>
      </w:pPr>
      <w:r w:rsidRPr="00E74A7D">
        <w:rPr>
          <w:color w:val="auto"/>
          <w:lang w:eastAsia="uk-UA"/>
        </w:rPr>
        <w:t>громадський контроль та участь у виконанні запланованих заходів та дій.</w:t>
      </w:r>
    </w:p>
    <w:p w14:paraId="77DAB98D" w14:textId="77777777" w:rsidR="004117CA" w:rsidRPr="00E839C1" w:rsidRDefault="004117CA" w:rsidP="00D22201">
      <w:pPr>
        <w:pStyle w:val="30"/>
        <w:ind w:left="0"/>
      </w:pPr>
      <w:bookmarkStart w:id="42" w:name="_Toc149851512"/>
      <w:bookmarkStart w:id="43" w:name="_Toc151583275"/>
      <w:r w:rsidRPr="00E839C1">
        <w:t>Специфічні особливості територій України щодо ранжування утворення відходів, що біологічно розкладаються.</w:t>
      </w:r>
      <w:bookmarkEnd w:id="42"/>
      <w:bookmarkEnd w:id="43"/>
    </w:p>
    <w:p w14:paraId="1D0D4FFC" w14:textId="77777777" w:rsidR="004117CA" w:rsidRDefault="004117CA" w:rsidP="004117CA">
      <w:pPr>
        <w:rPr>
          <w:lang w:val="bg-BG" w:eastAsia="uk-UA"/>
        </w:rPr>
      </w:pPr>
      <w:r w:rsidRPr="00E74A7D">
        <w:rPr>
          <w:lang w:eastAsia="uk-UA"/>
        </w:rPr>
        <w:t>Кількість утворення відходів, що біологічно розкладаються в населених пунктах та застосування варіантів їх зменшення залежить від розмірів і функціонального типу поселення. Для населених пунктів характерні різні типи житлової забудови - багатоповерхові та одноквартирні садибні будинки, з або без прибудинкової території. У сільській місцевості переважають садибні будинки, з відносно великими присадибними ділянками (понад 10000 м</w:t>
      </w:r>
      <w:r w:rsidRPr="00E74A7D">
        <w:rPr>
          <w:vertAlign w:val="superscript"/>
          <w:lang w:eastAsia="uk-UA"/>
        </w:rPr>
        <w:t xml:space="preserve"> 2</w:t>
      </w:r>
      <w:r w:rsidRPr="00E74A7D">
        <w:rPr>
          <w:lang w:eastAsia="uk-UA"/>
        </w:rPr>
        <w:t xml:space="preserve">). </w:t>
      </w:r>
    </w:p>
    <w:p w14:paraId="22C23078" w14:textId="77777777" w:rsidR="004117CA" w:rsidRPr="00E74A7D" w:rsidRDefault="004117CA" w:rsidP="004117CA">
      <w:pPr>
        <w:rPr>
          <w:lang w:eastAsia="uk-UA"/>
        </w:rPr>
      </w:pPr>
      <w:r w:rsidRPr="00E74A7D">
        <w:rPr>
          <w:lang w:eastAsia="uk-UA"/>
        </w:rPr>
        <w:t>В містах є два основних типи житлової забудови - мікрорайони з багатоповерховою забудовою, що включає центральну частину міста та мікрорайони (переважно передмістя), де переважають садибні будинки з присадибною ділянкою до 10000 м</w:t>
      </w:r>
      <w:r w:rsidRPr="00E74A7D">
        <w:rPr>
          <w:vertAlign w:val="superscript"/>
          <w:lang w:eastAsia="uk-UA"/>
        </w:rPr>
        <w:t>2</w:t>
      </w:r>
      <w:r w:rsidRPr="00E74A7D">
        <w:rPr>
          <w:lang w:eastAsia="uk-UA"/>
        </w:rPr>
        <w:t xml:space="preserve"> .</w:t>
      </w:r>
    </w:p>
    <w:p w14:paraId="0ECA2EBC" w14:textId="77777777" w:rsidR="004117CA" w:rsidRPr="00E74A7D" w:rsidRDefault="004117CA" w:rsidP="004117CA">
      <w:pPr>
        <w:rPr>
          <w:lang w:eastAsia="uk-UA"/>
        </w:rPr>
      </w:pPr>
      <w:r w:rsidRPr="00E74A7D">
        <w:rPr>
          <w:lang w:eastAsia="uk-UA"/>
        </w:rPr>
        <w:t>В Програмі виділяється три типи житлової забудови населених пунктів по трьох типах регіонів за даними Держстату про чисельності населення на 2022 р.:</w:t>
      </w:r>
    </w:p>
    <w:p w14:paraId="7D6F8C2E" w14:textId="77777777" w:rsidR="004117CA" w:rsidRPr="00E74A7D" w:rsidRDefault="004117CA" w:rsidP="004117CA">
      <w:pPr>
        <w:rPr>
          <w:b/>
          <w:bCs/>
          <w:lang w:eastAsia="uk-UA"/>
        </w:rPr>
      </w:pPr>
      <w:r w:rsidRPr="00E74A7D">
        <w:rPr>
          <w:b/>
          <w:bCs/>
          <w:lang w:eastAsia="uk-UA"/>
        </w:rPr>
        <w:t>Території типу "А" - центральна частина міста та мікрорайони житлової забудови.</w:t>
      </w:r>
    </w:p>
    <w:p w14:paraId="3B61AF28" w14:textId="77777777" w:rsidR="004117CA" w:rsidRPr="00E74A7D" w:rsidRDefault="004117CA" w:rsidP="004117CA">
      <w:pPr>
        <w:rPr>
          <w:lang w:eastAsia="uk-UA"/>
        </w:rPr>
      </w:pPr>
      <w:r w:rsidRPr="00E74A7D">
        <w:rPr>
          <w:lang w:eastAsia="uk-UA"/>
        </w:rPr>
        <w:t>Для них характерні контейнерні майданчики для розміщення спільних контейнерів для збирання відходів, в т. ч. і роздільного. Здійснення контролю з боку населення та органів контролю за «чистотою» відходів при запровадженні систем роздільного збирання практично відсутнє.</w:t>
      </w:r>
    </w:p>
    <w:p w14:paraId="2D89617B" w14:textId="77777777" w:rsidR="004117CA" w:rsidRPr="00E74A7D" w:rsidRDefault="004117CA" w:rsidP="004117CA">
      <w:pPr>
        <w:rPr>
          <w:b/>
          <w:bCs/>
          <w:lang w:eastAsia="uk-UA"/>
        </w:rPr>
      </w:pPr>
      <w:r w:rsidRPr="00E74A7D">
        <w:rPr>
          <w:b/>
          <w:bCs/>
          <w:lang w:eastAsia="uk-UA"/>
        </w:rPr>
        <w:t>Особливості:</w:t>
      </w:r>
    </w:p>
    <w:p w14:paraId="0A6D7E42" w14:textId="77777777" w:rsidR="004117CA" w:rsidRPr="00E74A7D" w:rsidRDefault="004117CA" w:rsidP="004117CA">
      <w:pPr>
        <w:pStyle w:val="BulletRED"/>
        <w:ind w:left="924" w:hanging="357"/>
        <w:rPr>
          <w:lang w:eastAsia="uk-UA"/>
        </w:rPr>
      </w:pPr>
      <w:r w:rsidRPr="00E74A7D">
        <w:rPr>
          <w:lang w:eastAsia="uk-UA"/>
        </w:rPr>
        <w:t>Населення в населених пунктах понад 25 тис. жителів</w:t>
      </w:r>
    </w:p>
    <w:p w14:paraId="259163E6" w14:textId="77777777" w:rsidR="004117CA" w:rsidRPr="00E74A7D" w:rsidRDefault="004117CA" w:rsidP="004117CA">
      <w:pPr>
        <w:pStyle w:val="BulletRED"/>
        <w:ind w:left="924" w:hanging="357"/>
        <w:rPr>
          <w:lang w:eastAsia="uk-UA"/>
        </w:rPr>
      </w:pPr>
      <w:r w:rsidRPr="00E74A7D">
        <w:rPr>
          <w:lang w:eastAsia="uk-UA"/>
        </w:rPr>
        <w:t>Охоплене населення – 17 162,4 тис. жителів</w:t>
      </w:r>
    </w:p>
    <w:p w14:paraId="55B231B0" w14:textId="77777777" w:rsidR="004117CA" w:rsidRPr="00E74A7D" w:rsidRDefault="004117CA" w:rsidP="004117CA">
      <w:pPr>
        <w:pStyle w:val="BulletRED"/>
        <w:ind w:left="924" w:hanging="357"/>
        <w:rPr>
          <w:lang w:eastAsia="uk-UA"/>
        </w:rPr>
      </w:pPr>
      <w:r w:rsidRPr="00E74A7D">
        <w:rPr>
          <w:lang w:eastAsia="uk-UA"/>
        </w:rPr>
        <w:t>1343 міські населені пункти</w:t>
      </w:r>
    </w:p>
    <w:p w14:paraId="3029238D" w14:textId="77777777" w:rsidR="004117CA" w:rsidRPr="00E74A7D" w:rsidRDefault="004117CA" w:rsidP="004117CA">
      <w:pPr>
        <w:rPr>
          <w:b/>
          <w:bCs/>
          <w:lang w:eastAsia="uk-UA"/>
        </w:rPr>
      </w:pPr>
      <w:r w:rsidRPr="00E74A7D">
        <w:rPr>
          <w:b/>
          <w:bCs/>
          <w:lang w:eastAsia="uk-UA"/>
        </w:rPr>
        <w:t>Території типу "Б" - одноквартирні приватні будинки в передмісті.</w:t>
      </w:r>
    </w:p>
    <w:p w14:paraId="3545A04E" w14:textId="77777777" w:rsidR="004117CA" w:rsidRPr="00E74A7D" w:rsidRDefault="004117CA" w:rsidP="004117CA">
      <w:pPr>
        <w:rPr>
          <w:lang w:eastAsia="uk-UA"/>
        </w:rPr>
      </w:pPr>
      <w:r w:rsidRPr="00E74A7D">
        <w:rPr>
          <w:lang w:eastAsia="uk-UA"/>
        </w:rPr>
        <w:t>Вони характеризуються великою кількістю відходів, що біологічно розкладаються, наявністю індивідуальних контейнерів місткістю 120 та 240 л для збирання відходів, передумовами для належного контролю населенням та контролюючими органами при запровадженні систем роздільного збирання.</w:t>
      </w:r>
    </w:p>
    <w:p w14:paraId="4B23A022" w14:textId="77777777" w:rsidR="004117CA" w:rsidRPr="00E74A7D" w:rsidRDefault="004117CA" w:rsidP="004117CA">
      <w:pPr>
        <w:rPr>
          <w:lang w:eastAsia="uk-UA"/>
        </w:rPr>
      </w:pPr>
      <w:r w:rsidRPr="00E74A7D">
        <w:rPr>
          <w:lang w:eastAsia="uk-UA"/>
        </w:rPr>
        <w:t>Домогосподарства в цих районах часто мають власні присадибні ділянки для ведення господарства і більш зацікавлені в ідеї збирання відходів,</w:t>
      </w:r>
      <w:r w:rsidRPr="00E74A7D">
        <w:rPr>
          <w:rFonts w:ascii="Calibri" w:eastAsia="Calibri" w:hAnsi="Calibri"/>
          <w:sz w:val="22"/>
          <w:szCs w:val="22"/>
        </w:rPr>
        <w:t xml:space="preserve"> </w:t>
      </w:r>
      <w:r w:rsidRPr="00E74A7D">
        <w:rPr>
          <w:lang w:eastAsia="uk-UA"/>
        </w:rPr>
        <w:t>що біологічно розкладаються та/або їх компостування.</w:t>
      </w:r>
    </w:p>
    <w:p w14:paraId="30C3235A" w14:textId="77777777" w:rsidR="004117CA" w:rsidRPr="00E74A7D" w:rsidRDefault="004117CA" w:rsidP="004117CA">
      <w:pPr>
        <w:rPr>
          <w:b/>
          <w:bCs/>
          <w:lang w:eastAsia="uk-UA"/>
        </w:rPr>
      </w:pPr>
      <w:r w:rsidRPr="00E74A7D">
        <w:rPr>
          <w:b/>
          <w:bCs/>
          <w:lang w:eastAsia="uk-UA"/>
        </w:rPr>
        <w:t>Особливості:</w:t>
      </w:r>
    </w:p>
    <w:p w14:paraId="492FF5DB" w14:textId="77777777" w:rsidR="004117CA" w:rsidRPr="00E74A7D" w:rsidRDefault="004117CA" w:rsidP="004117CA">
      <w:pPr>
        <w:pStyle w:val="BulletRED"/>
        <w:ind w:left="924" w:hanging="357"/>
        <w:rPr>
          <w:lang w:eastAsia="uk-UA"/>
        </w:rPr>
      </w:pPr>
      <w:r w:rsidRPr="00E74A7D">
        <w:rPr>
          <w:lang w:eastAsia="uk-UA"/>
        </w:rPr>
        <w:t>Населення в населених пунктах від понад 25 тис. жителів</w:t>
      </w:r>
    </w:p>
    <w:p w14:paraId="4FF7BB4F" w14:textId="77777777" w:rsidR="004117CA" w:rsidRPr="00E74A7D" w:rsidRDefault="004117CA" w:rsidP="004117CA">
      <w:pPr>
        <w:pStyle w:val="BulletRED"/>
        <w:ind w:left="924" w:hanging="357"/>
        <w:rPr>
          <w:lang w:eastAsia="uk-UA"/>
        </w:rPr>
      </w:pPr>
      <w:r w:rsidRPr="00E74A7D">
        <w:rPr>
          <w:lang w:eastAsia="uk-UA"/>
        </w:rPr>
        <w:t xml:space="preserve">Охоплене населення - 8 064,4 тис. жителів </w:t>
      </w:r>
    </w:p>
    <w:p w14:paraId="6DD99CFD" w14:textId="77777777" w:rsidR="004117CA" w:rsidRPr="00E74A7D" w:rsidRDefault="004117CA" w:rsidP="004117CA">
      <w:pPr>
        <w:pStyle w:val="BulletRED"/>
        <w:ind w:left="924" w:hanging="357"/>
        <w:rPr>
          <w:lang w:eastAsia="uk-UA"/>
        </w:rPr>
      </w:pPr>
      <w:r w:rsidRPr="00E74A7D">
        <w:rPr>
          <w:lang w:eastAsia="uk-UA"/>
        </w:rPr>
        <w:t>1082 міські  населені пункти</w:t>
      </w:r>
    </w:p>
    <w:p w14:paraId="50688733" w14:textId="77777777" w:rsidR="004117CA" w:rsidRPr="00E74A7D" w:rsidRDefault="004117CA" w:rsidP="004117CA">
      <w:pPr>
        <w:rPr>
          <w:b/>
          <w:bCs/>
          <w:lang w:eastAsia="uk-UA"/>
        </w:rPr>
      </w:pPr>
      <w:r w:rsidRPr="00E74A7D">
        <w:rPr>
          <w:b/>
          <w:bCs/>
          <w:lang w:eastAsia="uk-UA"/>
        </w:rPr>
        <w:t>Території типу «В» – садибні будинки в сільських населених пунктах.</w:t>
      </w:r>
    </w:p>
    <w:p w14:paraId="5517A1F1" w14:textId="77777777" w:rsidR="004117CA" w:rsidRPr="00E74A7D" w:rsidRDefault="004117CA" w:rsidP="004117CA">
      <w:pPr>
        <w:rPr>
          <w:lang w:eastAsia="uk-UA"/>
        </w:rPr>
      </w:pPr>
      <w:r w:rsidRPr="00E74A7D">
        <w:rPr>
          <w:lang w:eastAsia="uk-UA"/>
        </w:rPr>
        <w:t xml:space="preserve">Вони характеризуються великою кількістю відходів, що біологічно розкладаються наявністю індивідуальних контейнерів для збирання відходів, передумовами для належного контролю населенням та контролюючими органами при запровадженні систем роздільного збирання. Однак рівень охоплення населення збиранням та вивезенням побутових відходів в переважній більшості сільських населених пунктів відсутній або носить епізодичний характер через цілий ряд об’єктивних та суб’єктивних факторів. </w:t>
      </w:r>
    </w:p>
    <w:p w14:paraId="06AC8268" w14:textId="77777777" w:rsidR="004117CA" w:rsidRPr="00E74A7D" w:rsidRDefault="004117CA" w:rsidP="004117CA">
      <w:pPr>
        <w:rPr>
          <w:lang w:eastAsia="uk-UA"/>
        </w:rPr>
      </w:pPr>
      <w:r w:rsidRPr="00E74A7D">
        <w:rPr>
          <w:lang w:eastAsia="uk-UA"/>
        </w:rPr>
        <w:t>Домогосподарства в цих районах часто мають власні городи і більш зацікавлені ідеєю збирання відходів,</w:t>
      </w:r>
      <w:r w:rsidRPr="00E74A7D">
        <w:rPr>
          <w:rFonts w:ascii="Calibri" w:eastAsia="Calibri" w:hAnsi="Calibri"/>
          <w:sz w:val="22"/>
          <w:szCs w:val="22"/>
        </w:rPr>
        <w:t xml:space="preserve"> </w:t>
      </w:r>
      <w:r w:rsidRPr="00E74A7D">
        <w:rPr>
          <w:lang w:eastAsia="uk-UA"/>
        </w:rPr>
        <w:t>що біологічно розкладаються та/або їх компостування. Біовідходи використовуються для відгодівлі домашніх тварин, а для компостування - деякі тваринні та зелені відходи з домогосподарств та присадибних ділянок.</w:t>
      </w:r>
    </w:p>
    <w:p w14:paraId="231379D1" w14:textId="77777777" w:rsidR="004117CA" w:rsidRPr="00E74A7D" w:rsidRDefault="004117CA" w:rsidP="004117CA">
      <w:pPr>
        <w:rPr>
          <w:b/>
          <w:bCs/>
          <w:lang w:eastAsia="uk-UA"/>
        </w:rPr>
      </w:pPr>
      <w:r w:rsidRPr="00E74A7D">
        <w:rPr>
          <w:b/>
          <w:bCs/>
          <w:lang w:eastAsia="uk-UA"/>
        </w:rPr>
        <w:t>Особливості:</w:t>
      </w:r>
    </w:p>
    <w:p w14:paraId="3D351CF2" w14:textId="77777777" w:rsidR="004117CA" w:rsidRPr="00E74A7D" w:rsidRDefault="004117CA" w:rsidP="004117CA">
      <w:pPr>
        <w:pStyle w:val="BulletRED"/>
        <w:ind w:left="924" w:hanging="357"/>
        <w:rPr>
          <w:lang w:eastAsia="uk-UA"/>
        </w:rPr>
      </w:pPr>
      <w:r w:rsidRPr="00E74A7D">
        <w:rPr>
          <w:lang w:eastAsia="uk-UA"/>
        </w:rPr>
        <w:t xml:space="preserve">Населення в сільських населених пунктах </w:t>
      </w:r>
    </w:p>
    <w:p w14:paraId="39A43779" w14:textId="77777777" w:rsidR="004117CA" w:rsidRPr="00E74A7D" w:rsidRDefault="004117CA" w:rsidP="004117CA">
      <w:pPr>
        <w:pStyle w:val="BulletRED"/>
        <w:ind w:left="924" w:hanging="357"/>
        <w:rPr>
          <w:lang w:eastAsia="uk-UA"/>
        </w:rPr>
      </w:pPr>
      <w:r w:rsidRPr="00E74A7D">
        <w:rPr>
          <w:lang w:eastAsia="uk-UA"/>
        </w:rPr>
        <w:t>Охоплене населення – 10 191,3 тис. жителів</w:t>
      </w:r>
    </w:p>
    <w:p w14:paraId="6BF0E257" w14:textId="77777777" w:rsidR="004117CA" w:rsidRPr="00F724CB" w:rsidRDefault="004117CA" w:rsidP="004117CA">
      <w:pPr>
        <w:pStyle w:val="BulletRED"/>
        <w:ind w:left="924" w:hanging="357"/>
        <w:rPr>
          <w:lang w:eastAsia="uk-UA"/>
        </w:rPr>
      </w:pPr>
      <w:r w:rsidRPr="00F724CB">
        <w:rPr>
          <w:lang w:eastAsia="uk-UA"/>
        </w:rPr>
        <w:t xml:space="preserve">28 372 сільські населені пункти </w:t>
      </w:r>
    </w:p>
    <w:p w14:paraId="465D2FB6" w14:textId="77777777" w:rsidR="000517D2" w:rsidRPr="00F724CB" w:rsidRDefault="000517D2" w:rsidP="000517D2">
      <w:pPr>
        <w:pStyle w:val="bold"/>
        <w:rPr>
          <w:color w:val="4472C4" w:themeColor="accent1"/>
          <w:lang w:eastAsia="uk-UA"/>
        </w:rPr>
      </w:pPr>
      <w:r w:rsidRPr="00F724CB">
        <w:rPr>
          <w:color w:val="4472C4" w:themeColor="accent1"/>
          <w:lang w:eastAsia="uk-UA"/>
        </w:rPr>
        <w:t>Населення. Тенденції змін та прогноз.</w:t>
      </w:r>
    </w:p>
    <w:p w14:paraId="7FFC2325" w14:textId="77777777" w:rsidR="000517D2" w:rsidRPr="00E74A7D" w:rsidRDefault="000517D2" w:rsidP="000517D2">
      <w:pPr>
        <w:rPr>
          <w:lang w:eastAsia="uk-UA"/>
        </w:rPr>
      </w:pPr>
      <w:r w:rsidRPr="00E74A7D">
        <w:rPr>
          <w:lang w:eastAsia="uk-UA"/>
        </w:rPr>
        <w:t xml:space="preserve">За даними Держстату України станом на 01.01.2021 р. постійна чисельність населення України становила 41 588, 4 тис. осіб, з яких 28 959,5 тис. осіб (69,6%) - міське населення і 12 628, 8 тис. осіб (30,4%) – сільське населення. Станом на 01.01.2022 р. чисельність населення України скоротилась  на 421,1 тис. осіб і  становила 41 167,3 тис. осіб, з яких частка міського населення складала 69,8%, а сільського – 30,2%. З початком війн в 2022 р. чисельність населення суттєво скоротилась за рахунок зовнішньої міграції та примусової міграції на територію РФ і Білорусі. </w:t>
      </w:r>
    </w:p>
    <w:p w14:paraId="313DF072" w14:textId="77777777" w:rsidR="001A2C4E" w:rsidRPr="00F724CB" w:rsidRDefault="001A2C4E" w:rsidP="001A2C4E">
      <w:pPr>
        <w:rPr>
          <w:color w:val="202124"/>
          <w:lang w:eastAsia="uk-UA"/>
        </w:rPr>
      </w:pPr>
    </w:p>
    <w:p w14:paraId="303E1032" w14:textId="77777777" w:rsidR="001A2C4E" w:rsidRPr="00F724CB" w:rsidRDefault="001A2C4E" w:rsidP="001A2C4E">
      <w:pPr>
        <w:pStyle w:val="ad"/>
        <w:rPr>
          <w:color w:val="000000"/>
          <w:lang w:val="uk-UA" w:eastAsia="uk-UA"/>
        </w:rPr>
      </w:pPr>
      <w:bookmarkStart w:id="44" w:name="_Toc150293103"/>
      <w:r w:rsidRPr="00F724CB">
        <w:rPr>
          <w:lang w:val="uk-UA"/>
        </w:rPr>
        <w:t xml:space="preserve">Таблиця </w:t>
      </w:r>
      <w:r w:rsidRPr="00F724CB">
        <w:rPr>
          <w:lang w:val="uk-UA"/>
        </w:rPr>
        <w:fldChar w:fldCharType="begin"/>
      </w:r>
      <w:r w:rsidRPr="00F724CB">
        <w:rPr>
          <w:lang w:val="uk-UA"/>
        </w:rPr>
        <w:instrText xml:space="preserve"> SEQ Таблиця \* ARABIC </w:instrText>
      </w:r>
      <w:r w:rsidRPr="00F724CB">
        <w:rPr>
          <w:lang w:val="uk-UA"/>
        </w:rPr>
        <w:fldChar w:fldCharType="separate"/>
      </w:r>
      <w:r>
        <w:rPr>
          <w:noProof/>
          <w:lang w:val="uk-UA"/>
        </w:rPr>
        <w:t>1</w:t>
      </w:r>
      <w:r w:rsidRPr="00F724CB">
        <w:rPr>
          <w:lang w:val="uk-UA"/>
        </w:rPr>
        <w:fldChar w:fldCharType="end"/>
      </w:r>
      <w:r w:rsidRPr="00F724CB">
        <w:rPr>
          <w:lang w:val="uk-UA"/>
        </w:rPr>
        <w:t xml:space="preserve">. </w:t>
      </w:r>
      <w:r w:rsidRPr="00F724CB">
        <w:rPr>
          <w:lang w:val="uk-UA" w:eastAsia="uk-UA"/>
        </w:rPr>
        <w:t>Чисельність населення України в 2021-2023 рр</w:t>
      </w:r>
      <w:r>
        <w:rPr>
          <w:lang w:val="uk-UA" w:eastAsia="uk-UA"/>
        </w:rPr>
        <w:t>, станом на початок року</w:t>
      </w:r>
      <w:bookmarkEnd w:id="44"/>
    </w:p>
    <w:tbl>
      <w:tblPr>
        <w:tblStyle w:val="afa"/>
        <w:tblW w:w="10364" w:type="dxa"/>
        <w:jc w:val="center"/>
        <w:tblLook w:val="04A0" w:firstRow="1" w:lastRow="0" w:firstColumn="1" w:lastColumn="0" w:noHBand="0" w:noVBand="1"/>
      </w:tblPr>
      <w:tblGrid>
        <w:gridCol w:w="665"/>
        <w:gridCol w:w="1338"/>
        <w:gridCol w:w="1082"/>
        <w:gridCol w:w="1276"/>
        <w:gridCol w:w="1338"/>
        <w:gridCol w:w="1072"/>
        <w:gridCol w:w="577"/>
        <w:gridCol w:w="1338"/>
        <w:gridCol w:w="1072"/>
        <w:gridCol w:w="617"/>
      </w:tblGrid>
      <w:tr w:rsidR="001A2C4E" w:rsidRPr="00A33D00" w14:paraId="0CB617FD" w14:textId="77777777" w:rsidTr="00F17626">
        <w:trPr>
          <w:trHeight w:val="300"/>
          <w:jc w:val="center"/>
        </w:trPr>
        <w:tc>
          <w:tcPr>
            <w:tcW w:w="665" w:type="dxa"/>
            <w:noWrap/>
            <w:hideMark/>
          </w:tcPr>
          <w:p w14:paraId="58000C47" w14:textId="77777777" w:rsidR="001A2C4E" w:rsidRPr="00457617" w:rsidRDefault="001A2C4E" w:rsidP="00F17626">
            <w:pPr>
              <w:pStyle w:val="Table"/>
              <w:rPr>
                <w:sz w:val="20"/>
                <w:szCs w:val="22"/>
                <w:lang w:val="ru-RU" w:eastAsia="uk-UA"/>
              </w:rPr>
            </w:pPr>
            <w:r w:rsidRPr="00A33D00">
              <w:rPr>
                <w:sz w:val="20"/>
                <w:szCs w:val="22"/>
                <w:lang w:eastAsia="uk-UA"/>
              </w:rPr>
              <w:t> </w:t>
            </w:r>
          </w:p>
        </w:tc>
        <w:tc>
          <w:tcPr>
            <w:tcW w:w="3696" w:type="dxa"/>
            <w:gridSpan w:val="3"/>
            <w:noWrap/>
            <w:vAlign w:val="center"/>
            <w:hideMark/>
          </w:tcPr>
          <w:p w14:paraId="14E3EFE3" w14:textId="77777777" w:rsidR="001A2C4E" w:rsidRPr="002965CD" w:rsidRDefault="001A2C4E" w:rsidP="00F17626">
            <w:pPr>
              <w:pStyle w:val="Table"/>
              <w:jc w:val="center"/>
              <w:rPr>
                <w:b/>
                <w:bCs/>
                <w:i/>
                <w:iCs/>
                <w:sz w:val="20"/>
                <w:szCs w:val="22"/>
                <w:lang w:eastAsia="uk-UA"/>
              </w:rPr>
            </w:pPr>
            <w:r w:rsidRPr="002965CD">
              <w:rPr>
                <w:b/>
                <w:bCs/>
                <w:i/>
                <w:iCs/>
                <w:sz w:val="20"/>
                <w:szCs w:val="22"/>
                <w:lang w:eastAsia="uk-UA"/>
              </w:rPr>
              <w:t>Всього населення</w:t>
            </w:r>
          </w:p>
        </w:tc>
        <w:tc>
          <w:tcPr>
            <w:tcW w:w="2987" w:type="dxa"/>
            <w:gridSpan w:val="3"/>
            <w:noWrap/>
            <w:vAlign w:val="center"/>
            <w:hideMark/>
          </w:tcPr>
          <w:p w14:paraId="0776A71E" w14:textId="77777777" w:rsidR="001A2C4E" w:rsidRPr="002965CD" w:rsidRDefault="001A2C4E" w:rsidP="00F17626">
            <w:pPr>
              <w:pStyle w:val="Table"/>
              <w:jc w:val="center"/>
              <w:rPr>
                <w:b/>
                <w:bCs/>
                <w:i/>
                <w:iCs/>
                <w:sz w:val="20"/>
                <w:szCs w:val="22"/>
                <w:lang w:eastAsia="uk-UA"/>
              </w:rPr>
            </w:pPr>
            <w:r w:rsidRPr="002965CD">
              <w:rPr>
                <w:b/>
                <w:bCs/>
                <w:i/>
                <w:iCs/>
                <w:sz w:val="20"/>
                <w:szCs w:val="22"/>
                <w:lang w:eastAsia="uk-UA"/>
              </w:rPr>
              <w:t>Міське населення</w:t>
            </w:r>
          </w:p>
        </w:tc>
        <w:tc>
          <w:tcPr>
            <w:tcW w:w="3016" w:type="dxa"/>
            <w:gridSpan w:val="3"/>
            <w:noWrap/>
            <w:vAlign w:val="center"/>
            <w:hideMark/>
          </w:tcPr>
          <w:p w14:paraId="6DF5E098" w14:textId="77777777" w:rsidR="001A2C4E" w:rsidRPr="002965CD" w:rsidRDefault="001A2C4E" w:rsidP="00F17626">
            <w:pPr>
              <w:pStyle w:val="Table"/>
              <w:jc w:val="center"/>
              <w:rPr>
                <w:b/>
                <w:bCs/>
                <w:i/>
                <w:iCs/>
                <w:sz w:val="20"/>
                <w:szCs w:val="22"/>
                <w:lang w:eastAsia="uk-UA"/>
              </w:rPr>
            </w:pPr>
            <w:r w:rsidRPr="002965CD">
              <w:rPr>
                <w:b/>
                <w:bCs/>
                <w:i/>
                <w:iCs/>
                <w:sz w:val="20"/>
                <w:szCs w:val="22"/>
                <w:lang w:eastAsia="uk-UA"/>
              </w:rPr>
              <w:t>Сільське населення</w:t>
            </w:r>
          </w:p>
        </w:tc>
      </w:tr>
      <w:tr w:rsidR="001A2C4E" w:rsidRPr="00A33D00" w14:paraId="5645339C" w14:textId="77777777" w:rsidTr="00F17626">
        <w:trPr>
          <w:trHeight w:val="324"/>
          <w:jc w:val="center"/>
        </w:trPr>
        <w:tc>
          <w:tcPr>
            <w:tcW w:w="665" w:type="dxa"/>
            <w:noWrap/>
            <w:hideMark/>
          </w:tcPr>
          <w:p w14:paraId="40C3069F" w14:textId="77777777" w:rsidR="001A2C4E" w:rsidRPr="00A33D00" w:rsidRDefault="001A2C4E" w:rsidP="00F17626">
            <w:pPr>
              <w:pStyle w:val="Table"/>
              <w:rPr>
                <w:b/>
                <w:bCs/>
                <w:sz w:val="20"/>
                <w:szCs w:val="22"/>
                <w:lang w:eastAsia="uk-UA"/>
              </w:rPr>
            </w:pPr>
            <w:r w:rsidRPr="00A33D00">
              <w:rPr>
                <w:b/>
                <w:bCs/>
                <w:sz w:val="20"/>
                <w:szCs w:val="22"/>
                <w:lang w:eastAsia="uk-UA"/>
              </w:rPr>
              <w:t>Рік</w:t>
            </w:r>
          </w:p>
        </w:tc>
        <w:tc>
          <w:tcPr>
            <w:tcW w:w="1338" w:type="dxa"/>
            <w:noWrap/>
            <w:hideMark/>
          </w:tcPr>
          <w:p w14:paraId="14E1E711" w14:textId="77777777" w:rsidR="001A2C4E" w:rsidRPr="00A33D00" w:rsidRDefault="001A2C4E" w:rsidP="00F17626">
            <w:pPr>
              <w:pStyle w:val="Table"/>
              <w:rPr>
                <w:b/>
                <w:bCs/>
                <w:sz w:val="20"/>
                <w:szCs w:val="22"/>
                <w:lang w:eastAsia="uk-UA"/>
              </w:rPr>
            </w:pPr>
            <w:r w:rsidRPr="00A33D00">
              <w:rPr>
                <w:b/>
                <w:bCs/>
                <w:sz w:val="20"/>
                <w:szCs w:val="22"/>
                <w:lang w:eastAsia="uk-UA"/>
              </w:rPr>
              <w:t>Чисельність тис. чол.</w:t>
            </w:r>
          </w:p>
        </w:tc>
        <w:tc>
          <w:tcPr>
            <w:tcW w:w="1082" w:type="dxa"/>
            <w:noWrap/>
            <w:hideMark/>
          </w:tcPr>
          <w:p w14:paraId="396A40D5" w14:textId="77777777" w:rsidR="001A2C4E" w:rsidRPr="00A33D00" w:rsidRDefault="001A2C4E" w:rsidP="00F17626">
            <w:pPr>
              <w:pStyle w:val="Table"/>
              <w:rPr>
                <w:b/>
                <w:bCs/>
                <w:sz w:val="20"/>
                <w:szCs w:val="22"/>
                <w:lang w:eastAsia="uk-UA"/>
              </w:rPr>
            </w:pPr>
            <w:r w:rsidRPr="00A33D00">
              <w:rPr>
                <w:b/>
                <w:bCs/>
                <w:sz w:val="20"/>
                <w:szCs w:val="22"/>
                <w:lang w:eastAsia="uk-UA"/>
              </w:rPr>
              <w:t>Сальдо, тис. чол.</w:t>
            </w:r>
          </w:p>
        </w:tc>
        <w:tc>
          <w:tcPr>
            <w:tcW w:w="1276" w:type="dxa"/>
            <w:noWrap/>
            <w:hideMark/>
          </w:tcPr>
          <w:p w14:paraId="3C45F40F" w14:textId="77777777" w:rsidR="001A2C4E" w:rsidRPr="00A33D00" w:rsidRDefault="001A2C4E" w:rsidP="00F17626">
            <w:pPr>
              <w:pStyle w:val="Table"/>
              <w:rPr>
                <w:b/>
                <w:bCs/>
                <w:sz w:val="20"/>
                <w:szCs w:val="22"/>
                <w:lang w:eastAsia="uk-UA"/>
              </w:rPr>
            </w:pPr>
            <w:r w:rsidRPr="00A33D00">
              <w:rPr>
                <w:b/>
                <w:bCs/>
                <w:sz w:val="20"/>
                <w:szCs w:val="22"/>
                <w:lang w:eastAsia="uk-UA"/>
              </w:rPr>
              <w:t>Сальдо, % до 2022 р.</w:t>
            </w:r>
          </w:p>
        </w:tc>
        <w:tc>
          <w:tcPr>
            <w:tcW w:w="1338" w:type="dxa"/>
            <w:noWrap/>
            <w:hideMark/>
          </w:tcPr>
          <w:p w14:paraId="62B0C4A1" w14:textId="77777777" w:rsidR="001A2C4E" w:rsidRPr="00A33D00" w:rsidRDefault="001A2C4E" w:rsidP="00F17626">
            <w:pPr>
              <w:pStyle w:val="Table"/>
              <w:rPr>
                <w:b/>
                <w:bCs/>
                <w:sz w:val="20"/>
                <w:szCs w:val="22"/>
                <w:lang w:eastAsia="uk-UA"/>
              </w:rPr>
            </w:pPr>
            <w:r w:rsidRPr="00A33D00">
              <w:rPr>
                <w:b/>
                <w:bCs/>
                <w:sz w:val="20"/>
                <w:szCs w:val="22"/>
                <w:lang w:eastAsia="uk-UA"/>
              </w:rPr>
              <w:t>Чисельність (тис. чол.)</w:t>
            </w:r>
          </w:p>
        </w:tc>
        <w:tc>
          <w:tcPr>
            <w:tcW w:w="1072" w:type="dxa"/>
            <w:noWrap/>
          </w:tcPr>
          <w:p w14:paraId="327444E2" w14:textId="77777777" w:rsidR="001A2C4E" w:rsidRPr="00A33D00" w:rsidRDefault="001A2C4E" w:rsidP="00F17626">
            <w:pPr>
              <w:pStyle w:val="Table"/>
              <w:rPr>
                <w:b/>
                <w:bCs/>
                <w:sz w:val="20"/>
                <w:szCs w:val="22"/>
                <w:lang w:eastAsia="uk-UA"/>
              </w:rPr>
            </w:pPr>
            <w:r w:rsidRPr="00A33D00">
              <w:rPr>
                <w:b/>
                <w:bCs/>
                <w:sz w:val="20"/>
                <w:szCs w:val="22"/>
                <w:lang w:eastAsia="uk-UA"/>
              </w:rPr>
              <w:t>Сальдо, тис. чол.</w:t>
            </w:r>
          </w:p>
        </w:tc>
        <w:tc>
          <w:tcPr>
            <w:tcW w:w="566" w:type="dxa"/>
            <w:noWrap/>
          </w:tcPr>
          <w:p w14:paraId="31835743" w14:textId="77777777" w:rsidR="001A2C4E" w:rsidRPr="00A33D00" w:rsidRDefault="001A2C4E" w:rsidP="00F17626">
            <w:pPr>
              <w:pStyle w:val="Table"/>
              <w:rPr>
                <w:b/>
                <w:bCs/>
                <w:sz w:val="20"/>
                <w:szCs w:val="22"/>
                <w:lang w:eastAsia="uk-UA"/>
              </w:rPr>
            </w:pPr>
            <w:r w:rsidRPr="00A33D00">
              <w:rPr>
                <w:b/>
                <w:bCs/>
                <w:sz w:val="20"/>
                <w:szCs w:val="22"/>
                <w:lang w:eastAsia="uk-UA"/>
              </w:rPr>
              <w:t>В %</w:t>
            </w:r>
          </w:p>
        </w:tc>
        <w:tc>
          <w:tcPr>
            <w:tcW w:w="1338" w:type="dxa"/>
            <w:noWrap/>
            <w:hideMark/>
          </w:tcPr>
          <w:p w14:paraId="16B771EB" w14:textId="77777777" w:rsidR="001A2C4E" w:rsidRPr="00A33D00" w:rsidRDefault="001A2C4E" w:rsidP="00F17626">
            <w:pPr>
              <w:pStyle w:val="Table"/>
              <w:rPr>
                <w:b/>
                <w:bCs/>
                <w:sz w:val="20"/>
                <w:szCs w:val="22"/>
                <w:lang w:eastAsia="uk-UA"/>
              </w:rPr>
            </w:pPr>
            <w:r w:rsidRPr="00A33D00">
              <w:rPr>
                <w:b/>
                <w:bCs/>
                <w:sz w:val="20"/>
                <w:szCs w:val="22"/>
                <w:lang w:eastAsia="uk-UA"/>
              </w:rPr>
              <w:t>Чисельність тис. чол.</w:t>
            </w:r>
          </w:p>
        </w:tc>
        <w:tc>
          <w:tcPr>
            <w:tcW w:w="1072" w:type="dxa"/>
            <w:noWrap/>
          </w:tcPr>
          <w:p w14:paraId="169A1047" w14:textId="77777777" w:rsidR="001A2C4E" w:rsidRPr="00A33D00" w:rsidRDefault="001A2C4E" w:rsidP="00F17626">
            <w:pPr>
              <w:pStyle w:val="Table"/>
              <w:rPr>
                <w:b/>
                <w:bCs/>
                <w:sz w:val="20"/>
                <w:szCs w:val="22"/>
                <w:lang w:eastAsia="uk-UA"/>
              </w:rPr>
            </w:pPr>
            <w:r w:rsidRPr="00A33D00">
              <w:rPr>
                <w:b/>
                <w:bCs/>
                <w:sz w:val="20"/>
                <w:szCs w:val="22"/>
                <w:lang w:eastAsia="uk-UA"/>
              </w:rPr>
              <w:t>Сальдо, тис. чол.</w:t>
            </w:r>
          </w:p>
        </w:tc>
        <w:tc>
          <w:tcPr>
            <w:tcW w:w="617" w:type="dxa"/>
            <w:noWrap/>
          </w:tcPr>
          <w:p w14:paraId="2F6F2758" w14:textId="77777777" w:rsidR="001A2C4E" w:rsidRPr="00A33D00" w:rsidRDefault="001A2C4E" w:rsidP="00F17626">
            <w:pPr>
              <w:pStyle w:val="Table"/>
              <w:rPr>
                <w:b/>
                <w:bCs/>
                <w:sz w:val="20"/>
                <w:szCs w:val="22"/>
                <w:lang w:eastAsia="uk-UA"/>
              </w:rPr>
            </w:pPr>
            <w:r w:rsidRPr="00A33D00">
              <w:rPr>
                <w:b/>
                <w:bCs/>
                <w:sz w:val="20"/>
                <w:szCs w:val="22"/>
                <w:lang w:eastAsia="uk-UA"/>
              </w:rPr>
              <w:t>В %</w:t>
            </w:r>
          </w:p>
        </w:tc>
      </w:tr>
      <w:tr w:rsidR="001A2C4E" w:rsidRPr="00A33D00" w14:paraId="31D2846F" w14:textId="77777777" w:rsidTr="00F17626">
        <w:trPr>
          <w:trHeight w:val="324"/>
          <w:jc w:val="center"/>
        </w:trPr>
        <w:tc>
          <w:tcPr>
            <w:tcW w:w="665" w:type="dxa"/>
            <w:noWrap/>
          </w:tcPr>
          <w:p w14:paraId="37D9BCF1" w14:textId="77777777" w:rsidR="001A2C4E" w:rsidRPr="00A33D00" w:rsidRDefault="001A2C4E" w:rsidP="00F17626">
            <w:pPr>
              <w:pStyle w:val="Table"/>
              <w:rPr>
                <w:b/>
                <w:bCs/>
                <w:sz w:val="20"/>
                <w:szCs w:val="22"/>
                <w:lang w:eastAsia="uk-UA"/>
              </w:rPr>
            </w:pPr>
            <w:r w:rsidRPr="00A33D00">
              <w:rPr>
                <w:b/>
                <w:bCs/>
                <w:sz w:val="20"/>
                <w:szCs w:val="22"/>
                <w:lang w:eastAsia="uk-UA"/>
              </w:rPr>
              <w:t>2021</w:t>
            </w:r>
          </w:p>
        </w:tc>
        <w:tc>
          <w:tcPr>
            <w:tcW w:w="1338" w:type="dxa"/>
            <w:noWrap/>
          </w:tcPr>
          <w:p w14:paraId="37323827" w14:textId="77777777" w:rsidR="001A2C4E" w:rsidRPr="00A33D00" w:rsidRDefault="001A2C4E" w:rsidP="00F17626">
            <w:pPr>
              <w:pStyle w:val="Table"/>
              <w:rPr>
                <w:sz w:val="20"/>
                <w:szCs w:val="22"/>
                <w:lang w:eastAsia="uk-UA"/>
              </w:rPr>
            </w:pPr>
            <w:r w:rsidRPr="00A33D00">
              <w:rPr>
                <w:sz w:val="20"/>
                <w:szCs w:val="22"/>
                <w:lang w:eastAsia="uk-UA"/>
              </w:rPr>
              <w:t>41 588,4</w:t>
            </w:r>
          </w:p>
        </w:tc>
        <w:tc>
          <w:tcPr>
            <w:tcW w:w="1082" w:type="dxa"/>
            <w:noWrap/>
          </w:tcPr>
          <w:p w14:paraId="1CA0F867" w14:textId="77777777" w:rsidR="001A2C4E" w:rsidRPr="00A33D00" w:rsidRDefault="001A2C4E" w:rsidP="00F17626">
            <w:pPr>
              <w:pStyle w:val="Table"/>
              <w:rPr>
                <w:sz w:val="20"/>
                <w:szCs w:val="22"/>
                <w:lang w:eastAsia="uk-UA"/>
              </w:rPr>
            </w:pPr>
            <w:r w:rsidRPr="00A33D00">
              <w:rPr>
                <w:sz w:val="20"/>
                <w:szCs w:val="22"/>
                <w:lang w:eastAsia="uk-UA"/>
              </w:rPr>
              <w:t> </w:t>
            </w:r>
          </w:p>
        </w:tc>
        <w:tc>
          <w:tcPr>
            <w:tcW w:w="1276" w:type="dxa"/>
            <w:noWrap/>
          </w:tcPr>
          <w:p w14:paraId="66663ECA" w14:textId="77777777" w:rsidR="001A2C4E" w:rsidRPr="00A33D00" w:rsidRDefault="001A2C4E" w:rsidP="00F17626">
            <w:pPr>
              <w:pStyle w:val="Table"/>
              <w:rPr>
                <w:sz w:val="20"/>
                <w:szCs w:val="22"/>
                <w:lang w:eastAsia="uk-UA"/>
              </w:rPr>
            </w:pPr>
            <w:r w:rsidRPr="00A33D00">
              <w:rPr>
                <w:sz w:val="20"/>
                <w:szCs w:val="22"/>
                <w:lang w:eastAsia="uk-UA"/>
              </w:rPr>
              <w:t> </w:t>
            </w:r>
          </w:p>
        </w:tc>
        <w:tc>
          <w:tcPr>
            <w:tcW w:w="1338" w:type="dxa"/>
            <w:noWrap/>
          </w:tcPr>
          <w:p w14:paraId="7B83AE23" w14:textId="77777777" w:rsidR="001A2C4E" w:rsidRPr="00A33D00" w:rsidRDefault="001A2C4E" w:rsidP="00F17626">
            <w:pPr>
              <w:pStyle w:val="Table"/>
              <w:rPr>
                <w:sz w:val="20"/>
                <w:szCs w:val="22"/>
                <w:lang w:eastAsia="uk-UA"/>
              </w:rPr>
            </w:pPr>
            <w:r w:rsidRPr="00A33D00">
              <w:rPr>
                <w:sz w:val="20"/>
                <w:szCs w:val="22"/>
                <w:lang w:eastAsia="uk-UA"/>
              </w:rPr>
              <w:t>28 959,50</w:t>
            </w:r>
          </w:p>
        </w:tc>
        <w:tc>
          <w:tcPr>
            <w:tcW w:w="1072" w:type="dxa"/>
            <w:noWrap/>
          </w:tcPr>
          <w:p w14:paraId="05BC5DFE" w14:textId="77777777" w:rsidR="001A2C4E" w:rsidRPr="00A33D00" w:rsidRDefault="001A2C4E" w:rsidP="00F17626">
            <w:pPr>
              <w:pStyle w:val="Table"/>
              <w:rPr>
                <w:sz w:val="20"/>
                <w:szCs w:val="22"/>
                <w:lang w:eastAsia="uk-UA"/>
              </w:rPr>
            </w:pPr>
            <w:r w:rsidRPr="00A33D00">
              <w:rPr>
                <w:sz w:val="20"/>
                <w:szCs w:val="22"/>
                <w:lang w:eastAsia="uk-UA"/>
              </w:rPr>
              <w:t> </w:t>
            </w:r>
          </w:p>
        </w:tc>
        <w:tc>
          <w:tcPr>
            <w:tcW w:w="566" w:type="dxa"/>
            <w:noWrap/>
          </w:tcPr>
          <w:p w14:paraId="266E94B2" w14:textId="77777777" w:rsidR="001A2C4E" w:rsidRPr="00A33D00" w:rsidRDefault="001A2C4E" w:rsidP="00F17626">
            <w:pPr>
              <w:pStyle w:val="Table"/>
              <w:rPr>
                <w:sz w:val="20"/>
                <w:szCs w:val="22"/>
                <w:lang w:eastAsia="uk-UA"/>
              </w:rPr>
            </w:pPr>
            <w:r w:rsidRPr="00A33D00">
              <w:rPr>
                <w:sz w:val="20"/>
                <w:szCs w:val="22"/>
                <w:lang w:eastAsia="uk-UA"/>
              </w:rPr>
              <w:t>69,6</w:t>
            </w:r>
          </w:p>
        </w:tc>
        <w:tc>
          <w:tcPr>
            <w:tcW w:w="1338" w:type="dxa"/>
            <w:noWrap/>
          </w:tcPr>
          <w:p w14:paraId="7B4B25B6" w14:textId="77777777" w:rsidR="001A2C4E" w:rsidRPr="00A33D00" w:rsidRDefault="001A2C4E" w:rsidP="00F17626">
            <w:pPr>
              <w:pStyle w:val="Table"/>
              <w:rPr>
                <w:sz w:val="20"/>
                <w:szCs w:val="22"/>
                <w:lang w:eastAsia="uk-UA"/>
              </w:rPr>
            </w:pPr>
            <w:r w:rsidRPr="00A33D00">
              <w:rPr>
                <w:sz w:val="20"/>
                <w:szCs w:val="22"/>
                <w:lang w:eastAsia="uk-UA"/>
              </w:rPr>
              <w:t>12 628,80</w:t>
            </w:r>
          </w:p>
        </w:tc>
        <w:tc>
          <w:tcPr>
            <w:tcW w:w="1072" w:type="dxa"/>
            <w:noWrap/>
          </w:tcPr>
          <w:p w14:paraId="0CF2A80A" w14:textId="77777777" w:rsidR="001A2C4E" w:rsidRPr="00A33D00" w:rsidRDefault="001A2C4E" w:rsidP="00F17626">
            <w:pPr>
              <w:pStyle w:val="Table"/>
              <w:rPr>
                <w:sz w:val="20"/>
                <w:szCs w:val="22"/>
                <w:lang w:eastAsia="uk-UA"/>
              </w:rPr>
            </w:pPr>
            <w:r w:rsidRPr="00A33D00">
              <w:rPr>
                <w:sz w:val="20"/>
                <w:szCs w:val="22"/>
                <w:lang w:eastAsia="uk-UA"/>
              </w:rPr>
              <w:t> </w:t>
            </w:r>
          </w:p>
        </w:tc>
        <w:tc>
          <w:tcPr>
            <w:tcW w:w="617" w:type="dxa"/>
            <w:noWrap/>
          </w:tcPr>
          <w:p w14:paraId="542530EB" w14:textId="77777777" w:rsidR="001A2C4E" w:rsidRPr="00A33D00" w:rsidRDefault="001A2C4E" w:rsidP="00F17626">
            <w:pPr>
              <w:pStyle w:val="Table"/>
              <w:rPr>
                <w:sz w:val="20"/>
                <w:szCs w:val="22"/>
                <w:lang w:eastAsia="uk-UA"/>
              </w:rPr>
            </w:pPr>
            <w:r w:rsidRPr="00A33D00">
              <w:rPr>
                <w:sz w:val="20"/>
                <w:szCs w:val="22"/>
                <w:lang w:eastAsia="uk-UA"/>
              </w:rPr>
              <w:t>69,8</w:t>
            </w:r>
          </w:p>
        </w:tc>
      </w:tr>
      <w:tr w:rsidR="001A2C4E" w:rsidRPr="00A33D00" w14:paraId="6794CDB4" w14:textId="77777777" w:rsidTr="00F17626">
        <w:trPr>
          <w:trHeight w:val="324"/>
          <w:jc w:val="center"/>
        </w:trPr>
        <w:tc>
          <w:tcPr>
            <w:tcW w:w="665" w:type="dxa"/>
            <w:noWrap/>
          </w:tcPr>
          <w:p w14:paraId="742F60BA" w14:textId="77777777" w:rsidR="001A2C4E" w:rsidRPr="00A33D00" w:rsidRDefault="001A2C4E" w:rsidP="00F17626">
            <w:pPr>
              <w:pStyle w:val="Table"/>
              <w:rPr>
                <w:b/>
                <w:bCs/>
                <w:sz w:val="20"/>
                <w:szCs w:val="22"/>
                <w:lang w:eastAsia="uk-UA"/>
              </w:rPr>
            </w:pPr>
            <w:r w:rsidRPr="00A33D00">
              <w:rPr>
                <w:b/>
                <w:bCs/>
                <w:sz w:val="20"/>
                <w:szCs w:val="22"/>
                <w:lang w:eastAsia="uk-UA"/>
              </w:rPr>
              <w:t>2022</w:t>
            </w:r>
          </w:p>
        </w:tc>
        <w:tc>
          <w:tcPr>
            <w:tcW w:w="1338" w:type="dxa"/>
            <w:noWrap/>
          </w:tcPr>
          <w:p w14:paraId="589EA792" w14:textId="77777777" w:rsidR="001A2C4E" w:rsidRPr="00A33D00" w:rsidRDefault="001A2C4E" w:rsidP="00F17626">
            <w:pPr>
              <w:pStyle w:val="Table"/>
              <w:rPr>
                <w:sz w:val="20"/>
                <w:szCs w:val="22"/>
                <w:lang w:eastAsia="uk-UA"/>
              </w:rPr>
            </w:pPr>
            <w:r w:rsidRPr="00A33D00">
              <w:rPr>
                <w:sz w:val="20"/>
                <w:szCs w:val="22"/>
                <w:lang w:eastAsia="uk-UA"/>
              </w:rPr>
              <w:t>41 167,30</w:t>
            </w:r>
          </w:p>
        </w:tc>
        <w:tc>
          <w:tcPr>
            <w:tcW w:w="1082" w:type="dxa"/>
            <w:noWrap/>
          </w:tcPr>
          <w:p w14:paraId="598F6A5F" w14:textId="77777777" w:rsidR="001A2C4E" w:rsidRPr="00A33D00" w:rsidRDefault="001A2C4E" w:rsidP="00F17626">
            <w:pPr>
              <w:pStyle w:val="Table"/>
              <w:rPr>
                <w:sz w:val="20"/>
                <w:szCs w:val="22"/>
                <w:lang w:eastAsia="uk-UA"/>
              </w:rPr>
            </w:pPr>
            <w:r w:rsidRPr="00A33D00">
              <w:rPr>
                <w:sz w:val="20"/>
                <w:szCs w:val="22"/>
                <w:lang w:eastAsia="uk-UA"/>
              </w:rPr>
              <w:t>-421,1</w:t>
            </w:r>
          </w:p>
        </w:tc>
        <w:tc>
          <w:tcPr>
            <w:tcW w:w="1276" w:type="dxa"/>
            <w:noWrap/>
          </w:tcPr>
          <w:p w14:paraId="6DF0B2A6" w14:textId="77777777" w:rsidR="001A2C4E" w:rsidRPr="00A33D00" w:rsidRDefault="001A2C4E" w:rsidP="00F17626">
            <w:pPr>
              <w:pStyle w:val="Table"/>
              <w:rPr>
                <w:sz w:val="20"/>
                <w:szCs w:val="22"/>
                <w:lang w:eastAsia="uk-UA"/>
              </w:rPr>
            </w:pPr>
            <w:r w:rsidRPr="00A33D00">
              <w:rPr>
                <w:sz w:val="20"/>
                <w:szCs w:val="22"/>
                <w:lang w:eastAsia="uk-UA"/>
              </w:rPr>
              <w:t>100,0</w:t>
            </w:r>
          </w:p>
        </w:tc>
        <w:tc>
          <w:tcPr>
            <w:tcW w:w="1338" w:type="dxa"/>
            <w:noWrap/>
          </w:tcPr>
          <w:p w14:paraId="460278F9" w14:textId="77777777" w:rsidR="001A2C4E" w:rsidRPr="00A33D00" w:rsidRDefault="001A2C4E" w:rsidP="00F17626">
            <w:pPr>
              <w:pStyle w:val="Table"/>
              <w:rPr>
                <w:sz w:val="20"/>
                <w:szCs w:val="22"/>
                <w:lang w:eastAsia="uk-UA"/>
              </w:rPr>
            </w:pPr>
            <w:r w:rsidRPr="00A33D00">
              <w:rPr>
                <w:sz w:val="20"/>
                <w:szCs w:val="22"/>
                <w:lang w:eastAsia="uk-UA"/>
              </w:rPr>
              <w:t>28 752,70</w:t>
            </w:r>
          </w:p>
        </w:tc>
        <w:tc>
          <w:tcPr>
            <w:tcW w:w="1072" w:type="dxa"/>
            <w:noWrap/>
          </w:tcPr>
          <w:p w14:paraId="67E7CD3C" w14:textId="77777777" w:rsidR="001A2C4E" w:rsidRPr="00A33D00" w:rsidRDefault="001A2C4E" w:rsidP="00F17626">
            <w:pPr>
              <w:pStyle w:val="Table"/>
              <w:rPr>
                <w:sz w:val="20"/>
                <w:szCs w:val="22"/>
                <w:lang w:eastAsia="uk-UA"/>
              </w:rPr>
            </w:pPr>
            <w:r w:rsidRPr="00A33D00">
              <w:rPr>
                <w:sz w:val="20"/>
                <w:szCs w:val="22"/>
                <w:lang w:eastAsia="uk-UA"/>
              </w:rPr>
              <w:t>-206,8</w:t>
            </w:r>
          </w:p>
        </w:tc>
        <w:tc>
          <w:tcPr>
            <w:tcW w:w="566" w:type="dxa"/>
            <w:noWrap/>
          </w:tcPr>
          <w:p w14:paraId="42B95C66" w14:textId="77777777" w:rsidR="001A2C4E" w:rsidRPr="00A33D00" w:rsidRDefault="001A2C4E" w:rsidP="00F17626">
            <w:pPr>
              <w:pStyle w:val="Table"/>
              <w:rPr>
                <w:sz w:val="20"/>
                <w:szCs w:val="22"/>
                <w:lang w:eastAsia="uk-UA"/>
              </w:rPr>
            </w:pPr>
            <w:r w:rsidRPr="00A33D00">
              <w:rPr>
                <w:sz w:val="20"/>
                <w:szCs w:val="22"/>
                <w:lang w:eastAsia="uk-UA"/>
              </w:rPr>
              <w:t>69,8</w:t>
            </w:r>
          </w:p>
        </w:tc>
        <w:tc>
          <w:tcPr>
            <w:tcW w:w="1338" w:type="dxa"/>
            <w:noWrap/>
          </w:tcPr>
          <w:p w14:paraId="5C1A9A95" w14:textId="77777777" w:rsidR="001A2C4E" w:rsidRPr="00A33D00" w:rsidRDefault="001A2C4E" w:rsidP="00F17626">
            <w:pPr>
              <w:pStyle w:val="Table"/>
              <w:rPr>
                <w:sz w:val="20"/>
                <w:szCs w:val="22"/>
                <w:lang w:eastAsia="uk-UA"/>
              </w:rPr>
            </w:pPr>
            <w:r w:rsidRPr="00A33D00">
              <w:rPr>
                <w:sz w:val="20"/>
                <w:szCs w:val="22"/>
                <w:lang w:eastAsia="uk-UA"/>
              </w:rPr>
              <w:t>12 414,60</w:t>
            </w:r>
          </w:p>
        </w:tc>
        <w:tc>
          <w:tcPr>
            <w:tcW w:w="1072" w:type="dxa"/>
            <w:noWrap/>
          </w:tcPr>
          <w:p w14:paraId="03A924B1" w14:textId="77777777" w:rsidR="001A2C4E" w:rsidRPr="00A33D00" w:rsidRDefault="001A2C4E" w:rsidP="00F17626">
            <w:pPr>
              <w:pStyle w:val="Table"/>
              <w:rPr>
                <w:sz w:val="20"/>
                <w:szCs w:val="22"/>
                <w:lang w:eastAsia="uk-UA"/>
              </w:rPr>
            </w:pPr>
            <w:r w:rsidRPr="00A33D00">
              <w:rPr>
                <w:sz w:val="20"/>
                <w:szCs w:val="22"/>
                <w:lang w:eastAsia="uk-UA"/>
              </w:rPr>
              <w:t>-214,2</w:t>
            </w:r>
          </w:p>
        </w:tc>
        <w:tc>
          <w:tcPr>
            <w:tcW w:w="617" w:type="dxa"/>
            <w:noWrap/>
          </w:tcPr>
          <w:p w14:paraId="0AF1569F" w14:textId="77777777" w:rsidR="001A2C4E" w:rsidRPr="00A33D00" w:rsidRDefault="001A2C4E" w:rsidP="00F17626">
            <w:pPr>
              <w:pStyle w:val="Table"/>
              <w:rPr>
                <w:sz w:val="20"/>
                <w:szCs w:val="22"/>
                <w:lang w:eastAsia="uk-UA"/>
              </w:rPr>
            </w:pPr>
            <w:r w:rsidRPr="00A33D00">
              <w:rPr>
                <w:sz w:val="20"/>
                <w:szCs w:val="22"/>
                <w:lang w:eastAsia="uk-UA"/>
              </w:rPr>
              <w:t>30,2</w:t>
            </w:r>
          </w:p>
        </w:tc>
      </w:tr>
      <w:tr w:rsidR="001A2C4E" w:rsidRPr="00A33D00" w14:paraId="6EE873EC" w14:textId="77777777" w:rsidTr="00F17626">
        <w:trPr>
          <w:trHeight w:val="324"/>
          <w:jc w:val="center"/>
        </w:trPr>
        <w:tc>
          <w:tcPr>
            <w:tcW w:w="665" w:type="dxa"/>
            <w:noWrap/>
          </w:tcPr>
          <w:p w14:paraId="52A45838" w14:textId="77777777" w:rsidR="001A2C4E" w:rsidRPr="00A33D00" w:rsidRDefault="001A2C4E" w:rsidP="00F17626">
            <w:pPr>
              <w:pStyle w:val="Table"/>
              <w:rPr>
                <w:b/>
                <w:bCs/>
                <w:sz w:val="20"/>
                <w:szCs w:val="22"/>
                <w:lang w:eastAsia="uk-UA"/>
              </w:rPr>
            </w:pPr>
            <w:r w:rsidRPr="00A33D00">
              <w:rPr>
                <w:b/>
                <w:bCs/>
                <w:sz w:val="20"/>
                <w:szCs w:val="22"/>
                <w:lang w:eastAsia="uk-UA"/>
              </w:rPr>
              <w:t>2023</w:t>
            </w:r>
          </w:p>
        </w:tc>
        <w:tc>
          <w:tcPr>
            <w:tcW w:w="1338" w:type="dxa"/>
            <w:shd w:val="clear" w:color="auto" w:fill="D9E2F3" w:themeFill="accent1" w:themeFillTint="33"/>
            <w:noWrap/>
          </w:tcPr>
          <w:p w14:paraId="05D9306B" w14:textId="77777777" w:rsidR="001A2C4E" w:rsidRPr="00A33D00" w:rsidRDefault="001A2C4E" w:rsidP="00F17626">
            <w:pPr>
              <w:pStyle w:val="Table"/>
              <w:rPr>
                <w:sz w:val="20"/>
                <w:szCs w:val="22"/>
                <w:lang w:eastAsia="uk-UA"/>
              </w:rPr>
            </w:pPr>
            <w:r w:rsidRPr="00A33D00">
              <w:rPr>
                <w:sz w:val="20"/>
                <w:szCs w:val="22"/>
                <w:lang w:eastAsia="uk-UA"/>
              </w:rPr>
              <w:t>35 430,10</w:t>
            </w:r>
          </w:p>
        </w:tc>
        <w:tc>
          <w:tcPr>
            <w:tcW w:w="1082" w:type="dxa"/>
            <w:shd w:val="clear" w:color="auto" w:fill="D9E2F3" w:themeFill="accent1" w:themeFillTint="33"/>
            <w:noWrap/>
          </w:tcPr>
          <w:p w14:paraId="782324B3" w14:textId="77777777" w:rsidR="001A2C4E" w:rsidRPr="00A33D00" w:rsidRDefault="001A2C4E" w:rsidP="00F17626">
            <w:pPr>
              <w:pStyle w:val="Table"/>
              <w:rPr>
                <w:sz w:val="20"/>
                <w:szCs w:val="22"/>
                <w:lang w:eastAsia="uk-UA"/>
              </w:rPr>
            </w:pPr>
            <w:r w:rsidRPr="00A33D00">
              <w:rPr>
                <w:sz w:val="20"/>
                <w:szCs w:val="22"/>
                <w:lang w:eastAsia="uk-UA"/>
              </w:rPr>
              <w:t>-5 737,2</w:t>
            </w:r>
          </w:p>
        </w:tc>
        <w:tc>
          <w:tcPr>
            <w:tcW w:w="1276" w:type="dxa"/>
            <w:shd w:val="clear" w:color="auto" w:fill="D9E2F3" w:themeFill="accent1" w:themeFillTint="33"/>
            <w:noWrap/>
          </w:tcPr>
          <w:p w14:paraId="7743F131" w14:textId="77777777" w:rsidR="001A2C4E" w:rsidRPr="00A33D00" w:rsidRDefault="001A2C4E" w:rsidP="00F17626">
            <w:pPr>
              <w:pStyle w:val="Table"/>
              <w:rPr>
                <w:sz w:val="20"/>
                <w:szCs w:val="22"/>
                <w:lang w:eastAsia="uk-UA"/>
              </w:rPr>
            </w:pPr>
            <w:r w:rsidRPr="00A33D00">
              <w:rPr>
                <w:sz w:val="20"/>
                <w:szCs w:val="22"/>
                <w:lang w:eastAsia="uk-UA"/>
              </w:rPr>
              <w:t>86,1</w:t>
            </w:r>
          </w:p>
        </w:tc>
        <w:tc>
          <w:tcPr>
            <w:tcW w:w="1338" w:type="dxa"/>
            <w:noWrap/>
          </w:tcPr>
          <w:p w14:paraId="0488E2E9" w14:textId="77777777" w:rsidR="001A2C4E" w:rsidRPr="00A33D00" w:rsidRDefault="001A2C4E" w:rsidP="00F17626">
            <w:pPr>
              <w:pStyle w:val="Table"/>
              <w:rPr>
                <w:sz w:val="20"/>
                <w:szCs w:val="22"/>
                <w:lang w:eastAsia="uk-UA"/>
              </w:rPr>
            </w:pPr>
            <w:r w:rsidRPr="00A33D00">
              <w:rPr>
                <w:sz w:val="20"/>
                <w:szCs w:val="22"/>
                <w:lang w:eastAsia="uk-UA"/>
              </w:rPr>
              <w:t>25 238,80</w:t>
            </w:r>
          </w:p>
        </w:tc>
        <w:tc>
          <w:tcPr>
            <w:tcW w:w="1072" w:type="dxa"/>
            <w:noWrap/>
          </w:tcPr>
          <w:p w14:paraId="1275ACBC" w14:textId="77777777" w:rsidR="001A2C4E" w:rsidRPr="00A33D00" w:rsidRDefault="001A2C4E" w:rsidP="00F17626">
            <w:pPr>
              <w:pStyle w:val="Table"/>
              <w:rPr>
                <w:sz w:val="20"/>
                <w:szCs w:val="22"/>
                <w:lang w:eastAsia="uk-UA"/>
              </w:rPr>
            </w:pPr>
            <w:r w:rsidRPr="00A33D00">
              <w:rPr>
                <w:sz w:val="20"/>
                <w:szCs w:val="22"/>
                <w:lang w:eastAsia="uk-UA"/>
              </w:rPr>
              <w:t>-3 513,9</w:t>
            </w:r>
          </w:p>
        </w:tc>
        <w:tc>
          <w:tcPr>
            <w:tcW w:w="566" w:type="dxa"/>
            <w:noWrap/>
          </w:tcPr>
          <w:p w14:paraId="47706297" w14:textId="77777777" w:rsidR="001A2C4E" w:rsidRPr="00A33D00" w:rsidRDefault="001A2C4E" w:rsidP="00F17626">
            <w:pPr>
              <w:pStyle w:val="Table"/>
              <w:rPr>
                <w:sz w:val="20"/>
                <w:szCs w:val="22"/>
                <w:lang w:eastAsia="uk-UA"/>
              </w:rPr>
            </w:pPr>
            <w:r w:rsidRPr="00A33D00">
              <w:rPr>
                <w:sz w:val="20"/>
                <w:szCs w:val="22"/>
                <w:lang w:eastAsia="uk-UA"/>
              </w:rPr>
              <w:t>71,2</w:t>
            </w:r>
          </w:p>
        </w:tc>
        <w:tc>
          <w:tcPr>
            <w:tcW w:w="1338" w:type="dxa"/>
            <w:noWrap/>
          </w:tcPr>
          <w:p w14:paraId="3D8320D5" w14:textId="77777777" w:rsidR="001A2C4E" w:rsidRPr="00A33D00" w:rsidRDefault="001A2C4E" w:rsidP="00F17626">
            <w:pPr>
              <w:pStyle w:val="Table"/>
              <w:rPr>
                <w:sz w:val="20"/>
                <w:szCs w:val="22"/>
                <w:lang w:eastAsia="uk-UA"/>
              </w:rPr>
            </w:pPr>
            <w:r w:rsidRPr="00A33D00">
              <w:rPr>
                <w:sz w:val="20"/>
                <w:szCs w:val="22"/>
                <w:lang w:eastAsia="uk-UA"/>
              </w:rPr>
              <w:t>10 191,30</w:t>
            </w:r>
          </w:p>
        </w:tc>
        <w:tc>
          <w:tcPr>
            <w:tcW w:w="1072" w:type="dxa"/>
            <w:noWrap/>
          </w:tcPr>
          <w:p w14:paraId="6A8F6D62" w14:textId="77777777" w:rsidR="001A2C4E" w:rsidRPr="00A33D00" w:rsidRDefault="001A2C4E" w:rsidP="00F17626">
            <w:pPr>
              <w:pStyle w:val="Table"/>
              <w:rPr>
                <w:sz w:val="20"/>
                <w:szCs w:val="22"/>
                <w:lang w:eastAsia="uk-UA"/>
              </w:rPr>
            </w:pPr>
            <w:r w:rsidRPr="00A33D00">
              <w:rPr>
                <w:sz w:val="20"/>
                <w:szCs w:val="22"/>
                <w:lang w:eastAsia="uk-UA"/>
              </w:rPr>
              <w:t>-2223,3</w:t>
            </w:r>
          </w:p>
        </w:tc>
        <w:tc>
          <w:tcPr>
            <w:tcW w:w="617" w:type="dxa"/>
            <w:noWrap/>
          </w:tcPr>
          <w:p w14:paraId="1B6438EC" w14:textId="77777777" w:rsidR="001A2C4E" w:rsidRPr="00A33D00" w:rsidRDefault="001A2C4E" w:rsidP="00F17626">
            <w:pPr>
              <w:pStyle w:val="Table"/>
              <w:rPr>
                <w:sz w:val="20"/>
                <w:szCs w:val="22"/>
                <w:lang w:eastAsia="uk-UA"/>
              </w:rPr>
            </w:pPr>
            <w:r w:rsidRPr="00A33D00">
              <w:rPr>
                <w:sz w:val="20"/>
                <w:szCs w:val="22"/>
                <w:lang w:eastAsia="uk-UA"/>
              </w:rPr>
              <w:t>28,8</w:t>
            </w:r>
          </w:p>
        </w:tc>
      </w:tr>
    </w:tbl>
    <w:p w14:paraId="66B41BCB" w14:textId="77777777" w:rsidR="001A2C4E" w:rsidRPr="00E74A7D" w:rsidRDefault="001A2C4E" w:rsidP="001A2C4E">
      <w:pPr>
        <w:rPr>
          <w:lang w:eastAsia="uk-UA"/>
        </w:rPr>
      </w:pPr>
      <w:r w:rsidRPr="00E74A7D">
        <w:rPr>
          <w:lang w:eastAsia="uk-UA"/>
        </w:rPr>
        <w:t>За демографічними прогнозами до 2035 р. чисельність населення України продовжить зменшуватися, що наочно ілюструють дані таблиці:</w:t>
      </w:r>
    </w:p>
    <w:p w14:paraId="269B2CB7" w14:textId="77777777" w:rsidR="001A2C4E" w:rsidRPr="00F724CB" w:rsidRDefault="001A2C4E" w:rsidP="001A2C4E">
      <w:pPr>
        <w:rPr>
          <w:color w:val="202124"/>
          <w:lang w:eastAsia="uk-UA"/>
        </w:rPr>
      </w:pPr>
    </w:p>
    <w:p w14:paraId="2A0F2686" w14:textId="77777777" w:rsidR="001A2C4E" w:rsidRPr="00F724CB" w:rsidRDefault="001A2C4E" w:rsidP="001A2C4E">
      <w:pPr>
        <w:pStyle w:val="ad"/>
        <w:rPr>
          <w:color w:val="202124"/>
          <w:lang w:val="uk-UA" w:eastAsia="uk-UA"/>
        </w:rPr>
      </w:pPr>
      <w:bookmarkStart w:id="45" w:name="_Toc150293104"/>
      <w:r w:rsidRPr="00F724CB">
        <w:rPr>
          <w:lang w:val="uk-UA"/>
        </w:rPr>
        <w:t xml:space="preserve">Таблиця </w:t>
      </w:r>
      <w:r w:rsidRPr="00F724CB">
        <w:rPr>
          <w:lang w:val="uk-UA"/>
        </w:rPr>
        <w:fldChar w:fldCharType="begin"/>
      </w:r>
      <w:r w:rsidRPr="00F724CB">
        <w:rPr>
          <w:lang w:val="uk-UA"/>
        </w:rPr>
        <w:instrText xml:space="preserve"> SEQ Таблиця \* ARABIC </w:instrText>
      </w:r>
      <w:r w:rsidRPr="00F724CB">
        <w:rPr>
          <w:lang w:val="uk-UA"/>
        </w:rPr>
        <w:fldChar w:fldCharType="separate"/>
      </w:r>
      <w:r>
        <w:rPr>
          <w:noProof/>
          <w:lang w:val="uk-UA"/>
        </w:rPr>
        <w:t>2</w:t>
      </w:r>
      <w:r w:rsidRPr="00F724CB">
        <w:rPr>
          <w:lang w:val="uk-UA"/>
        </w:rPr>
        <w:fldChar w:fldCharType="end"/>
      </w:r>
      <w:r w:rsidRPr="00F724CB">
        <w:rPr>
          <w:lang w:val="uk-UA"/>
        </w:rPr>
        <w:t xml:space="preserve">. </w:t>
      </w:r>
      <w:r w:rsidRPr="009B483B">
        <w:rPr>
          <w:lang w:val="uk-UA" w:eastAsia="uk-UA"/>
        </w:rPr>
        <w:t>Прогноз чисельності населення України на період до 2035 р.</w:t>
      </w:r>
      <w:bookmarkEnd w:id="45"/>
    </w:p>
    <w:tbl>
      <w:tblPr>
        <w:tblStyle w:val="afa"/>
        <w:tblW w:w="10367" w:type="dxa"/>
        <w:jc w:val="center"/>
        <w:tblLayout w:type="fixed"/>
        <w:tblLook w:val="04A0" w:firstRow="1" w:lastRow="0" w:firstColumn="1" w:lastColumn="0" w:noHBand="0" w:noVBand="1"/>
      </w:tblPr>
      <w:tblGrid>
        <w:gridCol w:w="676"/>
        <w:gridCol w:w="1364"/>
        <w:gridCol w:w="1045"/>
        <w:gridCol w:w="1276"/>
        <w:gridCol w:w="1363"/>
        <w:gridCol w:w="1045"/>
        <w:gridCol w:w="569"/>
        <w:gridCol w:w="1363"/>
        <w:gridCol w:w="1067"/>
        <w:gridCol w:w="599"/>
      </w:tblGrid>
      <w:tr w:rsidR="001A2C4E" w:rsidRPr="002965CD" w14:paraId="7BB99CA0" w14:textId="77777777" w:rsidTr="00F17626">
        <w:trPr>
          <w:trHeight w:val="312"/>
          <w:jc w:val="center"/>
        </w:trPr>
        <w:tc>
          <w:tcPr>
            <w:tcW w:w="676" w:type="dxa"/>
            <w:noWrap/>
          </w:tcPr>
          <w:p w14:paraId="2245A571" w14:textId="77777777" w:rsidR="001A2C4E" w:rsidRPr="00034E39" w:rsidRDefault="001A2C4E" w:rsidP="00F17626">
            <w:pPr>
              <w:pStyle w:val="Table"/>
              <w:rPr>
                <w:b/>
                <w:bCs/>
                <w:sz w:val="20"/>
                <w:szCs w:val="20"/>
                <w:lang w:val="uk-UA" w:eastAsia="uk-UA"/>
              </w:rPr>
            </w:pPr>
          </w:p>
        </w:tc>
        <w:tc>
          <w:tcPr>
            <w:tcW w:w="3685" w:type="dxa"/>
            <w:gridSpan w:val="3"/>
            <w:noWrap/>
            <w:vAlign w:val="center"/>
          </w:tcPr>
          <w:p w14:paraId="64E8B3D2" w14:textId="77777777" w:rsidR="001A2C4E" w:rsidRPr="002965CD" w:rsidRDefault="001A2C4E" w:rsidP="00F17626">
            <w:pPr>
              <w:pStyle w:val="Table"/>
              <w:jc w:val="center"/>
              <w:rPr>
                <w:b/>
                <w:bCs/>
                <w:i/>
                <w:iCs/>
                <w:sz w:val="20"/>
                <w:szCs w:val="20"/>
                <w:lang w:val="uk-UA" w:eastAsia="uk-UA"/>
              </w:rPr>
            </w:pPr>
            <w:r w:rsidRPr="002965CD">
              <w:rPr>
                <w:b/>
                <w:bCs/>
                <w:i/>
                <w:iCs/>
                <w:sz w:val="20"/>
                <w:szCs w:val="20"/>
                <w:lang w:val="uk-UA" w:eastAsia="uk-UA"/>
              </w:rPr>
              <w:t>Всього населення</w:t>
            </w:r>
          </w:p>
        </w:tc>
        <w:tc>
          <w:tcPr>
            <w:tcW w:w="2977" w:type="dxa"/>
            <w:gridSpan w:val="3"/>
            <w:noWrap/>
            <w:vAlign w:val="center"/>
          </w:tcPr>
          <w:p w14:paraId="4E475BFA" w14:textId="77777777" w:rsidR="001A2C4E" w:rsidRPr="002965CD" w:rsidRDefault="001A2C4E" w:rsidP="00F17626">
            <w:pPr>
              <w:pStyle w:val="Table"/>
              <w:jc w:val="center"/>
              <w:rPr>
                <w:b/>
                <w:bCs/>
                <w:i/>
                <w:iCs/>
                <w:sz w:val="20"/>
                <w:szCs w:val="20"/>
                <w:lang w:val="uk-UA" w:eastAsia="uk-UA"/>
              </w:rPr>
            </w:pPr>
            <w:r w:rsidRPr="002965CD">
              <w:rPr>
                <w:b/>
                <w:bCs/>
                <w:i/>
                <w:iCs/>
                <w:sz w:val="20"/>
                <w:szCs w:val="20"/>
                <w:lang w:val="uk-UA" w:eastAsia="uk-UA"/>
              </w:rPr>
              <w:t>Міське населення</w:t>
            </w:r>
          </w:p>
        </w:tc>
        <w:tc>
          <w:tcPr>
            <w:tcW w:w="3023" w:type="dxa"/>
            <w:gridSpan w:val="3"/>
            <w:noWrap/>
            <w:vAlign w:val="center"/>
          </w:tcPr>
          <w:p w14:paraId="22A053BF" w14:textId="77777777" w:rsidR="001A2C4E" w:rsidRPr="002965CD" w:rsidRDefault="001A2C4E" w:rsidP="00F17626">
            <w:pPr>
              <w:pStyle w:val="Table"/>
              <w:jc w:val="center"/>
              <w:rPr>
                <w:b/>
                <w:bCs/>
                <w:i/>
                <w:iCs/>
                <w:sz w:val="20"/>
                <w:szCs w:val="20"/>
                <w:lang w:val="uk-UA" w:eastAsia="uk-UA"/>
              </w:rPr>
            </w:pPr>
            <w:r w:rsidRPr="002965CD">
              <w:rPr>
                <w:b/>
                <w:bCs/>
                <w:i/>
                <w:iCs/>
                <w:sz w:val="20"/>
                <w:szCs w:val="20"/>
                <w:lang w:val="uk-UA" w:eastAsia="uk-UA"/>
              </w:rPr>
              <w:t>Сільське населення</w:t>
            </w:r>
          </w:p>
        </w:tc>
      </w:tr>
      <w:tr w:rsidR="001A2C4E" w:rsidRPr="00034E39" w14:paraId="2A35C00C" w14:textId="77777777" w:rsidTr="00F17626">
        <w:trPr>
          <w:trHeight w:val="312"/>
          <w:jc w:val="center"/>
        </w:trPr>
        <w:tc>
          <w:tcPr>
            <w:tcW w:w="676" w:type="dxa"/>
            <w:noWrap/>
            <w:hideMark/>
          </w:tcPr>
          <w:p w14:paraId="1ABAA8F4" w14:textId="77777777" w:rsidR="001A2C4E" w:rsidRPr="00034E39" w:rsidRDefault="001A2C4E" w:rsidP="00F17626">
            <w:pPr>
              <w:pStyle w:val="Table"/>
              <w:rPr>
                <w:b/>
                <w:bCs/>
                <w:sz w:val="20"/>
                <w:szCs w:val="20"/>
                <w:lang w:val="uk-UA" w:eastAsia="uk-UA"/>
              </w:rPr>
            </w:pPr>
            <w:r>
              <w:rPr>
                <w:b/>
                <w:bCs/>
                <w:sz w:val="20"/>
                <w:szCs w:val="20"/>
                <w:lang w:val="uk-UA" w:eastAsia="uk-UA"/>
              </w:rPr>
              <w:t>Рік</w:t>
            </w:r>
          </w:p>
        </w:tc>
        <w:tc>
          <w:tcPr>
            <w:tcW w:w="1364" w:type="dxa"/>
            <w:noWrap/>
            <w:hideMark/>
          </w:tcPr>
          <w:p w14:paraId="05F051D1"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Чисельність тис. чол.</w:t>
            </w:r>
          </w:p>
        </w:tc>
        <w:tc>
          <w:tcPr>
            <w:tcW w:w="1045" w:type="dxa"/>
            <w:noWrap/>
            <w:hideMark/>
          </w:tcPr>
          <w:p w14:paraId="6F7F62BD"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Сальдо, тис. чол.</w:t>
            </w:r>
          </w:p>
        </w:tc>
        <w:tc>
          <w:tcPr>
            <w:tcW w:w="1276" w:type="dxa"/>
            <w:noWrap/>
            <w:hideMark/>
          </w:tcPr>
          <w:p w14:paraId="04FBE61F"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Сальдо, % до 2022 р.</w:t>
            </w:r>
          </w:p>
        </w:tc>
        <w:tc>
          <w:tcPr>
            <w:tcW w:w="1363" w:type="dxa"/>
            <w:noWrap/>
            <w:hideMark/>
          </w:tcPr>
          <w:p w14:paraId="4EB7F7AC"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Чисельність тис. чол.</w:t>
            </w:r>
          </w:p>
        </w:tc>
        <w:tc>
          <w:tcPr>
            <w:tcW w:w="1045" w:type="dxa"/>
            <w:noWrap/>
            <w:hideMark/>
          </w:tcPr>
          <w:p w14:paraId="02A5551C"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Сальдо, тис. чол.</w:t>
            </w:r>
          </w:p>
        </w:tc>
        <w:tc>
          <w:tcPr>
            <w:tcW w:w="569" w:type="dxa"/>
            <w:noWrap/>
            <w:hideMark/>
          </w:tcPr>
          <w:p w14:paraId="1BBEBB90"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В %</w:t>
            </w:r>
          </w:p>
        </w:tc>
        <w:tc>
          <w:tcPr>
            <w:tcW w:w="1363" w:type="dxa"/>
            <w:noWrap/>
            <w:hideMark/>
          </w:tcPr>
          <w:p w14:paraId="7F2E331E"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Чисельність тис. чол.</w:t>
            </w:r>
          </w:p>
        </w:tc>
        <w:tc>
          <w:tcPr>
            <w:tcW w:w="1067" w:type="dxa"/>
            <w:noWrap/>
            <w:hideMark/>
          </w:tcPr>
          <w:p w14:paraId="2A6BF265"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Сальдо, тис. чол.</w:t>
            </w:r>
          </w:p>
        </w:tc>
        <w:tc>
          <w:tcPr>
            <w:tcW w:w="599" w:type="dxa"/>
            <w:noWrap/>
            <w:hideMark/>
          </w:tcPr>
          <w:p w14:paraId="0A3EE722"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В %</w:t>
            </w:r>
          </w:p>
        </w:tc>
      </w:tr>
      <w:tr w:rsidR="001A2C4E" w:rsidRPr="00034E39" w14:paraId="738BDE37" w14:textId="77777777" w:rsidTr="00F17626">
        <w:trPr>
          <w:trHeight w:val="312"/>
          <w:jc w:val="center"/>
        </w:trPr>
        <w:tc>
          <w:tcPr>
            <w:tcW w:w="676" w:type="dxa"/>
            <w:noWrap/>
            <w:hideMark/>
          </w:tcPr>
          <w:p w14:paraId="6B1544C7"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2021</w:t>
            </w:r>
          </w:p>
        </w:tc>
        <w:tc>
          <w:tcPr>
            <w:tcW w:w="1364" w:type="dxa"/>
            <w:noWrap/>
            <w:hideMark/>
          </w:tcPr>
          <w:p w14:paraId="29FC7DE1" w14:textId="77777777" w:rsidR="001A2C4E" w:rsidRPr="00034E39" w:rsidRDefault="001A2C4E" w:rsidP="00F17626">
            <w:pPr>
              <w:pStyle w:val="Table"/>
              <w:rPr>
                <w:sz w:val="20"/>
                <w:szCs w:val="20"/>
                <w:lang w:val="uk-UA" w:eastAsia="uk-UA"/>
              </w:rPr>
            </w:pPr>
            <w:r w:rsidRPr="00034E39">
              <w:rPr>
                <w:sz w:val="20"/>
                <w:szCs w:val="20"/>
                <w:lang w:val="uk-UA" w:eastAsia="uk-UA"/>
              </w:rPr>
              <w:t>41588,4</w:t>
            </w:r>
          </w:p>
        </w:tc>
        <w:tc>
          <w:tcPr>
            <w:tcW w:w="1045" w:type="dxa"/>
            <w:noWrap/>
            <w:hideMark/>
          </w:tcPr>
          <w:p w14:paraId="5675F6AE"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c>
          <w:tcPr>
            <w:tcW w:w="1276" w:type="dxa"/>
            <w:noWrap/>
            <w:hideMark/>
          </w:tcPr>
          <w:p w14:paraId="0685582B"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c>
          <w:tcPr>
            <w:tcW w:w="1363" w:type="dxa"/>
            <w:noWrap/>
            <w:hideMark/>
          </w:tcPr>
          <w:p w14:paraId="44940CC3" w14:textId="77777777" w:rsidR="001A2C4E" w:rsidRPr="00034E39" w:rsidRDefault="001A2C4E" w:rsidP="00F17626">
            <w:pPr>
              <w:pStyle w:val="Table"/>
              <w:rPr>
                <w:sz w:val="20"/>
                <w:szCs w:val="20"/>
                <w:lang w:val="uk-UA" w:eastAsia="uk-UA"/>
              </w:rPr>
            </w:pPr>
            <w:r w:rsidRPr="00034E39">
              <w:rPr>
                <w:sz w:val="20"/>
                <w:szCs w:val="20"/>
                <w:lang w:val="uk-UA" w:eastAsia="uk-UA"/>
              </w:rPr>
              <w:t>28959,54</w:t>
            </w:r>
          </w:p>
        </w:tc>
        <w:tc>
          <w:tcPr>
            <w:tcW w:w="1045" w:type="dxa"/>
            <w:noWrap/>
            <w:hideMark/>
          </w:tcPr>
          <w:p w14:paraId="7EBA75F2"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c>
          <w:tcPr>
            <w:tcW w:w="569" w:type="dxa"/>
            <w:noWrap/>
            <w:hideMark/>
          </w:tcPr>
          <w:p w14:paraId="524BAE56"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c>
          <w:tcPr>
            <w:tcW w:w="1363" w:type="dxa"/>
            <w:noWrap/>
            <w:hideMark/>
          </w:tcPr>
          <w:p w14:paraId="3C6C08F6" w14:textId="77777777" w:rsidR="001A2C4E" w:rsidRPr="00034E39" w:rsidRDefault="001A2C4E" w:rsidP="00F17626">
            <w:pPr>
              <w:pStyle w:val="Table"/>
              <w:rPr>
                <w:sz w:val="20"/>
                <w:szCs w:val="20"/>
                <w:lang w:val="uk-UA" w:eastAsia="uk-UA"/>
              </w:rPr>
            </w:pPr>
            <w:r w:rsidRPr="00034E39">
              <w:rPr>
                <w:sz w:val="20"/>
                <w:szCs w:val="20"/>
                <w:lang w:val="uk-UA" w:eastAsia="uk-UA"/>
              </w:rPr>
              <w:t>12628,82</w:t>
            </w:r>
          </w:p>
        </w:tc>
        <w:tc>
          <w:tcPr>
            <w:tcW w:w="1067" w:type="dxa"/>
            <w:noWrap/>
            <w:hideMark/>
          </w:tcPr>
          <w:p w14:paraId="17A0988A"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c>
          <w:tcPr>
            <w:tcW w:w="599" w:type="dxa"/>
            <w:noWrap/>
            <w:hideMark/>
          </w:tcPr>
          <w:p w14:paraId="0708B171"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r>
      <w:tr w:rsidR="001A2C4E" w:rsidRPr="00034E39" w14:paraId="72951CF0" w14:textId="77777777" w:rsidTr="00F17626">
        <w:trPr>
          <w:trHeight w:val="312"/>
          <w:jc w:val="center"/>
        </w:trPr>
        <w:tc>
          <w:tcPr>
            <w:tcW w:w="676" w:type="dxa"/>
            <w:noWrap/>
            <w:hideMark/>
          </w:tcPr>
          <w:p w14:paraId="57D8DD97"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2022</w:t>
            </w:r>
          </w:p>
        </w:tc>
        <w:tc>
          <w:tcPr>
            <w:tcW w:w="1364" w:type="dxa"/>
            <w:noWrap/>
            <w:hideMark/>
          </w:tcPr>
          <w:p w14:paraId="35B9BC34" w14:textId="77777777" w:rsidR="001A2C4E" w:rsidRPr="00034E39" w:rsidRDefault="001A2C4E" w:rsidP="00F17626">
            <w:pPr>
              <w:pStyle w:val="Table"/>
              <w:rPr>
                <w:sz w:val="20"/>
                <w:szCs w:val="20"/>
                <w:lang w:val="uk-UA" w:eastAsia="uk-UA"/>
              </w:rPr>
            </w:pPr>
            <w:r w:rsidRPr="00034E39">
              <w:rPr>
                <w:sz w:val="20"/>
                <w:szCs w:val="20"/>
                <w:lang w:val="uk-UA" w:eastAsia="uk-UA"/>
              </w:rPr>
              <w:t>41167,3</w:t>
            </w:r>
          </w:p>
        </w:tc>
        <w:tc>
          <w:tcPr>
            <w:tcW w:w="1045" w:type="dxa"/>
            <w:noWrap/>
            <w:hideMark/>
          </w:tcPr>
          <w:p w14:paraId="3175E245" w14:textId="77777777" w:rsidR="001A2C4E" w:rsidRPr="00034E39" w:rsidRDefault="001A2C4E" w:rsidP="00F17626">
            <w:pPr>
              <w:pStyle w:val="Table"/>
              <w:rPr>
                <w:sz w:val="20"/>
                <w:szCs w:val="20"/>
                <w:lang w:val="uk-UA" w:eastAsia="uk-UA"/>
              </w:rPr>
            </w:pPr>
            <w:r w:rsidRPr="00034E39">
              <w:rPr>
                <w:sz w:val="20"/>
                <w:szCs w:val="20"/>
                <w:lang w:val="uk-UA" w:eastAsia="uk-UA"/>
              </w:rPr>
              <w:t>-421,1</w:t>
            </w:r>
          </w:p>
        </w:tc>
        <w:tc>
          <w:tcPr>
            <w:tcW w:w="1276" w:type="dxa"/>
            <w:noWrap/>
            <w:hideMark/>
          </w:tcPr>
          <w:p w14:paraId="12764092" w14:textId="77777777" w:rsidR="001A2C4E" w:rsidRPr="00034E39" w:rsidRDefault="001A2C4E" w:rsidP="00F17626">
            <w:pPr>
              <w:pStyle w:val="Table"/>
              <w:rPr>
                <w:sz w:val="20"/>
                <w:szCs w:val="20"/>
                <w:lang w:val="uk-UA" w:eastAsia="uk-UA"/>
              </w:rPr>
            </w:pPr>
            <w:r w:rsidRPr="00034E39">
              <w:rPr>
                <w:sz w:val="20"/>
                <w:szCs w:val="20"/>
                <w:lang w:val="uk-UA" w:eastAsia="uk-UA"/>
              </w:rPr>
              <w:t>100,0%</w:t>
            </w:r>
          </w:p>
        </w:tc>
        <w:tc>
          <w:tcPr>
            <w:tcW w:w="1363" w:type="dxa"/>
            <w:noWrap/>
            <w:hideMark/>
          </w:tcPr>
          <w:p w14:paraId="5D97C9CC" w14:textId="77777777" w:rsidR="001A2C4E" w:rsidRPr="00034E39" w:rsidRDefault="001A2C4E" w:rsidP="00F17626">
            <w:pPr>
              <w:pStyle w:val="Table"/>
              <w:rPr>
                <w:sz w:val="20"/>
                <w:szCs w:val="20"/>
                <w:lang w:val="uk-UA" w:eastAsia="uk-UA"/>
              </w:rPr>
            </w:pPr>
            <w:r w:rsidRPr="00034E39">
              <w:rPr>
                <w:sz w:val="20"/>
                <w:szCs w:val="20"/>
                <w:lang w:val="uk-UA" w:eastAsia="uk-UA"/>
              </w:rPr>
              <w:t>28752,72</w:t>
            </w:r>
          </w:p>
        </w:tc>
        <w:tc>
          <w:tcPr>
            <w:tcW w:w="1045" w:type="dxa"/>
            <w:noWrap/>
            <w:hideMark/>
          </w:tcPr>
          <w:p w14:paraId="2325901F" w14:textId="77777777" w:rsidR="001A2C4E" w:rsidRPr="00034E39" w:rsidRDefault="001A2C4E" w:rsidP="00F17626">
            <w:pPr>
              <w:pStyle w:val="Table"/>
              <w:rPr>
                <w:sz w:val="20"/>
                <w:szCs w:val="20"/>
                <w:lang w:val="uk-UA" w:eastAsia="uk-UA"/>
              </w:rPr>
            </w:pPr>
            <w:r w:rsidRPr="00034E39">
              <w:rPr>
                <w:sz w:val="20"/>
                <w:szCs w:val="20"/>
                <w:lang w:val="uk-UA" w:eastAsia="uk-UA"/>
              </w:rPr>
              <w:t>-206,812</w:t>
            </w:r>
          </w:p>
        </w:tc>
        <w:tc>
          <w:tcPr>
            <w:tcW w:w="569" w:type="dxa"/>
            <w:noWrap/>
            <w:hideMark/>
          </w:tcPr>
          <w:p w14:paraId="7316B626"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c>
          <w:tcPr>
            <w:tcW w:w="1363" w:type="dxa"/>
            <w:noWrap/>
            <w:hideMark/>
          </w:tcPr>
          <w:p w14:paraId="4956B52F" w14:textId="77777777" w:rsidR="001A2C4E" w:rsidRPr="00034E39" w:rsidRDefault="001A2C4E" w:rsidP="00F17626">
            <w:pPr>
              <w:pStyle w:val="Table"/>
              <w:rPr>
                <w:sz w:val="20"/>
                <w:szCs w:val="20"/>
                <w:lang w:val="uk-UA" w:eastAsia="uk-UA"/>
              </w:rPr>
            </w:pPr>
            <w:r w:rsidRPr="00034E39">
              <w:rPr>
                <w:sz w:val="20"/>
                <w:szCs w:val="20"/>
                <w:lang w:val="uk-UA" w:eastAsia="uk-UA"/>
              </w:rPr>
              <w:t>12414,58</w:t>
            </w:r>
          </w:p>
        </w:tc>
        <w:tc>
          <w:tcPr>
            <w:tcW w:w="1067" w:type="dxa"/>
            <w:noWrap/>
            <w:hideMark/>
          </w:tcPr>
          <w:p w14:paraId="1E719CC6" w14:textId="77777777" w:rsidR="001A2C4E" w:rsidRPr="00034E39" w:rsidRDefault="001A2C4E" w:rsidP="00F17626">
            <w:pPr>
              <w:pStyle w:val="Table"/>
              <w:rPr>
                <w:sz w:val="20"/>
                <w:szCs w:val="20"/>
                <w:lang w:val="uk-UA" w:eastAsia="uk-UA"/>
              </w:rPr>
            </w:pPr>
            <w:r w:rsidRPr="00034E39">
              <w:rPr>
                <w:sz w:val="20"/>
                <w:szCs w:val="20"/>
                <w:lang w:val="uk-UA" w:eastAsia="uk-UA"/>
              </w:rPr>
              <w:t>-214,242</w:t>
            </w:r>
          </w:p>
        </w:tc>
        <w:tc>
          <w:tcPr>
            <w:tcW w:w="599" w:type="dxa"/>
            <w:noWrap/>
            <w:hideMark/>
          </w:tcPr>
          <w:p w14:paraId="07982376" w14:textId="77777777" w:rsidR="001A2C4E" w:rsidRPr="00034E39" w:rsidRDefault="001A2C4E" w:rsidP="00F17626">
            <w:pPr>
              <w:pStyle w:val="Table"/>
              <w:rPr>
                <w:sz w:val="20"/>
                <w:szCs w:val="20"/>
                <w:lang w:val="uk-UA" w:eastAsia="uk-UA"/>
              </w:rPr>
            </w:pPr>
            <w:r w:rsidRPr="00034E39">
              <w:rPr>
                <w:sz w:val="20"/>
                <w:szCs w:val="20"/>
                <w:lang w:val="uk-UA" w:eastAsia="uk-UA"/>
              </w:rPr>
              <w:t> </w:t>
            </w:r>
          </w:p>
        </w:tc>
      </w:tr>
      <w:tr w:rsidR="001A2C4E" w:rsidRPr="00034E39" w14:paraId="355EFDA8" w14:textId="77777777" w:rsidTr="00F17626">
        <w:trPr>
          <w:trHeight w:val="324"/>
          <w:jc w:val="center"/>
        </w:trPr>
        <w:tc>
          <w:tcPr>
            <w:tcW w:w="676" w:type="dxa"/>
            <w:hideMark/>
          </w:tcPr>
          <w:p w14:paraId="5D84106E"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2023</w:t>
            </w:r>
          </w:p>
        </w:tc>
        <w:tc>
          <w:tcPr>
            <w:tcW w:w="1364" w:type="dxa"/>
            <w:hideMark/>
          </w:tcPr>
          <w:p w14:paraId="2E7745DF" w14:textId="77777777" w:rsidR="001A2C4E" w:rsidRPr="00034E39" w:rsidRDefault="001A2C4E" w:rsidP="00F17626">
            <w:pPr>
              <w:pStyle w:val="Table"/>
              <w:rPr>
                <w:sz w:val="20"/>
                <w:szCs w:val="20"/>
                <w:lang w:val="uk-UA" w:eastAsia="uk-UA"/>
              </w:rPr>
            </w:pPr>
            <w:r w:rsidRPr="00034E39">
              <w:rPr>
                <w:sz w:val="20"/>
                <w:szCs w:val="20"/>
                <w:lang w:val="uk-UA" w:eastAsia="uk-UA"/>
              </w:rPr>
              <w:t>35 430,1</w:t>
            </w:r>
          </w:p>
        </w:tc>
        <w:tc>
          <w:tcPr>
            <w:tcW w:w="1045" w:type="dxa"/>
            <w:hideMark/>
          </w:tcPr>
          <w:p w14:paraId="30C043CB" w14:textId="77777777" w:rsidR="001A2C4E" w:rsidRPr="00034E39" w:rsidRDefault="001A2C4E" w:rsidP="00F17626">
            <w:pPr>
              <w:pStyle w:val="Table"/>
              <w:rPr>
                <w:sz w:val="20"/>
                <w:szCs w:val="20"/>
                <w:lang w:val="uk-UA" w:eastAsia="uk-UA"/>
              </w:rPr>
            </w:pPr>
            <w:r w:rsidRPr="00034E39">
              <w:rPr>
                <w:sz w:val="20"/>
                <w:szCs w:val="20"/>
                <w:lang w:val="uk-UA" w:eastAsia="uk-UA"/>
              </w:rPr>
              <w:t>-5 737,2</w:t>
            </w:r>
          </w:p>
        </w:tc>
        <w:tc>
          <w:tcPr>
            <w:tcW w:w="1276" w:type="dxa"/>
            <w:hideMark/>
          </w:tcPr>
          <w:p w14:paraId="5AF59D09" w14:textId="77777777" w:rsidR="001A2C4E" w:rsidRPr="00034E39" w:rsidRDefault="001A2C4E" w:rsidP="00F17626">
            <w:pPr>
              <w:pStyle w:val="Table"/>
              <w:rPr>
                <w:sz w:val="20"/>
                <w:szCs w:val="20"/>
                <w:lang w:val="uk-UA" w:eastAsia="uk-UA"/>
              </w:rPr>
            </w:pPr>
            <w:r w:rsidRPr="00034E39">
              <w:rPr>
                <w:sz w:val="20"/>
                <w:szCs w:val="20"/>
                <w:lang w:val="uk-UA" w:eastAsia="uk-UA"/>
              </w:rPr>
              <w:t>86,1%</w:t>
            </w:r>
          </w:p>
        </w:tc>
        <w:tc>
          <w:tcPr>
            <w:tcW w:w="1363" w:type="dxa"/>
            <w:noWrap/>
            <w:hideMark/>
          </w:tcPr>
          <w:p w14:paraId="1B963764" w14:textId="77777777" w:rsidR="001A2C4E" w:rsidRPr="00034E39" w:rsidRDefault="001A2C4E" w:rsidP="00F17626">
            <w:pPr>
              <w:pStyle w:val="Table"/>
              <w:rPr>
                <w:sz w:val="20"/>
                <w:szCs w:val="20"/>
                <w:lang w:val="uk-UA" w:eastAsia="uk-UA"/>
              </w:rPr>
            </w:pPr>
            <w:r w:rsidRPr="00034E39">
              <w:rPr>
                <w:sz w:val="20"/>
                <w:szCs w:val="20"/>
                <w:lang w:val="uk-UA" w:eastAsia="uk-UA"/>
              </w:rPr>
              <w:t>25 238,8</w:t>
            </w:r>
          </w:p>
        </w:tc>
        <w:tc>
          <w:tcPr>
            <w:tcW w:w="1045" w:type="dxa"/>
            <w:noWrap/>
            <w:hideMark/>
          </w:tcPr>
          <w:p w14:paraId="6CD7B7FD" w14:textId="77777777" w:rsidR="001A2C4E" w:rsidRPr="00034E39" w:rsidRDefault="001A2C4E" w:rsidP="00F17626">
            <w:pPr>
              <w:pStyle w:val="Table"/>
              <w:rPr>
                <w:sz w:val="20"/>
                <w:szCs w:val="20"/>
                <w:lang w:val="uk-UA" w:eastAsia="uk-UA"/>
              </w:rPr>
            </w:pPr>
            <w:r w:rsidRPr="00034E39">
              <w:rPr>
                <w:sz w:val="20"/>
                <w:szCs w:val="20"/>
                <w:lang w:val="uk-UA" w:eastAsia="uk-UA"/>
              </w:rPr>
              <w:t>-3 513,9</w:t>
            </w:r>
          </w:p>
        </w:tc>
        <w:tc>
          <w:tcPr>
            <w:tcW w:w="569" w:type="dxa"/>
            <w:noWrap/>
            <w:hideMark/>
          </w:tcPr>
          <w:p w14:paraId="2ABA5BC0" w14:textId="77777777" w:rsidR="001A2C4E" w:rsidRPr="00034E39" w:rsidRDefault="001A2C4E" w:rsidP="00F17626">
            <w:pPr>
              <w:pStyle w:val="Table"/>
              <w:rPr>
                <w:sz w:val="20"/>
                <w:szCs w:val="20"/>
                <w:lang w:val="uk-UA" w:eastAsia="uk-UA"/>
              </w:rPr>
            </w:pPr>
            <w:r w:rsidRPr="00034E39">
              <w:rPr>
                <w:sz w:val="20"/>
                <w:szCs w:val="20"/>
                <w:lang w:val="uk-UA" w:eastAsia="uk-UA"/>
              </w:rPr>
              <w:t>71,2</w:t>
            </w:r>
          </w:p>
        </w:tc>
        <w:tc>
          <w:tcPr>
            <w:tcW w:w="1363" w:type="dxa"/>
            <w:noWrap/>
            <w:hideMark/>
          </w:tcPr>
          <w:p w14:paraId="4A5E8B86" w14:textId="77777777" w:rsidR="001A2C4E" w:rsidRPr="00034E39" w:rsidRDefault="001A2C4E" w:rsidP="00F17626">
            <w:pPr>
              <w:pStyle w:val="Table"/>
              <w:rPr>
                <w:sz w:val="20"/>
                <w:szCs w:val="20"/>
                <w:lang w:val="uk-UA" w:eastAsia="uk-UA"/>
              </w:rPr>
            </w:pPr>
            <w:r w:rsidRPr="00034E39">
              <w:rPr>
                <w:sz w:val="20"/>
                <w:szCs w:val="20"/>
                <w:lang w:val="uk-UA" w:eastAsia="uk-UA"/>
              </w:rPr>
              <w:t>10 191,3</w:t>
            </w:r>
          </w:p>
        </w:tc>
        <w:tc>
          <w:tcPr>
            <w:tcW w:w="1067" w:type="dxa"/>
            <w:noWrap/>
            <w:hideMark/>
          </w:tcPr>
          <w:p w14:paraId="281B650E" w14:textId="77777777" w:rsidR="001A2C4E" w:rsidRPr="00034E39" w:rsidRDefault="001A2C4E" w:rsidP="00F17626">
            <w:pPr>
              <w:pStyle w:val="Table"/>
              <w:rPr>
                <w:sz w:val="20"/>
                <w:szCs w:val="20"/>
                <w:lang w:val="uk-UA" w:eastAsia="uk-UA"/>
              </w:rPr>
            </w:pPr>
            <w:r w:rsidRPr="00034E39">
              <w:rPr>
                <w:sz w:val="20"/>
                <w:szCs w:val="20"/>
                <w:lang w:val="uk-UA" w:eastAsia="uk-UA"/>
              </w:rPr>
              <w:t>-2 223,3</w:t>
            </w:r>
          </w:p>
        </w:tc>
        <w:tc>
          <w:tcPr>
            <w:tcW w:w="599" w:type="dxa"/>
            <w:noWrap/>
            <w:hideMark/>
          </w:tcPr>
          <w:p w14:paraId="3E00879A" w14:textId="77777777" w:rsidR="001A2C4E" w:rsidRPr="00034E39" w:rsidRDefault="001A2C4E" w:rsidP="00F17626">
            <w:pPr>
              <w:pStyle w:val="Table"/>
              <w:rPr>
                <w:sz w:val="20"/>
                <w:szCs w:val="20"/>
                <w:lang w:val="uk-UA" w:eastAsia="uk-UA"/>
              </w:rPr>
            </w:pPr>
            <w:r w:rsidRPr="00034E39">
              <w:rPr>
                <w:sz w:val="20"/>
                <w:szCs w:val="20"/>
                <w:lang w:val="uk-UA" w:eastAsia="uk-UA"/>
              </w:rPr>
              <w:t>28,8</w:t>
            </w:r>
          </w:p>
        </w:tc>
      </w:tr>
      <w:tr w:rsidR="001A2C4E" w:rsidRPr="00034E39" w14:paraId="41894BEE" w14:textId="77777777" w:rsidTr="00F17626">
        <w:trPr>
          <w:trHeight w:val="324"/>
          <w:jc w:val="center"/>
        </w:trPr>
        <w:tc>
          <w:tcPr>
            <w:tcW w:w="676" w:type="dxa"/>
            <w:noWrap/>
            <w:hideMark/>
          </w:tcPr>
          <w:p w14:paraId="1835E04A"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2024</w:t>
            </w:r>
          </w:p>
        </w:tc>
        <w:tc>
          <w:tcPr>
            <w:tcW w:w="1364" w:type="dxa"/>
            <w:noWrap/>
            <w:hideMark/>
          </w:tcPr>
          <w:p w14:paraId="65EA2A95" w14:textId="77777777" w:rsidR="001A2C4E" w:rsidRPr="00034E39" w:rsidRDefault="001A2C4E" w:rsidP="00F17626">
            <w:pPr>
              <w:pStyle w:val="Table"/>
              <w:rPr>
                <w:sz w:val="20"/>
                <w:szCs w:val="20"/>
                <w:lang w:val="uk-UA" w:eastAsia="uk-UA"/>
              </w:rPr>
            </w:pPr>
            <w:r w:rsidRPr="00034E39">
              <w:rPr>
                <w:sz w:val="20"/>
                <w:szCs w:val="20"/>
                <w:lang w:val="uk-UA" w:eastAsia="uk-UA"/>
              </w:rPr>
              <w:t>34 491,4</w:t>
            </w:r>
          </w:p>
        </w:tc>
        <w:tc>
          <w:tcPr>
            <w:tcW w:w="1045" w:type="dxa"/>
            <w:noWrap/>
            <w:hideMark/>
          </w:tcPr>
          <w:p w14:paraId="63707CB4" w14:textId="77777777" w:rsidR="001A2C4E" w:rsidRPr="00034E39" w:rsidRDefault="001A2C4E" w:rsidP="00F17626">
            <w:pPr>
              <w:pStyle w:val="Table"/>
              <w:rPr>
                <w:sz w:val="20"/>
                <w:szCs w:val="20"/>
                <w:lang w:val="uk-UA" w:eastAsia="uk-UA"/>
              </w:rPr>
            </w:pPr>
            <w:r w:rsidRPr="00034E39">
              <w:rPr>
                <w:sz w:val="20"/>
                <w:szCs w:val="20"/>
                <w:lang w:val="uk-UA" w:eastAsia="uk-UA"/>
              </w:rPr>
              <w:t>-938,7</w:t>
            </w:r>
          </w:p>
        </w:tc>
        <w:tc>
          <w:tcPr>
            <w:tcW w:w="1276" w:type="dxa"/>
            <w:hideMark/>
          </w:tcPr>
          <w:p w14:paraId="6D6CF8C7" w14:textId="77777777" w:rsidR="001A2C4E" w:rsidRPr="00034E39" w:rsidRDefault="001A2C4E" w:rsidP="00F17626">
            <w:pPr>
              <w:pStyle w:val="Table"/>
              <w:rPr>
                <w:sz w:val="20"/>
                <w:szCs w:val="20"/>
                <w:lang w:val="uk-UA" w:eastAsia="uk-UA"/>
              </w:rPr>
            </w:pPr>
            <w:r w:rsidRPr="00034E39">
              <w:rPr>
                <w:sz w:val="20"/>
                <w:szCs w:val="20"/>
                <w:lang w:val="uk-UA" w:eastAsia="uk-UA"/>
              </w:rPr>
              <w:t>83,8%</w:t>
            </w:r>
          </w:p>
        </w:tc>
        <w:tc>
          <w:tcPr>
            <w:tcW w:w="1363" w:type="dxa"/>
            <w:noWrap/>
            <w:hideMark/>
          </w:tcPr>
          <w:p w14:paraId="0890E002" w14:textId="77777777" w:rsidR="001A2C4E" w:rsidRPr="00034E39" w:rsidRDefault="001A2C4E" w:rsidP="00F17626">
            <w:pPr>
              <w:pStyle w:val="Table"/>
              <w:rPr>
                <w:sz w:val="20"/>
                <w:szCs w:val="20"/>
                <w:lang w:val="uk-UA" w:eastAsia="uk-UA"/>
              </w:rPr>
            </w:pPr>
            <w:r w:rsidRPr="00034E39">
              <w:rPr>
                <w:sz w:val="20"/>
                <w:szCs w:val="20"/>
                <w:lang w:val="uk-UA" w:eastAsia="uk-UA"/>
              </w:rPr>
              <w:t>24 656,2</w:t>
            </w:r>
          </w:p>
        </w:tc>
        <w:tc>
          <w:tcPr>
            <w:tcW w:w="1045" w:type="dxa"/>
            <w:noWrap/>
            <w:hideMark/>
          </w:tcPr>
          <w:p w14:paraId="38EE6DFD" w14:textId="77777777" w:rsidR="001A2C4E" w:rsidRPr="00034E39" w:rsidRDefault="001A2C4E" w:rsidP="00F17626">
            <w:pPr>
              <w:pStyle w:val="Table"/>
              <w:rPr>
                <w:sz w:val="20"/>
                <w:szCs w:val="20"/>
                <w:lang w:val="uk-UA" w:eastAsia="uk-UA"/>
              </w:rPr>
            </w:pPr>
            <w:r w:rsidRPr="00034E39">
              <w:rPr>
                <w:sz w:val="20"/>
                <w:szCs w:val="20"/>
                <w:lang w:val="uk-UA" w:eastAsia="uk-UA"/>
              </w:rPr>
              <w:t>-582,7</w:t>
            </w:r>
          </w:p>
        </w:tc>
        <w:tc>
          <w:tcPr>
            <w:tcW w:w="569" w:type="dxa"/>
            <w:noWrap/>
            <w:hideMark/>
          </w:tcPr>
          <w:p w14:paraId="2DFE64C5" w14:textId="77777777" w:rsidR="001A2C4E" w:rsidRPr="00034E39" w:rsidRDefault="001A2C4E" w:rsidP="00F17626">
            <w:pPr>
              <w:pStyle w:val="Table"/>
              <w:rPr>
                <w:sz w:val="20"/>
                <w:szCs w:val="20"/>
                <w:lang w:val="uk-UA" w:eastAsia="uk-UA"/>
              </w:rPr>
            </w:pPr>
            <w:r w:rsidRPr="00034E39">
              <w:rPr>
                <w:sz w:val="20"/>
                <w:szCs w:val="20"/>
                <w:lang w:val="uk-UA" w:eastAsia="uk-UA"/>
              </w:rPr>
              <w:t>71,5</w:t>
            </w:r>
          </w:p>
        </w:tc>
        <w:tc>
          <w:tcPr>
            <w:tcW w:w="1363" w:type="dxa"/>
            <w:noWrap/>
            <w:hideMark/>
          </w:tcPr>
          <w:p w14:paraId="136C9596" w14:textId="77777777" w:rsidR="001A2C4E" w:rsidRPr="00034E39" w:rsidRDefault="001A2C4E" w:rsidP="00F17626">
            <w:pPr>
              <w:pStyle w:val="Table"/>
              <w:rPr>
                <w:sz w:val="20"/>
                <w:szCs w:val="20"/>
                <w:lang w:val="uk-UA" w:eastAsia="uk-UA"/>
              </w:rPr>
            </w:pPr>
            <w:r w:rsidRPr="00034E39">
              <w:rPr>
                <w:sz w:val="20"/>
                <w:szCs w:val="20"/>
                <w:lang w:val="uk-UA" w:eastAsia="uk-UA"/>
              </w:rPr>
              <w:t>9 835,3</w:t>
            </w:r>
          </w:p>
        </w:tc>
        <w:tc>
          <w:tcPr>
            <w:tcW w:w="1067" w:type="dxa"/>
            <w:noWrap/>
            <w:hideMark/>
          </w:tcPr>
          <w:p w14:paraId="47B361ED" w14:textId="77777777" w:rsidR="001A2C4E" w:rsidRPr="00034E39" w:rsidRDefault="001A2C4E" w:rsidP="00F17626">
            <w:pPr>
              <w:pStyle w:val="Table"/>
              <w:rPr>
                <w:sz w:val="20"/>
                <w:szCs w:val="20"/>
                <w:lang w:val="uk-UA" w:eastAsia="uk-UA"/>
              </w:rPr>
            </w:pPr>
            <w:r w:rsidRPr="00034E39">
              <w:rPr>
                <w:sz w:val="20"/>
                <w:szCs w:val="20"/>
                <w:lang w:val="uk-UA" w:eastAsia="uk-UA"/>
              </w:rPr>
              <w:t>-356,0</w:t>
            </w:r>
          </w:p>
        </w:tc>
        <w:tc>
          <w:tcPr>
            <w:tcW w:w="599" w:type="dxa"/>
            <w:noWrap/>
            <w:hideMark/>
          </w:tcPr>
          <w:p w14:paraId="47C0910C" w14:textId="77777777" w:rsidR="001A2C4E" w:rsidRPr="00034E39" w:rsidRDefault="001A2C4E" w:rsidP="00F17626">
            <w:pPr>
              <w:pStyle w:val="Table"/>
              <w:rPr>
                <w:sz w:val="20"/>
                <w:szCs w:val="20"/>
                <w:lang w:val="uk-UA" w:eastAsia="uk-UA"/>
              </w:rPr>
            </w:pPr>
            <w:r w:rsidRPr="00034E39">
              <w:rPr>
                <w:sz w:val="20"/>
                <w:szCs w:val="20"/>
                <w:lang w:val="uk-UA" w:eastAsia="uk-UA"/>
              </w:rPr>
              <w:t>28,5</w:t>
            </w:r>
          </w:p>
        </w:tc>
      </w:tr>
      <w:tr w:rsidR="001A2C4E" w:rsidRPr="00034E39" w14:paraId="617FE73D" w14:textId="77777777" w:rsidTr="00F17626">
        <w:trPr>
          <w:trHeight w:val="324"/>
          <w:jc w:val="center"/>
        </w:trPr>
        <w:tc>
          <w:tcPr>
            <w:tcW w:w="676" w:type="dxa"/>
            <w:noWrap/>
            <w:hideMark/>
          </w:tcPr>
          <w:p w14:paraId="4B32C9BE"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2025</w:t>
            </w:r>
          </w:p>
        </w:tc>
        <w:tc>
          <w:tcPr>
            <w:tcW w:w="1364" w:type="dxa"/>
            <w:noWrap/>
            <w:hideMark/>
          </w:tcPr>
          <w:p w14:paraId="76726785" w14:textId="77777777" w:rsidR="001A2C4E" w:rsidRPr="00034E39" w:rsidRDefault="001A2C4E" w:rsidP="00F17626">
            <w:pPr>
              <w:pStyle w:val="Table"/>
              <w:rPr>
                <w:sz w:val="20"/>
                <w:szCs w:val="20"/>
                <w:lang w:val="uk-UA" w:eastAsia="uk-UA"/>
              </w:rPr>
            </w:pPr>
            <w:r w:rsidRPr="00034E39">
              <w:rPr>
                <w:sz w:val="20"/>
                <w:szCs w:val="20"/>
                <w:lang w:val="uk-UA" w:eastAsia="uk-UA"/>
              </w:rPr>
              <w:t>33 575,4</w:t>
            </w:r>
          </w:p>
        </w:tc>
        <w:tc>
          <w:tcPr>
            <w:tcW w:w="1045" w:type="dxa"/>
            <w:noWrap/>
            <w:hideMark/>
          </w:tcPr>
          <w:p w14:paraId="1DFA4FEE" w14:textId="77777777" w:rsidR="001A2C4E" w:rsidRPr="00034E39" w:rsidRDefault="001A2C4E" w:rsidP="00F17626">
            <w:pPr>
              <w:pStyle w:val="Table"/>
              <w:rPr>
                <w:sz w:val="20"/>
                <w:szCs w:val="20"/>
                <w:lang w:val="uk-UA" w:eastAsia="uk-UA"/>
              </w:rPr>
            </w:pPr>
            <w:r w:rsidRPr="00034E39">
              <w:rPr>
                <w:sz w:val="20"/>
                <w:szCs w:val="20"/>
                <w:lang w:val="uk-UA" w:eastAsia="uk-UA"/>
              </w:rPr>
              <w:t>-916,1</w:t>
            </w:r>
          </w:p>
        </w:tc>
        <w:tc>
          <w:tcPr>
            <w:tcW w:w="1276" w:type="dxa"/>
            <w:hideMark/>
          </w:tcPr>
          <w:p w14:paraId="26D9259E" w14:textId="77777777" w:rsidR="001A2C4E" w:rsidRPr="00034E39" w:rsidRDefault="001A2C4E" w:rsidP="00F17626">
            <w:pPr>
              <w:pStyle w:val="Table"/>
              <w:rPr>
                <w:sz w:val="20"/>
                <w:szCs w:val="20"/>
                <w:lang w:val="uk-UA" w:eastAsia="uk-UA"/>
              </w:rPr>
            </w:pPr>
            <w:r w:rsidRPr="00034E39">
              <w:rPr>
                <w:sz w:val="20"/>
                <w:szCs w:val="20"/>
                <w:lang w:val="uk-UA" w:eastAsia="uk-UA"/>
              </w:rPr>
              <w:t>81,6%</w:t>
            </w:r>
          </w:p>
        </w:tc>
        <w:tc>
          <w:tcPr>
            <w:tcW w:w="1363" w:type="dxa"/>
            <w:noWrap/>
            <w:hideMark/>
          </w:tcPr>
          <w:p w14:paraId="7384F52A" w14:textId="77777777" w:rsidR="001A2C4E" w:rsidRPr="00034E39" w:rsidRDefault="001A2C4E" w:rsidP="00F17626">
            <w:pPr>
              <w:pStyle w:val="Table"/>
              <w:rPr>
                <w:sz w:val="20"/>
                <w:szCs w:val="20"/>
                <w:lang w:val="uk-UA" w:eastAsia="uk-UA"/>
              </w:rPr>
            </w:pPr>
            <w:r w:rsidRPr="00034E39">
              <w:rPr>
                <w:sz w:val="20"/>
                <w:szCs w:val="20"/>
                <w:lang w:val="uk-UA" w:eastAsia="uk-UA"/>
              </w:rPr>
              <w:t>24 085,3</w:t>
            </w:r>
          </w:p>
        </w:tc>
        <w:tc>
          <w:tcPr>
            <w:tcW w:w="1045" w:type="dxa"/>
            <w:noWrap/>
            <w:hideMark/>
          </w:tcPr>
          <w:p w14:paraId="4EBE3322" w14:textId="77777777" w:rsidR="001A2C4E" w:rsidRPr="00034E39" w:rsidRDefault="001A2C4E" w:rsidP="00F17626">
            <w:pPr>
              <w:pStyle w:val="Table"/>
              <w:rPr>
                <w:sz w:val="20"/>
                <w:szCs w:val="20"/>
                <w:lang w:val="uk-UA" w:eastAsia="uk-UA"/>
              </w:rPr>
            </w:pPr>
            <w:r w:rsidRPr="00034E39">
              <w:rPr>
                <w:sz w:val="20"/>
                <w:szCs w:val="20"/>
                <w:lang w:val="uk-UA" w:eastAsia="uk-UA"/>
              </w:rPr>
              <w:t>-570,8</w:t>
            </w:r>
          </w:p>
        </w:tc>
        <w:tc>
          <w:tcPr>
            <w:tcW w:w="569" w:type="dxa"/>
            <w:noWrap/>
            <w:hideMark/>
          </w:tcPr>
          <w:p w14:paraId="71BC8853" w14:textId="77777777" w:rsidR="001A2C4E" w:rsidRPr="00034E39" w:rsidRDefault="001A2C4E" w:rsidP="00F17626">
            <w:pPr>
              <w:pStyle w:val="Table"/>
              <w:rPr>
                <w:sz w:val="20"/>
                <w:szCs w:val="20"/>
                <w:lang w:val="uk-UA" w:eastAsia="uk-UA"/>
              </w:rPr>
            </w:pPr>
            <w:r w:rsidRPr="00034E39">
              <w:rPr>
                <w:sz w:val="20"/>
                <w:szCs w:val="20"/>
                <w:lang w:val="uk-UA" w:eastAsia="uk-UA"/>
              </w:rPr>
              <w:t>71,7</w:t>
            </w:r>
          </w:p>
        </w:tc>
        <w:tc>
          <w:tcPr>
            <w:tcW w:w="1363" w:type="dxa"/>
            <w:noWrap/>
            <w:hideMark/>
          </w:tcPr>
          <w:p w14:paraId="68C6C459" w14:textId="77777777" w:rsidR="001A2C4E" w:rsidRPr="00034E39" w:rsidRDefault="001A2C4E" w:rsidP="00F17626">
            <w:pPr>
              <w:pStyle w:val="Table"/>
              <w:rPr>
                <w:sz w:val="20"/>
                <w:szCs w:val="20"/>
                <w:lang w:val="uk-UA" w:eastAsia="uk-UA"/>
              </w:rPr>
            </w:pPr>
            <w:r w:rsidRPr="00034E39">
              <w:rPr>
                <w:sz w:val="20"/>
                <w:szCs w:val="20"/>
                <w:lang w:val="uk-UA" w:eastAsia="uk-UA"/>
              </w:rPr>
              <w:t>9 490,0</w:t>
            </w:r>
          </w:p>
        </w:tc>
        <w:tc>
          <w:tcPr>
            <w:tcW w:w="1067" w:type="dxa"/>
            <w:noWrap/>
            <w:hideMark/>
          </w:tcPr>
          <w:p w14:paraId="2C676F43" w14:textId="77777777" w:rsidR="001A2C4E" w:rsidRPr="00034E39" w:rsidRDefault="001A2C4E" w:rsidP="00F17626">
            <w:pPr>
              <w:pStyle w:val="Table"/>
              <w:rPr>
                <w:sz w:val="20"/>
                <w:szCs w:val="20"/>
                <w:lang w:val="uk-UA" w:eastAsia="uk-UA"/>
              </w:rPr>
            </w:pPr>
            <w:r w:rsidRPr="00034E39">
              <w:rPr>
                <w:sz w:val="20"/>
                <w:szCs w:val="20"/>
                <w:lang w:val="uk-UA" w:eastAsia="uk-UA"/>
              </w:rPr>
              <w:t>-345,2</w:t>
            </w:r>
          </w:p>
        </w:tc>
        <w:tc>
          <w:tcPr>
            <w:tcW w:w="599" w:type="dxa"/>
            <w:noWrap/>
            <w:hideMark/>
          </w:tcPr>
          <w:p w14:paraId="17242A85" w14:textId="77777777" w:rsidR="001A2C4E" w:rsidRPr="00034E39" w:rsidRDefault="001A2C4E" w:rsidP="00F17626">
            <w:pPr>
              <w:pStyle w:val="Table"/>
              <w:rPr>
                <w:sz w:val="20"/>
                <w:szCs w:val="20"/>
                <w:lang w:val="uk-UA" w:eastAsia="uk-UA"/>
              </w:rPr>
            </w:pPr>
            <w:r w:rsidRPr="00034E39">
              <w:rPr>
                <w:sz w:val="20"/>
                <w:szCs w:val="20"/>
                <w:lang w:val="uk-UA" w:eastAsia="uk-UA"/>
              </w:rPr>
              <w:t>28,3</w:t>
            </w:r>
          </w:p>
        </w:tc>
      </w:tr>
      <w:tr w:rsidR="001A2C4E" w:rsidRPr="00034E39" w14:paraId="45B326AA" w14:textId="77777777" w:rsidTr="00F17626">
        <w:trPr>
          <w:trHeight w:val="324"/>
          <w:jc w:val="center"/>
        </w:trPr>
        <w:tc>
          <w:tcPr>
            <w:tcW w:w="676" w:type="dxa"/>
            <w:noWrap/>
            <w:hideMark/>
          </w:tcPr>
          <w:p w14:paraId="02D6EE79"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2026</w:t>
            </w:r>
          </w:p>
        </w:tc>
        <w:tc>
          <w:tcPr>
            <w:tcW w:w="1364" w:type="dxa"/>
            <w:noWrap/>
            <w:hideMark/>
          </w:tcPr>
          <w:p w14:paraId="0A874D3C" w14:textId="77777777" w:rsidR="001A2C4E" w:rsidRPr="00034E39" w:rsidRDefault="001A2C4E" w:rsidP="00F17626">
            <w:pPr>
              <w:pStyle w:val="Table"/>
              <w:rPr>
                <w:sz w:val="20"/>
                <w:szCs w:val="20"/>
                <w:lang w:val="uk-UA" w:eastAsia="uk-UA"/>
              </w:rPr>
            </w:pPr>
            <w:r w:rsidRPr="00034E39">
              <w:rPr>
                <w:sz w:val="20"/>
                <w:szCs w:val="20"/>
                <w:lang w:val="uk-UA" w:eastAsia="uk-UA"/>
              </w:rPr>
              <w:t>32 681,6</w:t>
            </w:r>
          </w:p>
        </w:tc>
        <w:tc>
          <w:tcPr>
            <w:tcW w:w="1045" w:type="dxa"/>
            <w:noWrap/>
            <w:hideMark/>
          </w:tcPr>
          <w:p w14:paraId="03AAAFE6" w14:textId="77777777" w:rsidR="001A2C4E" w:rsidRPr="00034E39" w:rsidRDefault="001A2C4E" w:rsidP="00F17626">
            <w:pPr>
              <w:pStyle w:val="Table"/>
              <w:rPr>
                <w:sz w:val="20"/>
                <w:szCs w:val="20"/>
                <w:lang w:val="uk-UA" w:eastAsia="uk-UA"/>
              </w:rPr>
            </w:pPr>
            <w:r w:rsidRPr="00034E39">
              <w:rPr>
                <w:sz w:val="20"/>
                <w:szCs w:val="20"/>
                <w:lang w:val="uk-UA" w:eastAsia="uk-UA"/>
              </w:rPr>
              <w:t>-893,8</w:t>
            </w:r>
          </w:p>
        </w:tc>
        <w:tc>
          <w:tcPr>
            <w:tcW w:w="1276" w:type="dxa"/>
            <w:hideMark/>
          </w:tcPr>
          <w:p w14:paraId="462ABE65" w14:textId="77777777" w:rsidR="001A2C4E" w:rsidRPr="00034E39" w:rsidRDefault="001A2C4E" w:rsidP="00F17626">
            <w:pPr>
              <w:pStyle w:val="Table"/>
              <w:rPr>
                <w:sz w:val="20"/>
                <w:szCs w:val="20"/>
                <w:lang w:val="uk-UA" w:eastAsia="uk-UA"/>
              </w:rPr>
            </w:pPr>
            <w:r w:rsidRPr="00034E39">
              <w:rPr>
                <w:sz w:val="20"/>
                <w:szCs w:val="20"/>
                <w:lang w:val="uk-UA" w:eastAsia="uk-UA"/>
              </w:rPr>
              <w:t>79,4%</w:t>
            </w:r>
          </w:p>
        </w:tc>
        <w:tc>
          <w:tcPr>
            <w:tcW w:w="1363" w:type="dxa"/>
            <w:noWrap/>
            <w:hideMark/>
          </w:tcPr>
          <w:p w14:paraId="70D70DF2" w14:textId="77777777" w:rsidR="001A2C4E" w:rsidRPr="00034E39" w:rsidRDefault="001A2C4E" w:rsidP="00F17626">
            <w:pPr>
              <w:pStyle w:val="Table"/>
              <w:rPr>
                <w:sz w:val="20"/>
                <w:szCs w:val="20"/>
                <w:lang w:val="uk-UA" w:eastAsia="uk-UA"/>
              </w:rPr>
            </w:pPr>
            <w:r w:rsidRPr="00034E39">
              <w:rPr>
                <w:sz w:val="20"/>
                <w:szCs w:val="20"/>
                <w:lang w:val="uk-UA" w:eastAsia="uk-UA"/>
              </w:rPr>
              <w:t>23 526,2</w:t>
            </w:r>
          </w:p>
        </w:tc>
        <w:tc>
          <w:tcPr>
            <w:tcW w:w="1045" w:type="dxa"/>
            <w:noWrap/>
            <w:hideMark/>
          </w:tcPr>
          <w:p w14:paraId="053EED63" w14:textId="77777777" w:rsidR="001A2C4E" w:rsidRPr="00034E39" w:rsidRDefault="001A2C4E" w:rsidP="00F17626">
            <w:pPr>
              <w:pStyle w:val="Table"/>
              <w:rPr>
                <w:sz w:val="20"/>
                <w:szCs w:val="20"/>
                <w:lang w:val="uk-UA" w:eastAsia="uk-UA"/>
              </w:rPr>
            </w:pPr>
            <w:r w:rsidRPr="00034E39">
              <w:rPr>
                <w:sz w:val="20"/>
                <w:szCs w:val="20"/>
                <w:lang w:val="uk-UA" w:eastAsia="uk-UA"/>
              </w:rPr>
              <w:t>-559,1</w:t>
            </w:r>
          </w:p>
        </w:tc>
        <w:tc>
          <w:tcPr>
            <w:tcW w:w="569" w:type="dxa"/>
            <w:noWrap/>
            <w:hideMark/>
          </w:tcPr>
          <w:p w14:paraId="5A2594CD" w14:textId="77777777" w:rsidR="001A2C4E" w:rsidRPr="00034E39" w:rsidRDefault="001A2C4E" w:rsidP="00F17626">
            <w:pPr>
              <w:pStyle w:val="Table"/>
              <w:rPr>
                <w:sz w:val="20"/>
                <w:szCs w:val="20"/>
                <w:lang w:val="uk-UA" w:eastAsia="uk-UA"/>
              </w:rPr>
            </w:pPr>
            <w:r w:rsidRPr="00034E39">
              <w:rPr>
                <w:sz w:val="20"/>
                <w:szCs w:val="20"/>
                <w:lang w:val="uk-UA" w:eastAsia="uk-UA"/>
              </w:rPr>
              <w:t>72,0</w:t>
            </w:r>
          </w:p>
        </w:tc>
        <w:tc>
          <w:tcPr>
            <w:tcW w:w="1363" w:type="dxa"/>
            <w:noWrap/>
            <w:hideMark/>
          </w:tcPr>
          <w:p w14:paraId="6ECA7242" w14:textId="77777777" w:rsidR="001A2C4E" w:rsidRPr="00034E39" w:rsidRDefault="001A2C4E" w:rsidP="00F17626">
            <w:pPr>
              <w:pStyle w:val="Table"/>
              <w:rPr>
                <w:sz w:val="20"/>
                <w:szCs w:val="20"/>
                <w:lang w:val="uk-UA" w:eastAsia="uk-UA"/>
              </w:rPr>
            </w:pPr>
            <w:r w:rsidRPr="00034E39">
              <w:rPr>
                <w:sz w:val="20"/>
                <w:szCs w:val="20"/>
                <w:lang w:val="uk-UA" w:eastAsia="uk-UA"/>
              </w:rPr>
              <w:t>9 155,4</w:t>
            </w:r>
          </w:p>
        </w:tc>
        <w:tc>
          <w:tcPr>
            <w:tcW w:w="1067" w:type="dxa"/>
            <w:noWrap/>
            <w:hideMark/>
          </w:tcPr>
          <w:p w14:paraId="678E3C7E" w14:textId="77777777" w:rsidR="001A2C4E" w:rsidRPr="00034E39" w:rsidRDefault="001A2C4E" w:rsidP="00F17626">
            <w:pPr>
              <w:pStyle w:val="Table"/>
              <w:rPr>
                <w:sz w:val="20"/>
                <w:szCs w:val="20"/>
                <w:lang w:val="uk-UA" w:eastAsia="uk-UA"/>
              </w:rPr>
            </w:pPr>
            <w:r w:rsidRPr="00034E39">
              <w:rPr>
                <w:sz w:val="20"/>
                <w:szCs w:val="20"/>
                <w:lang w:val="uk-UA" w:eastAsia="uk-UA"/>
              </w:rPr>
              <w:t>-334,7</w:t>
            </w:r>
          </w:p>
        </w:tc>
        <w:tc>
          <w:tcPr>
            <w:tcW w:w="599" w:type="dxa"/>
            <w:noWrap/>
            <w:hideMark/>
          </w:tcPr>
          <w:p w14:paraId="56B3AAFA" w14:textId="77777777" w:rsidR="001A2C4E" w:rsidRPr="00034E39" w:rsidRDefault="001A2C4E" w:rsidP="00F17626">
            <w:pPr>
              <w:pStyle w:val="Table"/>
              <w:rPr>
                <w:sz w:val="20"/>
                <w:szCs w:val="20"/>
                <w:lang w:val="uk-UA" w:eastAsia="uk-UA"/>
              </w:rPr>
            </w:pPr>
            <w:r w:rsidRPr="00034E39">
              <w:rPr>
                <w:sz w:val="20"/>
                <w:szCs w:val="20"/>
                <w:lang w:val="uk-UA" w:eastAsia="uk-UA"/>
              </w:rPr>
              <w:t>28,0</w:t>
            </w:r>
          </w:p>
        </w:tc>
      </w:tr>
      <w:tr w:rsidR="001A2C4E" w:rsidRPr="00034E39" w14:paraId="5DE2FEC1" w14:textId="77777777" w:rsidTr="00F17626">
        <w:trPr>
          <w:trHeight w:val="324"/>
          <w:jc w:val="center"/>
        </w:trPr>
        <w:tc>
          <w:tcPr>
            <w:tcW w:w="676" w:type="dxa"/>
            <w:noWrap/>
            <w:hideMark/>
          </w:tcPr>
          <w:p w14:paraId="04DF2C8A"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2027</w:t>
            </w:r>
          </w:p>
        </w:tc>
        <w:tc>
          <w:tcPr>
            <w:tcW w:w="1364" w:type="dxa"/>
            <w:noWrap/>
            <w:hideMark/>
          </w:tcPr>
          <w:p w14:paraId="00BC6960" w14:textId="77777777" w:rsidR="001A2C4E" w:rsidRPr="00034E39" w:rsidRDefault="001A2C4E" w:rsidP="00F17626">
            <w:pPr>
              <w:pStyle w:val="Table"/>
              <w:rPr>
                <w:sz w:val="20"/>
                <w:szCs w:val="20"/>
                <w:lang w:val="uk-UA" w:eastAsia="uk-UA"/>
              </w:rPr>
            </w:pPr>
            <w:r w:rsidRPr="00034E39">
              <w:rPr>
                <w:sz w:val="20"/>
                <w:szCs w:val="20"/>
                <w:lang w:val="uk-UA" w:eastAsia="uk-UA"/>
              </w:rPr>
              <w:t>31 809,8</w:t>
            </w:r>
          </w:p>
        </w:tc>
        <w:tc>
          <w:tcPr>
            <w:tcW w:w="1045" w:type="dxa"/>
            <w:noWrap/>
            <w:hideMark/>
          </w:tcPr>
          <w:p w14:paraId="5723470A" w14:textId="77777777" w:rsidR="001A2C4E" w:rsidRPr="00034E39" w:rsidRDefault="001A2C4E" w:rsidP="00F17626">
            <w:pPr>
              <w:pStyle w:val="Table"/>
              <w:rPr>
                <w:sz w:val="20"/>
                <w:szCs w:val="20"/>
                <w:lang w:val="uk-UA" w:eastAsia="uk-UA"/>
              </w:rPr>
            </w:pPr>
            <w:r w:rsidRPr="00034E39">
              <w:rPr>
                <w:sz w:val="20"/>
                <w:szCs w:val="20"/>
                <w:lang w:val="uk-UA" w:eastAsia="uk-UA"/>
              </w:rPr>
              <w:t>-871,8</w:t>
            </w:r>
          </w:p>
        </w:tc>
        <w:tc>
          <w:tcPr>
            <w:tcW w:w="1276" w:type="dxa"/>
            <w:hideMark/>
          </w:tcPr>
          <w:p w14:paraId="7F692931" w14:textId="77777777" w:rsidR="001A2C4E" w:rsidRPr="00034E39" w:rsidRDefault="001A2C4E" w:rsidP="00F17626">
            <w:pPr>
              <w:pStyle w:val="Table"/>
              <w:rPr>
                <w:sz w:val="20"/>
                <w:szCs w:val="20"/>
                <w:lang w:val="uk-UA" w:eastAsia="uk-UA"/>
              </w:rPr>
            </w:pPr>
            <w:r w:rsidRPr="00034E39">
              <w:rPr>
                <w:sz w:val="20"/>
                <w:szCs w:val="20"/>
                <w:lang w:val="uk-UA" w:eastAsia="uk-UA"/>
              </w:rPr>
              <w:t>77,3%</w:t>
            </w:r>
          </w:p>
        </w:tc>
        <w:tc>
          <w:tcPr>
            <w:tcW w:w="1363" w:type="dxa"/>
            <w:noWrap/>
            <w:hideMark/>
          </w:tcPr>
          <w:p w14:paraId="005E2AF3" w14:textId="77777777" w:rsidR="001A2C4E" w:rsidRPr="00034E39" w:rsidRDefault="001A2C4E" w:rsidP="00F17626">
            <w:pPr>
              <w:pStyle w:val="Table"/>
              <w:rPr>
                <w:sz w:val="20"/>
                <w:szCs w:val="20"/>
                <w:lang w:val="uk-UA" w:eastAsia="uk-UA"/>
              </w:rPr>
            </w:pPr>
            <w:r w:rsidRPr="00034E39">
              <w:rPr>
                <w:sz w:val="20"/>
                <w:szCs w:val="20"/>
                <w:lang w:val="uk-UA" w:eastAsia="uk-UA"/>
              </w:rPr>
              <w:t>22 978,8</w:t>
            </w:r>
          </w:p>
        </w:tc>
        <w:tc>
          <w:tcPr>
            <w:tcW w:w="1045" w:type="dxa"/>
            <w:noWrap/>
            <w:hideMark/>
          </w:tcPr>
          <w:p w14:paraId="37A2605A" w14:textId="77777777" w:rsidR="001A2C4E" w:rsidRPr="00034E39" w:rsidRDefault="001A2C4E" w:rsidP="00F17626">
            <w:pPr>
              <w:pStyle w:val="Table"/>
              <w:rPr>
                <w:sz w:val="20"/>
                <w:szCs w:val="20"/>
                <w:lang w:val="uk-UA" w:eastAsia="uk-UA"/>
              </w:rPr>
            </w:pPr>
            <w:r w:rsidRPr="00034E39">
              <w:rPr>
                <w:sz w:val="20"/>
                <w:szCs w:val="20"/>
                <w:lang w:val="uk-UA" w:eastAsia="uk-UA"/>
              </w:rPr>
              <w:t>-547,4</w:t>
            </w:r>
          </w:p>
        </w:tc>
        <w:tc>
          <w:tcPr>
            <w:tcW w:w="569" w:type="dxa"/>
            <w:noWrap/>
            <w:hideMark/>
          </w:tcPr>
          <w:p w14:paraId="6B573FC0" w14:textId="77777777" w:rsidR="001A2C4E" w:rsidRPr="00034E39" w:rsidRDefault="001A2C4E" w:rsidP="00F17626">
            <w:pPr>
              <w:pStyle w:val="Table"/>
              <w:rPr>
                <w:sz w:val="20"/>
                <w:szCs w:val="20"/>
                <w:lang w:val="uk-UA" w:eastAsia="uk-UA"/>
              </w:rPr>
            </w:pPr>
            <w:r w:rsidRPr="00034E39">
              <w:rPr>
                <w:sz w:val="20"/>
                <w:szCs w:val="20"/>
                <w:lang w:val="uk-UA" w:eastAsia="uk-UA"/>
              </w:rPr>
              <w:t>72,2</w:t>
            </w:r>
          </w:p>
        </w:tc>
        <w:tc>
          <w:tcPr>
            <w:tcW w:w="1363" w:type="dxa"/>
            <w:noWrap/>
            <w:hideMark/>
          </w:tcPr>
          <w:p w14:paraId="0D3595ED" w14:textId="77777777" w:rsidR="001A2C4E" w:rsidRPr="00034E39" w:rsidRDefault="001A2C4E" w:rsidP="00F17626">
            <w:pPr>
              <w:pStyle w:val="Table"/>
              <w:rPr>
                <w:sz w:val="20"/>
                <w:szCs w:val="20"/>
                <w:lang w:val="uk-UA" w:eastAsia="uk-UA"/>
              </w:rPr>
            </w:pPr>
            <w:r w:rsidRPr="00034E39">
              <w:rPr>
                <w:sz w:val="20"/>
                <w:szCs w:val="20"/>
                <w:lang w:val="uk-UA" w:eastAsia="uk-UA"/>
              </w:rPr>
              <w:t>8 831,0</w:t>
            </w:r>
          </w:p>
        </w:tc>
        <w:tc>
          <w:tcPr>
            <w:tcW w:w="1067" w:type="dxa"/>
            <w:noWrap/>
            <w:hideMark/>
          </w:tcPr>
          <w:p w14:paraId="5BC54B3C" w14:textId="77777777" w:rsidR="001A2C4E" w:rsidRPr="00034E39" w:rsidRDefault="001A2C4E" w:rsidP="00F17626">
            <w:pPr>
              <w:pStyle w:val="Table"/>
              <w:rPr>
                <w:sz w:val="20"/>
                <w:szCs w:val="20"/>
                <w:lang w:val="uk-UA" w:eastAsia="uk-UA"/>
              </w:rPr>
            </w:pPr>
            <w:r w:rsidRPr="00034E39">
              <w:rPr>
                <w:sz w:val="20"/>
                <w:szCs w:val="20"/>
                <w:lang w:val="uk-UA" w:eastAsia="uk-UA"/>
              </w:rPr>
              <w:t>-324,4</w:t>
            </w:r>
          </w:p>
        </w:tc>
        <w:tc>
          <w:tcPr>
            <w:tcW w:w="599" w:type="dxa"/>
            <w:noWrap/>
            <w:hideMark/>
          </w:tcPr>
          <w:p w14:paraId="3AE42818" w14:textId="77777777" w:rsidR="001A2C4E" w:rsidRPr="00034E39" w:rsidRDefault="001A2C4E" w:rsidP="00F17626">
            <w:pPr>
              <w:pStyle w:val="Table"/>
              <w:rPr>
                <w:sz w:val="20"/>
                <w:szCs w:val="20"/>
                <w:lang w:val="uk-UA" w:eastAsia="uk-UA"/>
              </w:rPr>
            </w:pPr>
            <w:r w:rsidRPr="00034E39">
              <w:rPr>
                <w:sz w:val="20"/>
                <w:szCs w:val="20"/>
                <w:lang w:val="uk-UA" w:eastAsia="uk-UA"/>
              </w:rPr>
              <w:t>27,8</w:t>
            </w:r>
          </w:p>
        </w:tc>
      </w:tr>
      <w:tr w:rsidR="001A2C4E" w:rsidRPr="00034E39" w14:paraId="4474EFAE" w14:textId="77777777" w:rsidTr="00F17626">
        <w:trPr>
          <w:trHeight w:val="324"/>
          <w:jc w:val="center"/>
        </w:trPr>
        <w:tc>
          <w:tcPr>
            <w:tcW w:w="676" w:type="dxa"/>
            <w:noWrap/>
            <w:hideMark/>
          </w:tcPr>
          <w:p w14:paraId="68540A60"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2028</w:t>
            </w:r>
          </w:p>
        </w:tc>
        <w:tc>
          <w:tcPr>
            <w:tcW w:w="1364" w:type="dxa"/>
            <w:noWrap/>
            <w:hideMark/>
          </w:tcPr>
          <w:p w14:paraId="7B1F0406" w14:textId="77777777" w:rsidR="001A2C4E" w:rsidRPr="00034E39" w:rsidRDefault="001A2C4E" w:rsidP="00F17626">
            <w:pPr>
              <w:pStyle w:val="Table"/>
              <w:rPr>
                <w:sz w:val="20"/>
                <w:szCs w:val="20"/>
                <w:lang w:val="uk-UA" w:eastAsia="uk-UA"/>
              </w:rPr>
            </w:pPr>
            <w:r w:rsidRPr="00034E39">
              <w:rPr>
                <w:sz w:val="20"/>
                <w:szCs w:val="20"/>
                <w:lang w:val="uk-UA" w:eastAsia="uk-UA"/>
              </w:rPr>
              <w:t>30 959,6</w:t>
            </w:r>
          </w:p>
        </w:tc>
        <w:tc>
          <w:tcPr>
            <w:tcW w:w="1045" w:type="dxa"/>
            <w:noWrap/>
            <w:hideMark/>
          </w:tcPr>
          <w:p w14:paraId="6FEA63BF" w14:textId="77777777" w:rsidR="001A2C4E" w:rsidRPr="00034E39" w:rsidRDefault="001A2C4E" w:rsidP="00F17626">
            <w:pPr>
              <w:pStyle w:val="Table"/>
              <w:rPr>
                <w:sz w:val="20"/>
                <w:szCs w:val="20"/>
                <w:lang w:val="uk-UA" w:eastAsia="uk-UA"/>
              </w:rPr>
            </w:pPr>
            <w:r w:rsidRPr="00034E39">
              <w:rPr>
                <w:sz w:val="20"/>
                <w:szCs w:val="20"/>
                <w:lang w:val="uk-UA" w:eastAsia="uk-UA"/>
              </w:rPr>
              <w:t>-850,2</w:t>
            </w:r>
          </w:p>
        </w:tc>
        <w:tc>
          <w:tcPr>
            <w:tcW w:w="1276" w:type="dxa"/>
            <w:hideMark/>
          </w:tcPr>
          <w:p w14:paraId="0E01831C" w14:textId="77777777" w:rsidR="001A2C4E" w:rsidRPr="00034E39" w:rsidRDefault="001A2C4E" w:rsidP="00F17626">
            <w:pPr>
              <w:pStyle w:val="Table"/>
              <w:rPr>
                <w:sz w:val="20"/>
                <w:szCs w:val="20"/>
                <w:lang w:val="uk-UA" w:eastAsia="uk-UA"/>
              </w:rPr>
            </w:pPr>
            <w:r w:rsidRPr="00034E39">
              <w:rPr>
                <w:sz w:val="20"/>
                <w:szCs w:val="20"/>
                <w:lang w:val="uk-UA" w:eastAsia="uk-UA"/>
              </w:rPr>
              <w:t>75,2%</w:t>
            </w:r>
          </w:p>
        </w:tc>
        <w:tc>
          <w:tcPr>
            <w:tcW w:w="1363" w:type="dxa"/>
            <w:noWrap/>
            <w:hideMark/>
          </w:tcPr>
          <w:p w14:paraId="6B0F923A" w14:textId="77777777" w:rsidR="001A2C4E" w:rsidRPr="00034E39" w:rsidRDefault="001A2C4E" w:rsidP="00F17626">
            <w:pPr>
              <w:pStyle w:val="Table"/>
              <w:rPr>
                <w:sz w:val="20"/>
                <w:szCs w:val="20"/>
                <w:lang w:val="uk-UA" w:eastAsia="uk-UA"/>
              </w:rPr>
            </w:pPr>
            <w:r w:rsidRPr="00034E39">
              <w:rPr>
                <w:sz w:val="20"/>
                <w:szCs w:val="20"/>
                <w:lang w:val="uk-UA" w:eastAsia="uk-UA"/>
              </w:rPr>
              <w:t>22 442,9</w:t>
            </w:r>
          </w:p>
        </w:tc>
        <w:tc>
          <w:tcPr>
            <w:tcW w:w="1045" w:type="dxa"/>
            <w:noWrap/>
            <w:hideMark/>
          </w:tcPr>
          <w:p w14:paraId="4F6998BB" w14:textId="77777777" w:rsidR="001A2C4E" w:rsidRPr="00034E39" w:rsidRDefault="001A2C4E" w:rsidP="00F17626">
            <w:pPr>
              <w:pStyle w:val="Table"/>
              <w:rPr>
                <w:sz w:val="20"/>
                <w:szCs w:val="20"/>
                <w:lang w:val="uk-UA" w:eastAsia="uk-UA"/>
              </w:rPr>
            </w:pPr>
            <w:r w:rsidRPr="00034E39">
              <w:rPr>
                <w:sz w:val="20"/>
                <w:szCs w:val="20"/>
                <w:lang w:val="uk-UA" w:eastAsia="uk-UA"/>
              </w:rPr>
              <w:t>-535,9</w:t>
            </w:r>
          </w:p>
        </w:tc>
        <w:tc>
          <w:tcPr>
            <w:tcW w:w="569" w:type="dxa"/>
            <w:noWrap/>
            <w:hideMark/>
          </w:tcPr>
          <w:p w14:paraId="211519DF" w14:textId="77777777" w:rsidR="001A2C4E" w:rsidRPr="00034E39" w:rsidRDefault="001A2C4E" w:rsidP="00F17626">
            <w:pPr>
              <w:pStyle w:val="Table"/>
              <w:rPr>
                <w:sz w:val="20"/>
                <w:szCs w:val="20"/>
                <w:lang w:val="uk-UA" w:eastAsia="uk-UA"/>
              </w:rPr>
            </w:pPr>
            <w:r w:rsidRPr="00034E39">
              <w:rPr>
                <w:sz w:val="20"/>
                <w:szCs w:val="20"/>
                <w:lang w:val="uk-UA" w:eastAsia="uk-UA"/>
              </w:rPr>
              <w:t>72,5</w:t>
            </w:r>
          </w:p>
        </w:tc>
        <w:tc>
          <w:tcPr>
            <w:tcW w:w="1363" w:type="dxa"/>
            <w:noWrap/>
            <w:hideMark/>
          </w:tcPr>
          <w:p w14:paraId="418E54FB" w14:textId="77777777" w:rsidR="001A2C4E" w:rsidRPr="00034E39" w:rsidRDefault="001A2C4E" w:rsidP="00F17626">
            <w:pPr>
              <w:pStyle w:val="Table"/>
              <w:rPr>
                <w:sz w:val="20"/>
                <w:szCs w:val="20"/>
                <w:lang w:val="uk-UA" w:eastAsia="uk-UA"/>
              </w:rPr>
            </w:pPr>
            <w:r w:rsidRPr="00034E39">
              <w:rPr>
                <w:sz w:val="20"/>
                <w:szCs w:val="20"/>
                <w:lang w:val="uk-UA" w:eastAsia="uk-UA"/>
              </w:rPr>
              <w:t>8 516,7</w:t>
            </w:r>
          </w:p>
        </w:tc>
        <w:tc>
          <w:tcPr>
            <w:tcW w:w="1067" w:type="dxa"/>
            <w:noWrap/>
            <w:hideMark/>
          </w:tcPr>
          <w:p w14:paraId="0C5EFA47" w14:textId="77777777" w:rsidR="001A2C4E" w:rsidRPr="00034E39" w:rsidRDefault="001A2C4E" w:rsidP="00F17626">
            <w:pPr>
              <w:pStyle w:val="Table"/>
              <w:rPr>
                <w:sz w:val="20"/>
                <w:szCs w:val="20"/>
                <w:lang w:val="uk-UA" w:eastAsia="uk-UA"/>
              </w:rPr>
            </w:pPr>
            <w:r w:rsidRPr="00034E39">
              <w:rPr>
                <w:sz w:val="20"/>
                <w:szCs w:val="20"/>
                <w:lang w:val="uk-UA" w:eastAsia="uk-UA"/>
              </w:rPr>
              <w:t>-314,3</w:t>
            </w:r>
          </w:p>
        </w:tc>
        <w:tc>
          <w:tcPr>
            <w:tcW w:w="599" w:type="dxa"/>
            <w:noWrap/>
            <w:hideMark/>
          </w:tcPr>
          <w:p w14:paraId="32B42825" w14:textId="77777777" w:rsidR="001A2C4E" w:rsidRPr="00034E39" w:rsidRDefault="001A2C4E" w:rsidP="00F17626">
            <w:pPr>
              <w:pStyle w:val="Table"/>
              <w:rPr>
                <w:sz w:val="20"/>
                <w:szCs w:val="20"/>
                <w:lang w:val="uk-UA" w:eastAsia="uk-UA"/>
              </w:rPr>
            </w:pPr>
            <w:r w:rsidRPr="00034E39">
              <w:rPr>
                <w:sz w:val="20"/>
                <w:szCs w:val="20"/>
                <w:lang w:val="uk-UA" w:eastAsia="uk-UA"/>
              </w:rPr>
              <w:t>27,5</w:t>
            </w:r>
          </w:p>
        </w:tc>
      </w:tr>
      <w:tr w:rsidR="001A2C4E" w:rsidRPr="00034E39" w14:paraId="1BB7A6BA" w14:textId="77777777" w:rsidTr="00F17626">
        <w:trPr>
          <w:trHeight w:val="324"/>
          <w:jc w:val="center"/>
        </w:trPr>
        <w:tc>
          <w:tcPr>
            <w:tcW w:w="676" w:type="dxa"/>
            <w:noWrap/>
            <w:hideMark/>
          </w:tcPr>
          <w:p w14:paraId="551BB0B0"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2029</w:t>
            </w:r>
          </w:p>
        </w:tc>
        <w:tc>
          <w:tcPr>
            <w:tcW w:w="1364" w:type="dxa"/>
            <w:noWrap/>
            <w:hideMark/>
          </w:tcPr>
          <w:p w14:paraId="22563EE9" w14:textId="77777777" w:rsidR="001A2C4E" w:rsidRPr="00034E39" w:rsidRDefault="001A2C4E" w:rsidP="00F17626">
            <w:pPr>
              <w:pStyle w:val="Table"/>
              <w:rPr>
                <w:sz w:val="20"/>
                <w:szCs w:val="20"/>
                <w:lang w:val="uk-UA" w:eastAsia="uk-UA"/>
              </w:rPr>
            </w:pPr>
            <w:r w:rsidRPr="00034E39">
              <w:rPr>
                <w:sz w:val="20"/>
                <w:szCs w:val="20"/>
                <w:lang w:val="uk-UA" w:eastAsia="uk-UA"/>
              </w:rPr>
              <w:t>30 130,6</w:t>
            </w:r>
          </w:p>
        </w:tc>
        <w:tc>
          <w:tcPr>
            <w:tcW w:w="1045" w:type="dxa"/>
            <w:noWrap/>
            <w:hideMark/>
          </w:tcPr>
          <w:p w14:paraId="61B8247E" w14:textId="77777777" w:rsidR="001A2C4E" w:rsidRPr="00034E39" w:rsidRDefault="001A2C4E" w:rsidP="00F17626">
            <w:pPr>
              <w:pStyle w:val="Table"/>
              <w:rPr>
                <w:sz w:val="20"/>
                <w:szCs w:val="20"/>
                <w:lang w:val="uk-UA" w:eastAsia="uk-UA"/>
              </w:rPr>
            </w:pPr>
            <w:r w:rsidRPr="00034E39">
              <w:rPr>
                <w:sz w:val="20"/>
                <w:szCs w:val="20"/>
                <w:lang w:val="uk-UA" w:eastAsia="uk-UA"/>
              </w:rPr>
              <w:t>-829,0</w:t>
            </w:r>
          </w:p>
        </w:tc>
        <w:tc>
          <w:tcPr>
            <w:tcW w:w="1276" w:type="dxa"/>
            <w:hideMark/>
          </w:tcPr>
          <w:p w14:paraId="705CEA49" w14:textId="77777777" w:rsidR="001A2C4E" w:rsidRPr="00034E39" w:rsidRDefault="001A2C4E" w:rsidP="00F17626">
            <w:pPr>
              <w:pStyle w:val="Table"/>
              <w:rPr>
                <w:sz w:val="20"/>
                <w:szCs w:val="20"/>
                <w:lang w:val="uk-UA" w:eastAsia="uk-UA"/>
              </w:rPr>
            </w:pPr>
            <w:r w:rsidRPr="00034E39">
              <w:rPr>
                <w:sz w:val="20"/>
                <w:szCs w:val="20"/>
                <w:lang w:val="uk-UA" w:eastAsia="uk-UA"/>
              </w:rPr>
              <w:t>73,2%</w:t>
            </w:r>
          </w:p>
        </w:tc>
        <w:tc>
          <w:tcPr>
            <w:tcW w:w="1363" w:type="dxa"/>
            <w:noWrap/>
            <w:hideMark/>
          </w:tcPr>
          <w:p w14:paraId="3794DDAB" w14:textId="77777777" w:rsidR="001A2C4E" w:rsidRPr="00034E39" w:rsidRDefault="001A2C4E" w:rsidP="00F17626">
            <w:pPr>
              <w:pStyle w:val="Table"/>
              <w:rPr>
                <w:sz w:val="20"/>
                <w:szCs w:val="20"/>
                <w:lang w:val="uk-UA" w:eastAsia="uk-UA"/>
              </w:rPr>
            </w:pPr>
            <w:r w:rsidRPr="00034E39">
              <w:rPr>
                <w:sz w:val="20"/>
                <w:szCs w:val="20"/>
                <w:lang w:val="uk-UA" w:eastAsia="uk-UA"/>
              </w:rPr>
              <w:t>21 918,4</w:t>
            </w:r>
          </w:p>
        </w:tc>
        <w:tc>
          <w:tcPr>
            <w:tcW w:w="1045" w:type="dxa"/>
            <w:noWrap/>
            <w:hideMark/>
          </w:tcPr>
          <w:p w14:paraId="6508B95E" w14:textId="77777777" w:rsidR="001A2C4E" w:rsidRPr="00034E39" w:rsidRDefault="001A2C4E" w:rsidP="00F17626">
            <w:pPr>
              <w:pStyle w:val="Table"/>
              <w:rPr>
                <w:sz w:val="20"/>
                <w:szCs w:val="20"/>
                <w:lang w:val="uk-UA" w:eastAsia="uk-UA"/>
              </w:rPr>
            </w:pPr>
            <w:r w:rsidRPr="00034E39">
              <w:rPr>
                <w:sz w:val="20"/>
                <w:szCs w:val="20"/>
                <w:lang w:val="uk-UA" w:eastAsia="uk-UA"/>
              </w:rPr>
              <w:t>-524,5</w:t>
            </w:r>
          </w:p>
        </w:tc>
        <w:tc>
          <w:tcPr>
            <w:tcW w:w="569" w:type="dxa"/>
            <w:noWrap/>
            <w:hideMark/>
          </w:tcPr>
          <w:p w14:paraId="1ABC3998" w14:textId="77777777" w:rsidR="001A2C4E" w:rsidRPr="00034E39" w:rsidRDefault="001A2C4E" w:rsidP="00F17626">
            <w:pPr>
              <w:pStyle w:val="Table"/>
              <w:rPr>
                <w:sz w:val="20"/>
                <w:szCs w:val="20"/>
                <w:lang w:val="uk-UA" w:eastAsia="uk-UA"/>
              </w:rPr>
            </w:pPr>
            <w:r w:rsidRPr="00034E39">
              <w:rPr>
                <w:sz w:val="20"/>
                <w:szCs w:val="20"/>
                <w:lang w:val="uk-UA" w:eastAsia="uk-UA"/>
              </w:rPr>
              <w:t>72,7</w:t>
            </w:r>
          </w:p>
        </w:tc>
        <w:tc>
          <w:tcPr>
            <w:tcW w:w="1363" w:type="dxa"/>
            <w:noWrap/>
            <w:hideMark/>
          </w:tcPr>
          <w:p w14:paraId="41FA4C05" w14:textId="77777777" w:rsidR="001A2C4E" w:rsidRPr="00034E39" w:rsidRDefault="001A2C4E" w:rsidP="00F17626">
            <w:pPr>
              <w:pStyle w:val="Table"/>
              <w:rPr>
                <w:sz w:val="20"/>
                <w:szCs w:val="20"/>
                <w:lang w:val="uk-UA" w:eastAsia="uk-UA"/>
              </w:rPr>
            </w:pPr>
            <w:r w:rsidRPr="00034E39">
              <w:rPr>
                <w:sz w:val="20"/>
                <w:szCs w:val="20"/>
                <w:lang w:val="uk-UA" w:eastAsia="uk-UA"/>
              </w:rPr>
              <w:t>8 212,2</w:t>
            </w:r>
          </w:p>
        </w:tc>
        <w:tc>
          <w:tcPr>
            <w:tcW w:w="1067" w:type="dxa"/>
            <w:noWrap/>
            <w:hideMark/>
          </w:tcPr>
          <w:p w14:paraId="3A432074" w14:textId="77777777" w:rsidR="001A2C4E" w:rsidRPr="00034E39" w:rsidRDefault="001A2C4E" w:rsidP="00F17626">
            <w:pPr>
              <w:pStyle w:val="Table"/>
              <w:rPr>
                <w:sz w:val="20"/>
                <w:szCs w:val="20"/>
                <w:lang w:val="uk-UA" w:eastAsia="uk-UA"/>
              </w:rPr>
            </w:pPr>
            <w:r w:rsidRPr="00034E39">
              <w:rPr>
                <w:sz w:val="20"/>
                <w:szCs w:val="20"/>
                <w:lang w:val="uk-UA" w:eastAsia="uk-UA"/>
              </w:rPr>
              <w:t>-304,5</w:t>
            </w:r>
          </w:p>
        </w:tc>
        <w:tc>
          <w:tcPr>
            <w:tcW w:w="599" w:type="dxa"/>
            <w:noWrap/>
            <w:hideMark/>
          </w:tcPr>
          <w:p w14:paraId="3C40C44E" w14:textId="77777777" w:rsidR="001A2C4E" w:rsidRPr="00034E39" w:rsidRDefault="001A2C4E" w:rsidP="00F17626">
            <w:pPr>
              <w:pStyle w:val="Table"/>
              <w:rPr>
                <w:sz w:val="20"/>
                <w:szCs w:val="20"/>
                <w:lang w:val="uk-UA" w:eastAsia="uk-UA"/>
              </w:rPr>
            </w:pPr>
            <w:r w:rsidRPr="00034E39">
              <w:rPr>
                <w:sz w:val="20"/>
                <w:szCs w:val="20"/>
                <w:lang w:val="uk-UA" w:eastAsia="uk-UA"/>
              </w:rPr>
              <w:t>27,3</w:t>
            </w:r>
          </w:p>
        </w:tc>
      </w:tr>
      <w:tr w:rsidR="001A2C4E" w:rsidRPr="00034E39" w14:paraId="46A72A8D" w14:textId="77777777" w:rsidTr="00F17626">
        <w:trPr>
          <w:trHeight w:val="324"/>
          <w:jc w:val="center"/>
        </w:trPr>
        <w:tc>
          <w:tcPr>
            <w:tcW w:w="676" w:type="dxa"/>
            <w:noWrap/>
            <w:hideMark/>
          </w:tcPr>
          <w:p w14:paraId="6F83DE7F"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2030</w:t>
            </w:r>
          </w:p>
        </w:tc>
        <w:tc>
          <w:tcPr>
            <w:tcW w:w="1364" w:type="dxa"/>
            <w:noWrap/>
            <w:hideMark/>
          </w:tcPr>
          <w:p w14:paraId="30FB9F6E" w14:textId="77777777" w:rsidR="001A2C4E" w:rsidRPr="00034E39" w:rsidRDefault="001A2C4E" w:rsidP="00F17626">
            <w:pPr>
              <w:pStyle w:val="Table"/>
              <w:rPr>
                <w:sz w:val="20"/>
                <w:szCs w:val="20"/>
                <w:lang w:val="uk-UA" w:eastAsia="uk-UA"/>
              </w:rPr>
            </w:pPr>
            <w:r w:rsidRPr="00034E39">
              <w:rPr>
                <w:sz w:val="20"/>
                <w:szCs w:val="20"/>
                <w:lang w:val="uk-UA" w:eastAsia="uk-UA"/>
              </w:rPr>
              <w:t>29 322,4</w:t>
            </w:r>
          </w:p>
        </w:tc>
        <w:tc>
          <w:tcPr>
            <w:tcW w:w="1045" w:type="dxa"/>
            <w:noWrap/>
            <w:hideMark/>
          </w:tcPr>
          <w:p w14:paraId="40200B03" w14:textId="77777777" w:rsidR="001A2C4E" w:rsidRPr="00034E39" w:rsidRDefault="001A2C4E" w:rsidP="00F17626">
            <w:pPr>
              <w:pStyle w:val="Table"/>
              <w:rPr>
                <w:sz w:val="20"/>
                <w:szCs w:val="20"/>
                <w:lang w:val="uk-UA" w:eastAsia="uk-UA"/>
              </w:rPr>
            </w:pPr>
            <w:r w:rsidRPr="00034E39">
              <w:rPr>
                <w:sz w:val="20"/>
                <w:szCs w:val="20"/>
                <w:lang w:val="uk-UA" w:eastAsia="uk-UA"/>
              </w:rPr>
              <w:t>-808,2</w:t>
            </w:r>
          </w:p>
        </w:tc>
        <w:tc>
          <w:tcPr>
            <w:tcW w:w="1276" w:type="dxa"/>
            <w:hideMark/>
          </w:tcPr>
          <w:p w14:paraId="285359F1" w14:textId="77777777" w:rsidR="001A2C4E" w:rsidRPr="00034E39" w:rsidRDefault="001A2C4E" w:rsidP="00F17626">
            <w:pPr>
              <w:pStyle w:val="Table"/>
              <w:rPr>
                <w:sz w:val="20"/>
                <w:szCs w:val="20"/>
                <w:lang w:val="uk-UA" w:eastAsia="uk-UA"/>
              </w:rPr>
            </w:pPr>
            <w:r w:rsidRPr="00034E39">
              <w:rPr>
                <w:sz w:val="20"/>
                <w:szCs w:val="20"/>
                <w:lang w:val="uk-UA" w:eastAsia="uk-UA"/>
              </w:rPr>
              <w:t>71,2%</w:t>
            </w:r>
          </w:p>
        </w:tc>
        <w:tc>
          <w:tcPr>
            <w:tcW w:w="1363" w:type="dxa"/>
            <w:noWrap/>
            <w:hideMark/>
          </w:tcPr>
          <w:p w14:paraId="20AE42F3" w14:textId="77777777" w:rsidR="001A2C4E" w:rsidRPr="00034E39" w:rsidRDefault="001A2C4E" w:rsidP="00F17626">
            <w:pPr>
              <w:pStyle w:val="Table"/>
              <w:rPr>
                <w:sz w:val="20"/>
                <w:szCs w:val="20"/>
                <w:lang w:val="uk-UA" w:eastAsia="uk-UA"/>
              </w:rPr>
            </w:pPr>
            <w:r w:rsidRPr="00034E39">
              <w:rPr>
                <w:sz w:val="20"/>
                <w:szCs w:val="20"/>
                <w:lang w:val="uk-UA" w:eastAsia="uk-UA"/>
              </w:rPr>
              <w:t>21 405,1</w:t>
            </w:r>
          </w:p>
        </w:tc>
        <w:tc>
          <w:tcPr>
            <w:tcW w:w="1045" w:type="dxa"/>
            <w:noWrap/>
            <w:hideMark/>
          </w:tcPr>
          <w:p w14:paraId="584B3A4B" w14:textId="77777777" w:rsidR="001A2C4E" w:rsidRPr="00034E39" w:rsidRDefault="001A2C4E" w:rsidP="00F17626">
            <w:pPr>
              <w:pStyle w:val="Table"/>
              <w:rPr>
                <w:sz w:val="20"/>
                <w:szCs w:val="20"/>
                <w:lang w:val="uk-UA" w:eastAsia="uk-UA"/>
              </w:rPr>
            </w:pPr>
            <w:r w:rsidRPr="00034E39">
              <w:rPr>
                <w:sz w:val="20"/>
                <w:szCs w:val="20"/>
                <w:lang w:val="uk-UA" w:eastAsia="uk-UA"/>
              </w:rPr>
              <w:t>-513,3</w:t>
            </w:r>
          </w:p>
        </w:tc>
        <w:tc>
          <w:tcPr>
            <w:tcW w:w="569" w:type="dxa"/>
            <w:noWrap/>
            <w:hideMark/>
          </w:tcPr>
          <w:p w14:paraId="59083D2A" w14:textId="77777777" w:rsidR="001A2C4E" w:rsidRPr="00034E39" w:rsidRDefault="001A2C4E" w:rsidP="00F17626">
            <w:pPr>
              <w:pStyle w:val="Table"/>
              <w:rPr>
                <w:sz w:val="20"/>
                <w:szCs w:val="20"/>
                <w:lang w:val="uk-UA" w:eastAsia="uk-UA"/>
              </w:rPr>
            </w:pPr>
            <w:r w:rsidRPr="00034E39">
              <w:rPr>
                <w:sz w:val="20"/>
                <w:szCs w:val="20"/>
                <w:lang w:val="uk-UA" w:eastAsia="uk-UA"/>
              </w:rPr>
              <w:t>73,0</w:t>
            </w:r>
          </w:p>
        </w:tc>
        <w:tc>
          <w:tcPr>
            <w:tcW w:w="1363" w:type="dxa"/>
            <w:noWrap/>
            <w:hideMark/>
          </w:tcPr>
          <w:p w14:paraId="2C1F6002" w14:textId="77777777" w:rsidR="001A2C4E" w:rsidRPr="00034E39" w:rsidRDefault="001A2C4E" w:rsidP="00F17626">
            <w:pPr>
              <w:pStyle w:val="Table"/>
              <w:rPr>
                <w:sz w:val="20"/>
                <w:szCs w:val="20"/>
                <w:lang w:val="uk-UA" w:eastAsia="uk-UA"/>
              </w:rPr>
            </w:pPr>
            <w:r w:rsidRPr="00034E39">
              <w:rPr>
                <w:sz w:val="20"/>
                <w:szCs w:val="20"/>
                <w:lang w:val="uk-UA" w:eastAsia="uk-UA"/>
              </w:rPr>
              <w:t>7 917,3</w:t>
            </w:r>
          </w:p>
        </w:tc>
        <w:tc>
          <w:tcPr>
            <w:tcW w:w="1067" w:type="dxa"/>
            <w:noWrap/>
            <w:hideMark/>
          </w:tcPr>
          <w:p w14:paraId="4AB2E7D8" w14:textId="77777777" w:rsidR="001A2C4E" w:rsidRPr="00034E39" w:rsidRDefault="001A2C4E" w:rsidP="00F17626">
            <w:pPr>
              <w:pStyle w:val="Table"/>
              <w:rPr>
                <w:sz w:val="20"/>
                <w:szCs w:val="20"/>
                <w:lang w:val="uk-UA" w:eastAsia="uk-UA"/>
              </w:rPr>
            </w:pPr>
            <w:r w:rsidRPr="00034E39">
              <w:rPr>
                <w:sz w:val="20"/>
                <w:szCs w:val="20"/>
                <w:lang w:val="uk-UA" w:eastAsia="uk-UA"/>
              </w:rPr>
              <w:t>-294,9</w:t>
            </w:r>
          </w:p>
        </w:tc>
        <w:tc>
          <w:tcPr>
            <w:tcW w:w="599" w:type="dxa"/>
            <w:noWrap/>
            <w:hideMark/>
          </w:tcPr>
          <w:p w14:paraId="4C752F5F" w14:textId="77777777" w:rsidR="001A2C4E" w:rsidRPr="00034E39" w:rsidRDefault="001A2C4E" w:rsidP="00F17626">
            <w:pPr>
              <w:pStyle w:val="Table"/>
              <w:rPr>
                <w:sz w:val="20"/>
                <w:szCs w:val="20"/>
                <w:lang w:val="uk-UA" w:eastAsia="uk-UA"/>
              </w:rPr>
            </w:pPr>
            <w:r w:rsidRPr="00034E39">
              <w:rPr>
                <w:sz w:val="20"/>
                <w:szCs w:val="20"/>
                <w:lang w:val="uk-UA" w:eastAsia="uk-UA"/>
              </w:rPr>
              <w:t>27,0</w:t>
            </w:r>
          </w:p>
        </w:tc>
      </w:tr>
      <w:tr w:rsidR="001A2C4E" w:rsidRPr="00034E39" w14:paraId="158CF070" w14:textId="77777777" w:rsidTr="00F17626">
        <w:trPr>
          <w:trHeight w:val="324"/>
          <w:jc w:val="center"/>
        </w:trPr>
        <w:tc>
          <w:tcPr>
            <w:tcW w:w="676" w:type="dxa"/>
            <w:noWrap/>
            <w:hideMark/>
          </w:tcPr>
          <w:p w14:paraId="1618314D"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2031</w:t>
            </w:r>
          </w:p>
        </w:tc>
        <w:tc>
          <w:tcPr>
            <w:tcW w:w="1364" w:type="dxa"/>
            <w:noWrap/>
            <w:hideMark/>
          </w:tcPr>
          <w:p w14:paraId="392814CA" w14:textId="77777777" w:rsidR="001A2C4E" w:rsidRPr="00034E39" w:rsidRDefault="001A2C4E" w:rsidP="00F17626">
            <w:pPr>
              <w:pStyle w:val="Table"/>
              <w:rPr>
                <w:sz w:val="20"/>
                <w:szCs w:val="20"/>
                <w:lang w:val="uk-UA" w:eastAsia="uk-UA"/>
              </w:rPr>
            </w:pPr>
            <w:r w:rsidRPr="00034E39">
              <w:rPr>
                <w:sz w:val="20"/>
                <w:szCs w:val="20"/>
                <w:lang w:val="uk-UA" w:eastAsia="uk-UA"/>
              </w:rPr>
              <w:t>28 534,6</w:t>
            </w:r>
          </w:p>
        </w:tc>
        <w:tc>
          <w:tcPr>
            <w:tcW w:w="1045" w:type="dxa"/>
            <w:noWrap/>
            <w:hideMark/>
          </w:tcPr>
          <w:p w14:paraId="51B25D9A" w14:textId="77777777" w:rsidR="001A2C4E" w:rsidRPr="00034E39" w:rsidRDefault="001A2C4E" w:rsidP="00F17626">
            <w:pPr>
              <w:pStyle w:val="Table"/>
              <w:rPr>
                <w:sz w:val="20"/>
                <w:szCs w:val="20"/>
                <w:lang w:val="uk-UA" w:eastAsia="uk-UA"/>
              </w:rPr>
            </w:pPr>
            <w:r w:rsidRPr="00034E39">
              <w:rPr>
                <w:sz w:val="20"/>
                <w:szCs w:val="20"/>
                <w:lang w:val="uk-UA" w:eastAsia="uk-UA"/>
              </w:rPr>
              <w:t>-787,8</w:t>
            </w:r>
          </w:p>
        </w:tc>
        <w:tc>
          <w:tcPr>
            <w:tcW w:w="1276" w:type="dxa"/>
            <w:hideMark/>
          </w:tcPr>
          <w:p w14:paraId="42BDBD14" w14:textId="77777777" w:rsidR="001A2C4E" w:rsidRPr="00034E39" w:rsidRDefault="001A2C4E" w:rsidP="00F17626">
            <w:pPr>
              <w:pStyle w:val="Table"/>
              <w:rPr>
                <w:sz w:val="20"/>
                <w:szCs w:val="20"/>
                <w:lang w:val="uk-UA" w:eastAsia="uk-UA"/>
              </w:rPr>
            </w:pPr>
            <w:r w:rsidRPr="00034E39">
              <w:rPr>
                <w:sz w:val="20"/>
                <w:szCs w:val="20"/>
                <w:lang w:val="uk-UA" w:eastAsia="uk-UA"/>
              </w:rPr>
              <w:t>69,3%</w:t>
            </w:r>
          </w:p>
        </w:tc>
        <w:tc>
          <w:tcPr>
            <w:tcW w:w="1363" w:type="dxa"/>
            <w:noWrap/>
            <w:hideMark/>
          </w:tcPr>
          <w:p w14:paraId="040B83D5" w14:textId="77777777" w:rsidR="001A2C4E" w:rsidRPr="00034E39" w:rsidRDefault="001A2C4E" w:rsidP="00F17626">
            <w:pPr>
              <w:pStyle w:val="Table"/>
              <w:rPr>
                <w:sz w:val="20"/>
                <w:szCs w:val="20"/>
                <w:lang w:val="uk-UA" w:eastAsia="uk-UA"/>
              </w:rPr>
            </w:pPr>
            <w:r w:rsidRPr="00034E39">
              <w:rPr>
                <w:sz w:val="20"/>
                <w:szCs w:val="20"/>
                <w:lang w:val="uk-UA" w:eastAsia="uk-UA"/>
              </w:rPr>
              <w:t>20 903,0</w:t>
            </w:r>
          </w:p>
        </w:tc>
        <w:tc>
          <w:tcPr>
            <w:tcW w:w="1045" w:type="dxa"/>
            <w:noWrap/>
            <w:hideMark/>
          </w:tcPr>
          <w:p w14:paraId="48CD3481" w14:textId="77777777" w:rsidR="001A2C4E" w:rsidRPr="00034E39" w:rsidRDefault="001A2C4E" w:rsidP="00F17626">
            <w:pPr>
              <w:pStyle w:val="Table"/>
              <w:rPr>
                <w:sz w:val="20"/>
                <w:szCs w:val="20"/>
                <w:lang w:val="uk-UA" w:eastAsia="uk-UA"/>
              </w:rPr>
            </w:pPr>
            <w:r w:rsidRPr="00034E39">
              <w:rPr>
                <w:sz w:val="20"/>
                <w:szCs w:val="20"/>
                <w:lang w:val="uk-UA" w:eastAsia="uk-UA"/>
              </w:rPr>
              <w:t>-502,2</w:t>
            </w:r>
          </w:p>
        </w:tc>
        <w:tc>
          <w:tcPr>
            <w:tcW w:w="569" w:type="dxa"/>
            <w:noWrap/>
            <w:hideMark/>
          </w:tcPr>
          <w:p w14:paraId="03642690" w14:textId="77777777" w:rsidR="001A2C4E" w:rsidRPr="00034E39" w:rsidRDefault="001A2C4E" w:rsidP="00F17626">
            <w:pPr>
              <w:pStyle w:val="Table"/>
              <w:rPr>
                <w:sz w:val="20"/>
                <w:szCs w:val="20"/>
                <w:lang w:val="uk-UA" w:eastAsia="uk-UA"/>
              </w:rPr>
            </w:pPr>
            <w:r w:rsidRPr="00034E39">
              <w:rPr>
                <w:sz w:val="20"/>
                <w:szCs w:val="20"/>
                <w:lang w:val="uk-UA" w:eastAsia="uk-UA"/>
              </w:rPr>
              <w:t>73,3</w:t>
            </w:r>
          </w:p>
        </w:tc>
        <w:tc>
          <w:tcPr>
            <w:tcW w:w="1363" w:type="dxa"/>
            <w:noWrap/>
            <w:hideMark/>
          </w:tcPr>
          <w:p w14:paraId="342812CB" w14:textId="77777777" w:rsidR="001A2C4E" w:rsidRPr="00034E39" w:rsidRDefault="001A2C4E" w:rsidP="00F17626">
            <w:pPr>
              <w:pStyle w:val="Table"/>
              <w:rPr>
                <w:sz w:val="20"/>
                <w:szCs w:val="20"/>
                <w:lang w:val="uk-UA" w:eastAsia="uk-UA"/>
              </w:rPr>
            </w:pPr>
            <w:r w:rsidRPr="00034E39">
              <w:rPr>
                <w:sz w:val="20"/>
                <w:szCs w:val="20"/>
                <w:lang w:val="uk-UA" w:eastAsia="uk-UA"/>
              </w:rPr>
              <w:t>7 631,6</w:t>
            </w:r>
          </w:p>
        </w:tc>
        <w:tc>
          <w:tcPr>
            <w:tcW w:w="1067" w:type="dxa"/>
            <w:noWrap/>
            <w:hideMark/>
          </w:tcPr>
          <w:p w14:paraId="0065BD3B" w14:textId="77777777" w:rsidR="001A2C4E" w:rsidRPr="00034E39" w:rsidRDefault="001A2C4E" w:rsidP="00F17626">
            <w:pPr>
              <w:pStyle w:val="Table"/>
              <w:rPr>
                <w:sz w:val="20"/>
                <w:szCs w:val="20"/>
                <w:lang w:val="uk-UA" w:eastAsia="uk-UA"/>
              </w:rPr>
            </w:pPr>
            <w:r w:rsidRPr="00034E39">
              <w:rPr>
                <w:sz w:val="20"/>
                <w:szCs w:val="20"/>
                <w:lang w:val="uk-UA" w:eastAsia="uk-UA"/>
              </w:rPr>
              <w:t>-285,6</w:t>
            </w:r>
          </w:p>
        </w:tc>
        <w:tc>
          <w:tcPr>
            <w:tcW w:w="599" w:type="dxa"/>
            <w:noWrap/>
            <w:hideMark/>
          </w:tcPr>
          <w:p w14:paraId="5A193ED9" w14:textId="77777777" w:rsidR="001A2C4E" w:rsidRPr="00034E39" w:rsidRDefault="001A2C4E" w:rsidP="00F17626">
            <w:pPr>
              <w:pStyle w:val="Table"/>
              <w:rPr>
                <w:sz w:val="20"/>
                <w:szCs w:val="20"/>
                <w:lang w:val="uk-UA" w:eastAsia="uk-UA"/>
              </w:rPr>
            </w:pPr>
            <w:r w:rsidRPr="00034E39">
              <w:rPr>
                <w:sz w:val="20"/>
                <w:szCs w:val="20"/>
                <w:lang w:val="uk-UA" w:eastAsia="uk-UA"/>
              </w:rPr>
              <w:t>26,7</w:t>
            </w:r>
          </w:p>
        </w:tc>
      </w:tr>
      <w:tr w:rsidR="001A2C4E" w:rsidRPr="00034E39" w14:paraId="6DE9071B" w14:textId="77777777" w:rsidTr="00F17626">
        <w:trPr>
          <w:trHeight w:val="324"/>
          <w:jc w:val="center"/>
        </w:trPr>
        <w:tc>
          <w:tcPr>
            <w:tcW w:w="676" w:type="dxa"/>
            <w:noWrap/>
            <w:hideMark/>
          </w:tcPr>
          <w:p w14:paraId="5AF0C63D"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2032</w:t>
            </w:r>
          </w:p>
        </w:tc>
        <w:tc>
          <w:tcPr>
            <w:tcW w:w="1364" w:type="dxa"/>
            <w:noWrap/>
            <w:hideMark/>
          </w:tcPr>
          <w:p w14:paraId="61F1EBEC" w14:textId="77777777" w:rsidR="001A2C4E" w:rsidRPr="00034E39" w:rsidRDefault="001A2C4E" w:rsidP="00F17626">
            <w:pPr>
              <w:pStyle w:val="Table"/>
              <w:rPr>
                <w:sz w:val="20"/>
                <w:szCs w:val="20"/>
                <w:lang w:val="uk-UA" w:eastAsia="uk-UA"/>
              </w:rPr>
            </w:pPr>
            <w:r w:rsidRPr="00034E39">
              <w:rPr>
                <w:sz w:val="20"/>
                <w:szCs w:val="20"/>
                <w:lang w:val="uk-UA" w:eastAsia="uk-UA"/>
              </w:rPr>
              <w:t>27 766,8</w:t>
            </w:r>
          </w:p>
        </w:tc>
        <w:tc>
          <w:tcPr>
            <w:tcW w:w="1045" w:type="dxa"/>
            <w:noWrap/>
            <w:hideMark/>
          </w:tcPr>
          <w:p w14:paraId="18F4ADCE" w14:textId="77777777" w:rsidR="001A2C4E" w:rsidRPr="00034E39" w:rsidRDefault="001A2C4E" w:rsidP="00F17626">
            <w:pPr>
              <w:pStyle w:val="Table"/>
              <w:rPr>
                <w:sz w:val="20"/>
                <w:szCs w:val="20"/>
                <w:lang w:val="uk-UA" w:eastAsia="uk-UA"/>
              </w:rPr>
            </w:pPr>
            <w:r w:rsidRPr="00034E39">
              <w:rPr>
                <w:sz w:val="20"/>
                <w:szCs w:val="20"/>
                <w:lang w:val="uk-UA" w:eastAsia="uk-UA"/>
              </w:rPr>
              <w:t>-7 687,8</w:t>
            </w:r>
          </w:p>
        </w:tc>
        <w:tc>
          <w:tcPr>
            <w:tcW w:w="1276" w:type="dxa"/>
            <w:hideMark/>
          </w:tcPr>
          <w:p w14:paraId="7DBC6EFB" w14:textId="77777777" w:rsidR="001A2C4E" w:rsidRPr="00034E39" w:rsidRDefault="001A2C4E" w:rsidP="00F17626">
            <w:pPr>
              <w:pStyle w:val="Table"/>
              <w:rPr>
                <w:sz w:val="20"/>
                <w:szCs w:val="20"/>
                <w:lang w:val="uk-UA" w:eastAsia="uk-UA"/>
              </w:rPr>
            </w:pPr>
            <w:r w:rsidRPr="00034E39">
              <w:rPr>
                <w:sz w:val="20"/>
                <w:szCs w:val="20"/>
                <w:lang w:val="uk-UA" w:eastAsia="uk-UA"/>
              </w:rPr>
              <w:t>67,4%</w:t>
            </w:r>
          </w:p>
        </w:tc>
        <w:tc>
          <w:tcPr>
            <w:tcW w:w="1363" w:type="dxa"/>
            <w:noWrap/>
            <w:hideMark/>
          </w:tcPr>
          <w:p w14:paraId="40FA8766" w14:textId="77777777" w:rsidR="001A2C4E" w:rsidRPr="00034E39" w:rsidRDefault="001A2C4E" w:rsidP="00F17626">
            <w:pPr>
              <w:pStyle w:val="Table"/>
              <w:rPr>
                <w:sz w:val="20"/>
                <w:szCs w:val="20"/>
                <w:lang w:val="uk-UA" w:eastAsia="uk-UA"/>
              </w:rPr>
            </w:pPr>
            <w:r w:rsidRPr="00034E39">
              <w:rPr>
                <w:sz w:val="20"/>
                <w:szCs w:val="20"/>
                <w:lang w:val="uk-UA" w:eastAsia="uk-UA"/>
              </w:rPr>
              <w:t>20 411,7</w:t>
            </w:r>
          </w:p>
        </w:tc>
        <w:tc>
          <w:tcPr>
            <w:tcW w:w="1045" w:type="dxa"/>
            <w:noWrap/>
            <w:hideMark/>
          </w:tcPr>
          <w:p w14:paraId="66292367" w14:textId="77777777" w:rsidR="001A2C4E" w:rsidRPr="00034E39" w:rsidRDefault="001A2C4E" w:rsidP="00F17626">
            <w:pPr>
              <w:pStyle w:val="Table"/>
              <w:rPr>
                <w:sz w:val="20"/>
                <w:szCs w:val="20"/>
                <w:lang w:val="uk-UA" w:eastAsia="uk-UA"/>
              </w:rPr>
            </w:pPr>
            <w:r w:rsidRPr="00034E39">
              <w:rPr>
                <w:sz w:val="20"/>
                <w:szCs w:val="20"/>
                <w:lang w:val="uk-UA" w:eastAsia="uk-UA"/>
              </w:rPr>
              <w:t>-491,3</w:t>
            </w:r>
          </w:p>
        </w:tc>
        <w:tc>
          <w:tcPr>
            <w:tcW w:w="569" w:type="dxa"/>
            <w:noWrap/>
            <w:hideMark/>
          </w:tcPr>
          <w:p w14:paraId="53400DF8" w14:textId="77777777" w:rsidR="001A2C4E" w:rsidRPr="00034E39" w:rsidRDefault="001A2C4E" w:rsidP="00F17626">
            <w:pPr>
              <w:pStyle w:val="Table"/>
              <w:rPr>
                <w:sz w:val="20"/>
                <w:szCs w:val="20"/>
                <w:lang w:val="uk-UA" w:eastAsia="uk-UA"/>
              </w:rPr>
            </w:pPr>
            <w:r w:rsidRPr="00034E39">
              <w:rPr>
                <w:sz w:val="20"/>
                <w:szCs w:val="20"/>
                <w:lang w:val="uk-UA" w:eastAsia="uk-UA"/>
              </w:rPr>
              <w:t>73,5</w:t>
            </w:r>
          </w:p>
        </w:tc>
        <w:tc>
          <w:tcPr>
            <w:tcW w:w="1363" w:type="dxa"/>
            <w:noWrap/>
            <w:hideMark/>
          </w:tcPr>
          <w:p w14:paraId="5B64BDFB" w14:textId="77777777" w:rsidR="001A2C4E" w:rsidRPr="00034E39" w:rsidRDefault="001A2C4E" w:rsidP="00F17626">
            <w:pPr>
              <w:pStyle w:val="Table"/>
              <w:rPr>
                <w:sz w:val="20"/>
                <w:szCs w:val="20"/>
                <w:lang w:val="uk-UA" w:eastAsia="uk-UA"/>
              </w:rPr>
            </w:pPr>
            <w:r w:rsidRPr="00034E39">
              <w:rPr>
                <w:sz w:val="20"/>
                <w:szCs w:val="20"/>
                <w:lang w:val="uk-UA" w:eastAsia="uk-UA"/>
              </w:rPr>
              <w:t>7 355,1</w:t>
            </w:r>
          </w:p>
        </w:tc>
        <w:tc>
          <w:tcPr>
            <w:tcW w:w="1067" w:type="dxa"/>
            <w:noWrap/>
            <w:hideMark/>
          </w:tcPr>
          <w:p w14:paraId="42D92CB0" w14:textId="77777777" w:rsidR="001A2C4E" w:rsidRPr="00034E39" w:rsidRDefault="001A2C4E" w:rsidP="00F17626">
            <w:pPr>
              <w:pStyle w:val="Table"/>
              <w:rPr>
                <w:sz w:val="20"/>
                <w:szCs w:val="20"/>
                <w:lang w:val="uk-UA" w:eastAsia="uk-UA"/>
              </w:rPr>
            </w:pPr>
            <w:r w:rsidRPr="00034E39">
              <w:rPr>
                <w:sz w:val="20"/>
                <w:szCs w:val="20"/>
                <w:lang w:val="uk-UA" w:eastAsia="uk-UA"/>
              </w:rPr>
              <w:t>-276,5</w:t>
            </w:r>
          </w:p>
        </w:tc>
        <w:tc>
          <w:tcPr>
            <w:tcW w:w="599" w:type="dxa"/>
            <w:noWrap/>
            <w:hideMark/>
          </w:tcPr>
          <w:p w14:paraId="209421FF" w14:textId="77777777" w:rsidR="001A2C4E" w:rsidRPr="00034E39" w:rsidRDefault="001A2C4E" w:rsidP="00F17626">
            <w:pPr>
              <w:pStyle w:val="Table"/>
              <w:rPr>
                <w:sz w:val="20"/>
                <w:szCs w:val="20"/>
                <w:lang w:val="uk-UA" w:eastAsia="uk-UA"/>
              </w:rPr>
            </w:pPr>
            <w:r w:rsidRPr="00034E39">
              <w:rPr>
                <w:sz w:val="20"/>
                <w:szCs w:val="20"/>
                <w:lang w:val="uk-UA" w:eastAsia="uk-UA"/>
              </w:rPr>
              <w:t>26,5</w:t>
            </w:r>
          </w:p>
        </w:tc>
      </w:tr>
      <w:tr w:rsidR="001A2C4E" w:rsidRPr="00034E39" w14:paraId="54B72A88" w14:textId="77777777" w:rsidTr="00F17626">
        <w:trPr>
          <w:trHeight w:val="324"/>
          <w:jc w:val="center"/>
        </w:trPr>
        <w:tc>
          <w:tcPr>
            <w:tcW w:w="676" w:type="dxa"/>
            <w:noWrap/>
            <w:hideMark/>
          </w:tcPr>
          <w:p w14:paraId="1FC27DFD"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2033</w:t>
            </w:r>
          </w:p>
        </w:tc>
        <w:tc>
          <w:tcPr>
            <w:tcW w:w="1364" w:type="dxa"/>
            <w:noWrap/>
            <w:hideMark/>
          </w:tcPr>
          <w:p w14:paraId="03680B09" w14:textId="77777777" w:rsidR="001A2C4E" w:rsidRPr="00034E39" w:rsidRDefault="001A2C4E" w:rsidP="00F17626">
            <w:pPr>
              <w:pStyle w:val="Table"/>
              <w:rPr>
                <w:sz w:val="20"/>
                <w:szCs w:val="20"/>
                <w:lang w:val="uk-UA" w:eastAsia="uk-UA"/>
              </w:rPr>
            </w:pPr>
            <w:r w:rsidRPr="00034E39">
              <w:rPr>
                <w:sz w:val="20"/>
                <w:szCs w:val="20"/>
                <w:lang w:val="uk-UA" w:eastAsia="uk-UA"/>
              </w:rPr>
              <w:t>27 018,6</w:t>
            </w:r>
          </w:p>
        </w:tc>
        <w:tc>
          <w:tcPr>
            <w:tcW w:w="1045" w:type="dxa"/>
            <w:noWrap/>
            <w:hideMark/>
          </w:tcPr>
          <w:p w14:paraId="497C0D9E" w14:textId="77777777" w:rsidR="001A2C4E" w:rsidRPr="00034E39" w:rsidRDefault="001A2C4E" w:rsidP="00F17626">
            <w:pPr>
              <w:pStyle w:val="Table"/>
              <w:rPr>
                <w:sz w:val="20"/>
                <w:szCs w:val="20"/>
                <w:lang w:val="uk-UA" w:eastAsia="uk-UA"/>
              </w:rPr>
            </w:pPr>
            <w:r w:rsidRPr="00034E39">
              <w:rPr>
                <w:sz w:val="20"/>
                <w:szCs w:val="20"/>
                <w:lang w:val="uk-UA" w:eastAsia="uk-UA"/>
              </w:rPr>
              <w:t>-748,2</w:t>
            </w:r>
          </w:p>
        </w:tc>
        <w:tc>
          <w:tcPr>
            <w:tcW w:w="1276" w:type="dxa"/>
            <w:hideMark/>
          </w:tcPr>
          <w:p w14:paraId="37234CD4" w14:textId="77777777" w:rsidR="001A2C4E" w:rsidRPr="00034E39" w:rsidRDefault="001A2C4E" w:rsidP="00F17626">
            <w:pPr>
              <w:pStyle w:val="Table"/>
              <w:rPr>
                <w:sz w:val="20"/>
                <w:szCs w:val="20"/>
                <w:lang w:val="uk-UA" w:eastAsia="uk-UA"/>
              </w:rPr>
            </w:pPr>
            <w:r w:rsidRPr="00034E39">
              <w:rPr>
                <w:sz w:val="20"/>
                <w:szCs w:val="20"/>
                <w:lang w:val="uk-UA" w:eastAsia="uk-UA"/>
              </w:rPr>
              <w:t>65,6%</w:t>
            </w:r>
          </w:p>
        </w:tc>
        <w:tc>
          <w:tcPr>
            <w:tcW w:w="1363" w:type="dxa"/>
            <w:noWrap/>
            <w:hideMark/>
          </w:tcPr>
          <w:p w14:paraId="6047201B" w14:textId="77777777" w:rsidR="001A2C4E" w:rsidRPr="00034E39" w:rsidRDefault="001A2C4E" w:rsidP="00F17626">
            <w:pPr>
              <w:pStyle w:val="Table"/>
              <w:rPr>
                <w:sz w:val="20"/>
                <w:szCs w:val="20"/>
                <w:lang w:val="uk-UA" w:eastAsia="uk-UA"/>
              </w:rPr>
            </w:pPr>
            <w:r w:rsidRPr="00034E39">
              <w:rPr>
                <w:sz w:val="20"/>
                <w:szCs w:val="20"/>
                <w:lang w:val="uk-UA" w:eastAsia="uk-UA"/>
              </w:rPr>
              <w:t>19 931,2</w:t>
            </w:r>
          </w:p>
        </w:tc>
        <w:tc>
          <w:tcPr>
            <w:tcW w:w="1045" w:type="dxa"/>
            <w:noWrap/>
            <w:hideMark/>
          </w:tcPr>
          <w:p w14:paraId="23A78367" w14:textId="77777777" w:rsidR="001A2C4E" w:rsidRPr="00034E39" w:rsidRDefault="001A2C4E" w:rsidP="00F17626">
            <w:pPr>
              <w:pStyle w:val="Table"/>
              <w:rPr>
                <w:sz w:val="20"/>
                <w:szCs w:val="20"/>
                <w:lang w:val="uk-UA" w:eastAsia="uk-UA"/>
              </w:rPr>
            </w:pPr>
            <w:r w:rsidRPr="00034E39">
              <w:rPr>
                <w:sz w:val="20"/>
                <w:szCs w:val="20"/>
                <w:lang w:val="uk-UA" w:eastAsia="uk-UA"/>
              </w:rPr>
              <w:t>-480,5</w:t>
            </w:r>
          </w:p>
        </w:tc>
        <w:tc>
          <w:tcPr>
            <w:tcW w:w="569" w:type="dxa"/>
            <w:noWrap/>
            <w:hideMark/>
          </w:tcPr>
          <w:p w14:paraId="6C68C6DB" w14:textId="77777777" w:rsidR="001A2C4E" w:rsidRPr="00034E39" w:rsidRDefault="001A2C4E" w:rsidP="00F17626">
            <w:pPr>
              <w:pStyle w:val="Table"/>
              <w:rPr>
                <w:sz w:val="20"/>
                <w:szCs w:val="20"/>
                <w:lang w:val="uk-UA" w:eastAsia="uk-UA"/>
              </w:rPr>
            </w:pPr>
            <w:r w:rsidRPr="00034E39">
              <w:rPr>
                <w:sz w:val="20"/>
                <w:szCs w:val="20"/>
                <w:lang w:val="uk-UA" w:eastAsia="uk-UA"/>
              </w:rPr>
              <w:t>73,8</w:t>
            </w:r>
          </w:p>
        </w:tc>
        <w:tc>
          <w:tcPr>
            <w:tcW w:w="1363" w:type="dxa"/>
            <w:noWrap/>
            <w:hideMark/>
          </w:tcPr>
          <w:p w14:paraId="0AA1A17E" w14:textId="77777777" w:rsidR="001A2C4E" w:rsidRPr="00034E39" w:rsidRDefault="001A2C4E" w:rsidP="00F17626">
            <w:pPr>
              <w:pStyle w:val="Table"/>
              <w:rPr>
                <w:sz w:val="20"/>
                <w:szCs w:val="20"/>
                <w:lang w:val="uk-UA" w:eastAsia="uk-UA"/>
              </w:rPr>
            </w:pPr>
            <w:r w:rsidRPr="00034E39">
              <w:rPr>
                <w:sz w:val="20"/>
                <w:szCs w:val="20"/>
                <w:lang w:val="uk-UA" w:eastAsia="uk-UA"/>
              </w:rPr>
              <w:t>7 087,4</w:t>
            </w:r>
          </w:p>
        </w:tc>
        <w:tc>
          <w:tcPr>
            <w:tcW w:w="1067" w:type="dxa"/>
            <w:noWrap/>
            <w:hideMark/>
          </w:tcPr>
          <w:p w14:paraId="75BD21D5" w14:textId="77777777" w:rsidR="001A2C4E" w:rsidRPr="00034E39" w:rsidRDefault="001A2C4E" w:rsidP="00F17626">
            <w:pPr>
              <w:pStyle w:val="Table"/>
              <w:rPr>
                <w:sz w:val="20"/>
                <w:szCs w:val="20"/>
                <w:lang w:val="uk-UA" w:eastAsia="uk-UA"/>
              </w:rPr>
            </w:pPr>
            <w:r w:rsidRPr="00034E39">
              <w:rPr>
                <w:sz w:val="20"/>
                <w:szCs w:val="20"/>
                <w:lang w:val="uk-UA" w:eastAsia="uk-UA"/>
              </w:rPr>
              <w:t>-267,7</w:t>
            </w:r>
          </w:p>
        </w:tc>
        <w:tc>
          <w:tcPr>
            <w:tcW w:w="599" w:type="dxa"/>
            <w:noWrap/>
            <w:hideMark/>
          </w:tcPr>
          <w:p w14:paraId="73C7D805" w14:textId="77777777" w:rsidR="001A2C4E" w:rsidRPr="00034E39" w:rsidRDefault="001A2C4E" w:rsidP="00F17626">
            <w:pPr>
              <w:pStyle w:val="Table"/>
              <w:rPr>
                <w:sz w:val="20"/>
                <w:szCs w:val="20"/>
                <w:lang w:val="uk-UA" w:eastAsia="uk-UA"/>
              </w:rPr>
            </w:pPr>
            <w:r w:rsidRPr="00034E39">
              <w:rPr>
                <w:sz w:val="20"/>
                <w:szCs w:val="20"/>
                <w:lang w:val="uk-UA" w:eastAsia="uk-UA"/>
              </w:rPr>
              <w:t>26,2</w:t>
            </w:r>
          </w:p>
        </w:tc>
      </w:tr>
      <w:tr w:rsidR="001A2C4E" w:rsidRPr="00034E39" w14:paraId="7B90D3E4" w14:textId="77777777" w:rsidTr="00F17626">
        <w:trPr>
          <w:trHeight w:val="324"/>
          <w:jc w:val="center"/>
        </w:trPr>
        <w:tc>
          <w:tcPr>
            <w:tcW w:w="676" w:type="dxa"/>
            <w:noWrap/>
            <w:hideMark/>
          </w:tcPr>
          <w:p w14:paraId="11E780D8"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2034</w:t>
            </w:r>
          </w:p>
        </w:tc>
        <w:tc>
          <w:tcPr>
            <w:tcW w:w="1364" w:type="dxa"/>
            <w:noWrap/>
            <w:hideMark/>
          </w:tcPr>
          <w:p w14:paraId="7946A559" w14:textId="77777777" w:rsidR="001A2C4E" w:rsidRPr="00034E39" w:rsidRDefault="001A2C4E" w:rsidP="00F17626">
            <w:pPr>
              <w:pStyle w:val="Table"/>
              <w:rPr>
                <w:sz w:val="20"/>
                <w:szCs w:val="20"/>
                <w:lang w:val="uk-UA" w:eastAsia="uk-UA"/>
              </w:rPr>
            </w:pPr>
            <w:r w:rsidRPr="00034E39">
              <w:rPr>
                <w:sz w:val="20"/>
                <w:szCs w:val="20"/>
                <w:lang w:val="uk-UA" w:eastAsia="uk-UA"/>
              </w:rPr>
              <w:t>26 289,5</w:t>
            </w:r>
          </w:p>
        </w:tc>
        <w:tc>
          <w:tcPr>
            <w:tcW w:w="1045" w:type="dxa"/>
            <w:noWrap/>
            <w:hideMark/>
          </w:tcPr>
          <w:p w14:paraId="26424118" w14:textId="77777777" w:rsidR="001A2C4E" w:rsidRPr="00034E39" w:rsidRDefault="001A2C4E" w:rsidP="00F17626">
            <w:pPr>
              <w:pStyle w:val="Table"/>
              <w:rPr>
                <w:sz w:val="20"/>
                <w:szCs w:val="20"/>
                <w:lang w:val="uk-UA" w:eastAsia="uk-UA"/>
              </w:rPr>
            </w:pPr>
            <w:r w:rsidRPr="00034E39">
              <w:rPr>
                <w:sz w:val="20"/>
                <w:szCs w:val="20"/>
                <w:lang w:val="uk-UA" w:eastAsia="uk-UA"/>
              </w:rPr>
              <w:t>-729,1</w:t>
            </w:r>
          </w:p>
        </w:tc>
        <w:tc>
          <w:tcPr>
            <w:tcW w:w="1276" w:type="dxa"/>
            <w:hideMark/>
          </w:tcPr>
          <w:p w14:paraId="56C7EFA3" w14:textId="77777777" w:rsidR="001A2C4E" w:rsidRPr="00034E39" w:rsidRDefault="001A2C4E" w:rsidP="00F17626">
            <w:pPr>
              <w:pStyle w:val="Table"/>
              <w:rPr>
                <w:sz w:val="20"/>
                <w:szCs w:val="20"/>
                <w:lang w:val="uk-UA" w:eastAsia="uk-UA"/>
              </w:rPr>
            </w:pPr>
            <w:r w:rsidRPr="00034E39">
              <w:rPr>
                <w:sz w:val="20"/>
                <w:szCs w:val="20"/>
                <w:lang w:val="uk-UA" w:eastAsia="uk-UA"/>
              </w:rPr>
              <w:t>63,9%</w:t>
            </w:r>
          </w:p>
        </w:tc>
        <w:tc>
          <w:tcPr>
            <w:tcW w:w="1363" w:type="dxa"/>
            <w:noWrap/>
            <w:hideMark/>
          </w:tcPr>
          <w:p w14:paraId="4F4129B7" w14:textId="77777777" w:rsidR="001A2C4E" w:rsidRPr="00034E39" w:rsidRDefault="001A2C4E" w:rsidP="00F17626">
            <w:pPr>
              <w:pStyle w:val="Table"/>
              <w:rPr>
                <w:sz w:val="20"/>
                <w:szCs w:val="20"/>
                <w:lang w:val="uk-UA" w:eastAsia="uk-UA"/>
              </w:rPr>
            </w:pPr>
            <w:r w:rsidRPr="00034E39">
              <w:rPr>
                <w:sz w:val="20"/>
                <w:szCs w:val="20"/>
                <w:lang w:val="uk-UA" w:eastAsia="uk-UA"/>
              </w:rPr>
              <w:t>19 461,2</w:t>
            </w:r>
          </w:p>
        </w:tc>
        <w:tc>
          <w:tcPr>
            <w:tcW w:w="1045" w:type="dxa"/>
            <w:noWrap/>
            <w:hideMark/>
          </w:tcPr>
          <w:p w14:paraId="11EA21BB" w14:textId="77777777" w:rsidR="001A2C4E" w:rsidRPr="00034E39" w:rsidRDefault="001A2C4E" w:rsidP="00F17626">
            <w:pPr>
              <w:pStyle w:val="Table"/>
              <w:rPr>
                <w:sz w:val="20"/>
                <w:szCs w:val="20"/>
                <w:lang w:val="uk-UA" w:eastAsia="uk-UA"/>
              </w:rPr>
            </w:pPr>
            <w:r w:rsidRPr="00034E39">
              <w:rPr>
                <w:sz w:val="20"/>
                <w:szCs w:val="20"/>
                <w:lang w:val="uk-UA" w:eastAsia="uk-UA"/>
              </w:rPr>
              <w:t>-470,0</w:t>
            </w:r>
          </w:p>
        </w:tc>
        <w:tc>
          <w:tcPr>
            <w:tcW w:w="569" w:type="dxa"/>
            <w:noWrap/>
            <w:hideMark/>
          </w:tcPr>
          <w:p w14:paraId="5E1CCB03" w14:textId="77777777" w:rsidR="001A2C4E" w:rsidRPr="00034E39" w:rsidRDefault="001A2C4E" w:rsidP="00F17626">
            <w:pPr>
              <w:pStyle w:val="Table"/>
              <w:rPr>
                <w:sz w:val="20"/>
                <w:szCs w:val="20"/>
                <w:lang w:val="uk-UA" w:eastAsia="uk-UA"/>
              </w:rPr>
            </w:pPr>
            <w:r w:rsidRPr="00034E39">
              <w:rPr>
                <w:sz w:val="20"/>
                <w:szCs w:val="20"/>
                <w:lang w:val="uk-UA" w:eastAsia="uk-UA"/>
              </w:rPr>
              <w:t>74,0</w:t>
            </w:r>
          </w:p>
        </w:tc>
        <w:tc>
          <w:tcPr>
            <w:tcW w:w="1363" w:type="dxa"/>
            <w:noWrap/>
            <w:hideMark/>
          </w:tcPr>
          <w:p w14:paraId="11A52841" w14:textId="77777777" w:rsidR="001A2C4E" w:rsidRPr="00034E39" w:rsidRDefault="001A2C4E" w:rsidP="00F17626">
            <w:pPr>
              <w:pStyle w:val="Table"/>
              <w:rPr>
                <w:sz w:val="20"/>
                <w:szCs w:val="20"/>
                <w:lang w:val="uk-UA" w:eastAsia="uk-UA"/>
              </w:rPr>
            </w:pPr>
            <w:r w:rsidRPr="00034E39">
              <w:rPr>
                <w:sz w:val="20"/>
                <w:szCs w:val="20"/>
                <w:lang w:val="uk-UA" w:eastAsia="uk-UA"/>
              </w:rPr>
              <w:t>6 828,3</w:t>
            </w:r>
          </w:p>
        </w:tc>
        <w:tc>
          <w:tcPr>
            <w:tcW w:w="1067" w:type="dxa"/>
            <w:noWrap/>
            <w:hideMark/>
          </w:tcPr>
          <w:p w14:paraId="08060A40" w14:textId="77777777" w:rsidR="001A2C4E" w:rsidRPr="00034E39" w:rsidRDefault="001A2C4E" w:rsidP="00F17626">
            <w:pPr>
              <w:pStyle w:val="Table"/>
              <w:rPr>
                <w:sz w:val="20"/>
                <w:szCs w:val="20"/>
                <w:lang w:val="uk-UA" w:eastAsia="uk-UA"/>
              </w:rPr>
            </w:pPr>
            <w:r w:rsidRPr="00034E39">
              <w:rPr>
                <w:sz w:val="20"/>
                <w:szCs w:val="20"/>
                <w:lang w:val="uk-UA" w:eastAsia="uk-UA"/>
              </w:rPr>
              <w:t>-259,1</w:t>
            </w:r>
          </w:p>
        </w:tc>
        <w:tc>
          <w:tcPr>
            <w:tcW w:w="599" w:type="dxa"/>
            <w:noWrap/>
            <w:hideMark/>
          </w:tcPr>
          <w:p w14:paraId="6AC3FB69" w14:textId="77777777" w:rsidR="001A2C4E" w:rsidRPr="00034E39" w:rsidRDefault="001A2C4E" w:rsidP="00F17626">
            <w:pPr>
              <w:pStyle w:val="Table"/>
              <w:rPr>
                <w:sz w:val="20"/>
                <w:szCs w:val="20"/>
                <w:lang w:val="uk-UA" w:eastAsia="uk-UA"/>
              </w:rPr>
            </w:pPr>
            <w:r w:rsidRPr="00034E39">
              <w:rPr>
                <w:sz w:val="20"/>
                <w:szCs w:val="20"/>
                <w:lang w:val="uk-UA" w:eastAsia="uk-UA"/>
              </w:rPr>
              <w:t>26,0</w:t>
            </w:r>
          </w:p>
        </w:tc>
      </w:tr>
      <w:tr w:rsidR="001A2C4E" w:rsidRPr="00034E39" w14:paraId="5965C820" w14:textId="77777777" w:rsidTr="00F17626">
        <w:trPr>
          <w:trHeight w:val="324"/>
          <w:jc w:val="center"/>
        </w:trPr>
        <w:tc>
          <w:tcPr>
            <w:tcW w:w="676" w:type="dxa"/>
            <w:noWrap/>
            <w:hideMark/>
          </w:tcPr>
          <w:p w14:paraId="7E1DCF7B" w14:textId="77777777" w:rsidR="001A2C4E" w:rsidRPr="00034E39" w:rsidRDefault="001A2C4E" w:rsidP="00F17626">
            <w:pPr>
              <w:pStyle w:val="Table"/>
              <w:rPr>
                <w:b/>
                <w:bCs/>
                <w:sz w:val="20"/>
                <w:szCs w:val="20"/>
                <w:lang w:val="uk-UA" w:eastAsia="uk-UA"/>
              </w:rPr>
            </w:pPr>
            <w:r w:rsidRPr="00034E39">
              <w:rPr>
                <w:b/>
                <w:bCs/>
                <w:sz w:val="20"/>
                <w:szCs w:val="20"/>
                <w:lang w:val="uk-UA" w:eastAsia="uk-UA"/>
              </w:rPr>
              <w:t>2035</w:t>
            </w:r>
          </w:p>
        </w:tc>
        <w:tc>
          <w:tcPr>
            <w:tcW w:w="1364" w:type="dxa"/>
            <w:noWrap/>
            <w:hideMark/>
          </w:tcPr>
          <w:p w14:paraId="58AD930D" w14:textId="77777777" w:rsidR="001A2C4E" w:rsidRPr="00034E39" w:rsidRDefault="001A2C4E" w:rsidP="00F17626">
            <w:pPr>
              <w:pStyle w:val="Table"/>
              <w:rPr>
                <w:sz w:val="20"/>
                <w:szCs w:val="20"/>
                <w:lang w:val="uk-UA" w:eastAsia="uk-UA"/>
              </w:rPr>
            </w:pPr>
            <w:r w:rsidRPr="00034E39">
              <w:rPr>
                <w:sz w:val="20"/>
                <w:szCs w:val="20"/>
                <w:lang w:val="uk-UA" w:eastAsia="uk-UA"/>
              </w:rPr>
              <w:t>25 579,2</w:t>
            </w:r>
          </w:p>
        </w:tc>
        <w:tc>
          <w:tcPr>
            <w:tcW w:w="1045" w:type="dxa"/>
            <w:noWrap/>
            <w:hideMark/>
          </w:tcPr>
          <w:p w14:paraId="15EF2CD2" w14:textId="77777777" w:rsidR="001A2C4E" w:rsidRPr="00034E39" w:rsidRDefault="001A2C4E" w:rsidP="00F17626">
            <w:pPr>
              <w:pStyle w:val="Table"/>
              <w:rPr>
                <w:sz w:val="20"/>
                <w:szCs w:val="20"/>
                <w:lang w:val="uk-UA" w:eastAsia="uk-UA"/>
              </w:rPr>
            </w:pPr>
            <w:r w:rsidRPr="00034E39">
              <w:rPr>
                <w:sz w:val="20"/>
                <w:szCs w:val="20"/>
                <w:lang w:val="uk-UA" w:eastAsia="uk-UA"/>
              </w:rPr>
              <w:t>-710,3</w:t>
            </w:r>
          </w:p>
        </w:tc>
        <w:tc>
          <w:tcPr>
            <w:tcW w:w="1276" w:type="dxa"/>
            <w:hideMark/>
          </w:tcPr>
          <w:p w14:paraId="139738A0" w14:textId="77777777" w:rsidR="001A2C4E" w:rsidRPr="00034E39" w:rsidRDefault="001A2C4E" w:rsidP="00F17626">
            <w:pPr>
              <w:pStyle w:val="Table"/>
              <w:rPr>
                <w:sz w:val="20"/>
                <w:szCs w:val="20"/>
                <w:lang w:val="uk-UA" w:eastAsia="uk-UA"/>
              </w:rPr>
            </w:pPr>
            <w:r w:rsidRPr="00034E39">
              <w:rPr>
                <w:sz w:val="20"/>
                <w:szCs w:val="20"/>
                <w:lang w:val="uk-UA" w:eastAsia="uk-UA"/>
              </w:rPr>
              <w:t>62,1%</w:t>
            </w:r>
          </w:p>
        </w:tc>
        <w:tc>
          <w:tcPr>
            <w:tcW w:w="1363" w:type="dxa"/>
            <w:noWrap/>
            <w:hideMark/>
          </w:tcPr>
          <w:p w14:paraId="2B641EC7" w14:textId="77777777" w:rsidR="001A2C4E" w:rsidRPr="00034E39" w:rsidRDefault="001A2C4E" w:rsidP="00F17626">
            <w:pPr>
              <w:pStyle w:val="Table"/>
              <w:rPr>
                <w:sz w:val="20"/>
                <w:szCs w:val="20"/>
                <w:lang w:val="uk-UA" w:eastAsia="uk-UA"/>
              </w:rPr>
            </w:pPr>
            <w:r w:rsidRPr="00034E39">
              <w:rPr>
                <w:sz w:val="20"/>
                <w:szCs w:val="20"/>
                <w:lang w:val="uk-UA" w:eastAsia="uk-UA"/>
              </w:rPr>
              <w:t>19 001,7</w:t>
            </w:r>
          </w:p>
        </w:tc>
        <w:tc>
          <w:tcPr>
            <w:tcW w:w="1045" w:type="dxa"/>
            <w:noWrap/>
            <w:hideMark/>
          </w:tcPr>
          <w:p w14:paraId="3AFD8B2A" w14:textId="77777777" w:rsidR="001A2C4E" w:rsidRPr="00034E39" w:rsidRDefault="001A2C4E" w:rsidP="00F17626">
            <w:pPr>
              <w:pStyle w:val="Table"/>
              <w:rPr>
                <w:sz w:val="20"/>
                <w:szCs w:val="20"/>
                <w:lang w:val="uk-UA" w:eastAsia="uk-UA"/>
              </w:rPr>
            </w:pPr>
            <w:r w:rsidRPr="00034E39">
              <w:rPr>
                <w:sz w:val="20"/>
                <w:szCs w:val="20"/>
                <w:lang w:val="uk-UA" w:eastAsia="uk-UA"/>
              </w:rPr>
              <w:t>-459,5</w:t>
            </w:r>
          </w:p>
        </w:tc>
        <w:tc>
          <w:tcPr>
            <w:tcW w:w="569" w:type="dxa"/>
            <w:noWrap/>
            <w:hideMark/>
          </w:tcPr>
          <w:p w14:paraId="2BD0A00D" w14:textId="77777777" w:rsidR="001A2C4E" w:rsidRPr="00034E39" w:rsidRDefault="001A2C4E" w:rsidP="00F17626">
            <w:pPr>
              <w:pStyle w:val="Table"/>
              <w:rPr>
                <w:sz w:val="20"/>
                <w:szCs w:val="20"/>
                <w:lang w:val="uk-UA" w:eastAsia="uk-UA"/>
              </w:rPr>
            </w:pPr>
            <w:r w:rsidRPr="00034E39">
              <w:rPr>
                <w:sz w:val="20"/>
                <w:szCs w:val="20"/>
                <w:lang w:val="uk-UA" w:eastAsia="uk-UA"/>
              </w:rPr>
              <w:t>74,3</w:t>
            </w:r>
          </w:p>
        </w:tc>
        <w:tc>
          <w:tcPr>
            <w:tcW w:w="1363" w:type="dxa"/>
            <w:noWrap/>
            <w:hideMark/>
          </w:tcPr>
          <w:p w14:paraId="7D98EBBC" w14:textId="77777777" w:rsidR="001A2C4E" w:rsidRPr="00034E39" w:rsidRDefault="001A2C4E" w:rsidP="00F17626">
            <w:pPr>
              <w:pStyle w:val="Table"/>
              <w:rPr>
                <w:sz w:val="20"/>
                <w:szCs w:val="20"/>
                <w:lang w:val="uk-UA" w:eastAsia="uk-UA"/>
              </w:rPr>
            </w:pPr>
            <w:r w:rsidRPr="00034E39">
              <w:rPr>
                <w:sz w:val="20"/>
                <w:szCs w:val="20"/>
                <w:lang w:val="uk-UA" w:eastAsia="uk-UA"/>
              </w:rPr>
              <w:t>6 577,5</w:t>
            </w:r>
          </w:p>
        </w:tc>
        <w:tc>
          <w:tcPr>
            <w:tcW w:w="1067" w:type="dxa"/>
            <w:noWrap/>
            <w:hideMark/>
          </w:tcPr>
          <w:p w14:paraId="6E988368" w14:textId="77777777" w:rsidR="001A2C4E" w:rsidRPr="00034E39" w:rsidRDefault="001A2C4E" w:rsidP="00F17626">
            <w:pPr>
              <w:pStyle w:val="Table"/>
              <w:rPr>
                <w:sz w:val="20"/>
                <w:szCs w:val="20"/>
                <w:lang w:val="uk-UA" w:eastAsia="uk-UA"/>
              </w:rPr>
            </w:pPr>
            <w:r w:rsidRPr="00034E39">
              <w:rPr>
                <w:sz w:val="20"/>
                <w:szCs w:val="20"/>
                <w:lang w:val="uk-UA" w:eastAsia="uk-UA"/>
              </w:rPr>
              <w:t>-250,8</w:t>
            </w:r>
          </w:p>
        </w:tc>
        <w:tc>
          <w:tcPr>
            <w:tcW w:w="599" w:type="dxa"/>
            <w:noWrap/>
            <w:hideMark/>
          </w:tcPr>
          <w:p w14:paraId="6BF60D36" w14:textId="77777777" w:rsidR="001A2C4E" w:rsidRPr="00034E39" w:rsidRDefault="001A2C4E" w:rsidP="00F17626">
            <w:pPr>
              <w:pStyle w:val="Table"/>
              <w:rPr>
                <w:sz w:val="20"/>
                <w:szCs w:val="20"/>
                <w:lang w:val="uk-UA" w:eastAsia="uk-UA"/>
              </w:rPr>
            </w:pPr>
            <w:r w:rsidRPr="00034E39">
              <w:rPr>
                <w:sz w:val="20"/>
                <w:szCs w:val="20"/>
                <w:lang w:val="uk-UA" w:eastAsia="uk-UA"/>
              </w:rPr>
              <w:t>25,7</w:t>
            </w:r>
          </w:p>
        </w:tc>
      </w:tr>
    </w:tbl>
    <w:p w14:paraId="30BB690A" w14:textId="77777777" w:rsidR="001A2C4E" w:rsidRPr="00E74A7D" w:rsidRDefault="001A2C4E" w:rsidP="001A2C4E">
      <w:pPr>
        <w:rPr>
          <w:lang w:eastAsia="uk-UA"/>
        </w:rPr>
      </w:pPr>
      <w:r w:rsidRPr="00E74A7D">
        <w:rPr>
          <w:lang w:eastAsia="uk-UA"/>
        </w:rPr>
        <w:t>Відсоток зменшення населення в прогнозованому періоді досить значний і суттєво перевищує очікувані показники зменшення населення за цей період у всіх інших країнах ЄС.</w:t>
      </w:r>
    </w:p>
    <w:p w14:paraId="20B97050" w14:textId="77777777" w:rsidR="001A2C4E" w:rsidRPr="00E74A7D" w:rsidRDefault="001A2C4E" w:rsidP="001A2C4E">
      <w:pPr>
        <w:rPr>
          <w:lang w:eastAsia="uk-UA"/>
        </w:rPr>
      </w:pPr>
      <w:r w:rsidRPr="00E74A7D">
        <w:rPr>
          <w:lang w:eastAsia="uk-UA"/>
        </w:rPr>
        <w:t xml:space="preserve">Щодо розподілу населення за місцем проживання, то очікується незначне зростання відсотку міського населення під впливом внутрішніх  міграційних процесів. </w:t>
      </w:r>
    </w:p>
    <w:p w14:paraId="05167213" w14:textId="77777777" w:rsidR="001A2C4E" w:rsidRPr="00F724CB" w:rsidRDefault="001A2C4E" w:rsidP="001A2C4E">
      <w:pPr>
        <w:rPr>
          <w:color w:val="202124"/>
          <w:lang w:eastAsia="uk-UA"/>
        </w:rPr>
      </w:pPr>
    </w:p>
    <w:p w14:paraId="4923018B" w14:textId="77777777" w:rsidR="001A2C4E" w:rsidRPr="00F724CB" w:rsidRDefault="001A2C4E" w:rsidP="001A2C4E">
      <w:pPr>
        <w:pStyle w:val="ad"/>
        <w:rPr>
          <w:color w:val="202124"/>
          <w:lang w:val="uk-UA" w:eastAsia="uk-UA"/>
        </w:rPr>
      </w:pPr>
      <w:bookmarkStart w:id="46" w:name="_Toc150293105"/>
      <w:r w:rsidRPr="00F724CB">
        <w:rPr>
          <w:lang w:val="uk-UA"/>
        </w:rPr>
        <w:t xml:space="preserve">Таблиця </w:t>
      </w:r>
      <w:r w:rsidRPr="00F724CB">
        <w:rPr>
          <w:lang w:val="uk-UA"/>
        </w:rPr>
        <w:fldChar w:fldCharType="begin"/>
      </w:r>
      <w:r w:rsidRPr="00F724CB">
        <w:rPr>
          <w:lang w:val="uk-UA"/>
        </w:rPr>
        <w:instrText xml:space="preserve"> SEQ Таблиця \* ARABIC </w:instrText>
      </w:r>
      <w:r w:rsidRPr="00F724CB">
        <w:rPr>
          <w:lang w:val="uk-UA"/>
        </w:rPr>
        <w:fldChar w:fldCharType="separate"/>
      </w:r>
      <w:r>
        <w:rPr>
          <w:noProof/>
          <w:lang w:val="uk-UA"/>
        </w:rPr>
        <w:t>3</w:t>
      </w:r>
      <w:r w:rsidRPr="00F724CB">
        <w:rPr>
          <w:lang w:val="uk-UA"/>
        </w:rPr>
        <w:fldChar w:fldCharType="end"/>
      </w:r>
      <w:r w:rsidRPr="00F724CB">
        <w:rPr>
          <w:lang w:val="uk-UA"/>
        </w:rPr>
        <w:t xml:space="preserve">. </w:t>
      </w:r>
      <w:r w:rsidRPr="009B483B">
        <w:rPr>
          <w:lang w:val="uk-UA" w:eastAsia="uk-UA"/>
        </w:rPr>
        <w:t>Розміщення населення України в 2023 р. (тис. осіб)</w:t>
      </w:r>
      <w:bookmarkEnd w:id="46"/>
    </w:p>
    <w:tbl>
      <w:tblPr>
        <w:tblStyle w:val="14"/>
        <w:tblW w:w="4732" w:type="pct"/>
        <w:tblInd w:w="534" w:type="dxa"/>
        <w:tblLook w:val="04A0" w:firstRow="1" w:lastRow="0" w:firstColumn="1" w:lastColumn="0" w:noHBand="0" w:noVBand="1"/>
      </w:tblPr>
      <w:tblGrid>
        <w:gridCol w:w="1149"/>
        <w:gridCol w:w="1027"/>
        <w:gridCol w:w="982"/>
        <w:gridCol w:w="1692"/>
        <w:gridCol w:w="1815"/>
        <w:gridCol w:w="1557"/>
        <w:gridCol w:w="1200"/>
      </w:tblGrid>
      <w:tr w:rsidR="001A2C4E" w:rsidRPr="00034E39" w14:paraId="573DD4F2" w14:textId="77777777" w:rsidTr="00F17626">
        <w:tc>
          <w:tcPr>
            <w:tcW w:w="610" w:type="pct"/>
            <w:vMerge w:val="restart"/>
            <w:vAlign w:val="center"/>
          </w:tcPr>
          <w:p w14:paraId="5EFF05A4" w14:textId="77777777" w:rsidR="001A2C4E" w:rsidRPr="00E033AB" w:rsidRDefault="001A2C4E" w:rsidP="00F17626">
            <w:pPr>
              <w:pStyle w:val="Table"/>
              <w:jc w:val="center"/>
              <w:rPr>
                <w:b/>
                <w:bCs/>
                <w:sz w:val="20"/>
                <w:szCs w:val="22"/>
                <w:lang w:val="uk-UA" w:eastAsia="uk-UA"/>
              </w:rPr>
            </w:pPr>
            <w:r w:rsidRPr="00E033AB">
              <w:rPr>
                <w:b/>
                <w:bCs/>
                <w:sz w:val="20"/>
                <w:szCs w:val="22"/>
                <w:lang w:val="uk-UA" w:eastAsia="uk-UA"/>
              </w:rPr>
              <w:t>Всього населення</w:t>
            </w:r>
          </w:p>
        </w:tc>
        <w:tc>
          <w:tcPr>
            <w:tcW w:w="2927" w:type="pct"/>
            <w:gridSpan w:val="4"/>
            <w:vAlign w:val="center"/>
          </w:tcPr>
          <w:p w14:paraId="78883DBD" w14:textId="77777777" w:rsidR="001A2C4E" w:rsidRPr="00E033AB" w:rsidRDefault="001A2C4E" w:rsidP="00F17626">
            <w:pPr>
              <w:pStyle w:val="Table"/>
              <w:jc w:val="center"/>
              <w:rPr>
                <w:b/>
                <w:bCs/>
                <w:sz w:val="20"/>
                <w:szCs w:val="22"/>
                <w:lang w:val="uk-UA" w:eastAsia="uk-UA"/>
              </w:rPr>
            </w:pPr>
            <w:r w:rsidRPr="00E033AB">
              <w:rPr>
                <w:b/>
                <w:bCs/>
                <w:sz w:val="20"/>
                <w:szCs w:val="22"/>
                <w:lang w:val="uk-UA" w:eastAsia="uk-UA"/>
              </w:rPr>
              <w:t>Міське населення</w:t>
            </w:r>
          </w:p>
        </w:tc>
        <w:tc>
          <w:tcPr>
            <w:tcW w:w="1463" w:type="pct"/>
            <w:gridSpan w:val="2"/>
            <w:vAlign w:val="center"/>
          </w:tcPr>
          <w:p w14:paraId="1DB581B6" w14:textId="77777777" w:rsidR="001A2C4E" w:rsidRPr="00E033AB" w:rsidRDefault="001A2C4E" w:rsidP="00F17626">
            <w:pPr>
              <w:pStyle w:val="Table"/>
              <w:jc w:val="center"/>
              <w:rPr>
                <w:b/>
                <w:bCs/>
                <w:sz w:val="20"/>
                <w:szCs w:val="22"/>
                <w:lang w:val="uk-UA" w:eastAsia="uk-UA"/>
              </w:rPr>
            </w:pPr>
            <w:r w:rsidRPr="00E033AB">
              <w:rPr>
                <w:b/>
                <w:bCs/>
                <w:sz w:val="20"/>
                <w:szCs w:val="22"/>
                <w:lang w:val="uk-UA" w:eastAsia="uk-UA"/>
              </w:rPr>
              <w:t>Сільське населення</w:t>
            </w:r>
          </w:p>
        </w:tc>
      </w:tr>
      <w:tr w:rsidR="001A2C4E" w:rsidRPr="00034E39" w14:paraId="44DF07DC" w14:textId="77777777" w:rsidTr="00F17626">
        <w:tc>
          <w:tcPr>
            <w:tcW w:w="610" w:type="pct"/>
            <w:vMerge/>
          </w:tcPr>
          <w:p w14:paraId="7A1F19BC" w14:textId="77777777" w:rsidR="001A2C4E" w:rsidRPr="00E033AB" w:rsidRDefault="001A2C4E" w:rsidP="00F17626">
            <w:pPr>
              <w:pStyle w:val="Table"/>
              <w:rPr>
                <w:b/>
                <w:bCs/>
                <w:sz w:val="20"/>
                <w:szCs w:val="22"/>
                <w:lang w:val="uk-UA" w:eastAsia="uk-UA"/>
              </w:rPr>
            </w:pPr>
          </w:p>
        </w:tc>
        <w:tc>
          <w:tcPr>
            <w:tcW w:w="545" w:type="pct"/>
            <w:vAlign w:val="center"/>
          </w:tcPr>
          <w:p w14:paraId="162B28A0" w14:textId="77777777" w:rsidR="001A2C4E" w:rsidRPr="00E033AB" w:rsidRDefault="001A2C4E" w:rsidP="00F17626">
            <w:pPr>
              <w:pStyle w:val="Table"/>
              <w:rPr>
                <w:b/>
                <w:bCs/>
                <w:sz w:val="20"/>
                <w:szCs w:val="22"/>
                <w:lang w:val="uk-UA" w:eastAsia="uk-UA"/>
              </w:rPr>
            </w:pPr>
            <w:r w:rsidRPr="00E033AB">
              <w:rPr>
                <w:b/>
                <w:bCs/>
                <w:sz w:val="20"/>
                <w:szCs w:val="22"/>
                <w:lang w:val="uk-UA" w:eastAsia="uk-UA"/>
              </w:rPr>
              <w:t>Всього</w:t>
            </w:r>
          </w:p>
        </w:tc>
        <w:tc>
          <w:tcPr>
            <w:tcW w:w="521" w:type="pct"/>
            <w:vAlign w:val="center"/>
          </w:tcPr>
          <w:p w14:paraId="10C24830" w14:textId="77777777" w:rsidR="001A2C4E" w:rsidRPr="00E033AB" w:rsidRDefault="001A2C4E" w:rsidP="00F17626">
            <w:pPr>
              <w:pStyle w:val="Table"/>
              <w:rPr>
                <w:b/>
                <w:bCs/>
                <w:sz w:val="20"/>
                <w:szCs w:val="22"/>
                <w:lang w:val="uk-UA" w:eastAsia="uk-UA"/>
              </w:rPr>
            </w:pPr>
            <w:r w:rsidRPr="00E033AB">
              <w:rPr>
                <w:b/>
                <w:bCs/>
                <w:sz w:val="20"/>
                <w:szCs w:val="22"/>
                <w:lang w:val="uk-UA" w:eastAsia="uk-UA"/>
              </w:rPr>
              <w:t>В %</w:t>
            </w:r>
          </w:p>
        </w:tc>
        <w:tc>
          <w:tcPr>
            <w:tcW w:w="898" w:type="pct"/>
            <w:vAlign w:val="center"/>
          </w:tcPr>
          <w:p w14:paraId="0858068C" w14:textId="77777777" w:rsidR="001A2C4E" w:rsidRPr="00E033AB" w:rsidRDefault="001A2C4E" w:rsidP="00F17626">
            <w:pPr>
              <w:pStyle w:val="Table"/>
              <w:rPr>
                <w:b/>
                <w:bCs/>
                <w:sz w:val="20"/>
                <w:szCs w:val="22"/>
                <w:lang w:val="uk-UA" w:eastAsia="uk-UA"/>
              </w:rPr>
            </w:pPr>
            <w:r w:rsidRPr="00E033AB">
              <w:rPr>
                <w:b/>
                <w:bCs/>
                <w:sz w:val="20"/>
                <w:szCs w:val="22"/>
                <w:lang w:val="uk-UA" w:eastAsia="uk-UA"/>
              </w:rPr>
              <w:t>Райони типу А</w:t>
            </w:r>
          </w:p>
          <w:p w14:paraId="33FFE9AC" w14:textId="77777777" w:rsidR="001A2C4E" w:rsidRPr="00E033AB" w:rsidRDefault="001A2C4E" w:rsidP="00F17626">
            <w:pPr>
              <w:pStyle w:val="Table"/>
              <w:rPr>
                <w:b/>
                <w:bCs/>
                <w:sz w:val="20"/>
                <w:szCs w:val="22"/>
                <w:lang w:val="uk-UA" w:eastAsia="uk-UA"/>
              </w:rPr>
            </w:pPr>
            <w:r>
              <w:rPr>
                <w:b/>
                <w:bCs/>
                <w:sz w:val="20"/>
                <w:szCs w:val="22"/>
                <w:lang w:val="uk-UA" w:eastAsia="uk-UA"/>
              </w:rPr>
              <w:t>(</w:t>
            </w:r>
            <w:r w:rsidRPr="00E033AB">
              <w:rPr>
                <w:b/>
                <w:bCs/>
                <w:sz w:val="20"/>
                <w:szCs w:val="22"/>
                <w:lang w:val="uk-UA" w:eastAsia="uk-UA"/>
              </w:rPr>
              <w:t>68%</w:t>
            </w:r>
            <w:r>
              <w:rPr>
                <w:b/>
                <w:bCs/>
                <w:sz w:val="20"/>
                <w:szCs w:val="22"/>
                <w:lang w:val="uk-UA" w:eastAsia="uk-UA"/>
              </w:rPr>
              <w:t>)</w:t>
            </w:r>
          </w:p>
        </w:tc>
        <w:tc>
          <w:tcPr>
            <w:tcW w:w="963" w:type="pct"/>
            <w:vAlign w:val="center"/>
          </w:tcPr>
          <w:p w14:paraId="7BB449E4" w14:textId="77777777" w:rsidR="001A2C4E" w:rsidRPr="00E033AB" w:rsidRDefault="001A2C4E" w:rsidP="00F17626">
            <w:pPr>
              <w:pStyle w:val="Table"/>
              <w:rPr>
                <w:b/>
                <w:bCs/>
                <w:sz w:val="20"/>
                <w:szCs w:val="22"/>
                <w:lang w:val="uk-UA" w:eastAsia="uk-UA"/>
              </w:rPr>
            </w:pPr>
            <w:r w:rsidRPr="00E033AB">
              <w:rPr>
                <w:b/>
                <w:bCs/>
                <w:sz w:val="20"/>
                <w:szCs w:val="22"/>
                <w:lang w:val="uk-UA" w:eastAsia="uk-UA"/>
              </w:rPr>
              <w:t>Райони типу Б</w:t>
            </w:r>
          </w:p>
          <w:p w14:paraId="4E83AAEF" w14:textId="77777777" w:rsidR="001A2C4E" w:rsidRPr="00E033AB" w:rsidRDefault="001A2C4E" w:rsidP="00F17626">
            <w:pPr>
              <w:pStyle w:val="Table"/>
              <w:rPr>
                <w:b/>
                <w:bCs/>
                <w:sz w:val="20"/>
                <w:szCs w:val="22"/>
                <w:lang w:val="uk-UA" w:eastAsia="uk-UA"/>
              </w:rPr>
            </w:pPr>
            <w:r>
              <w:rPr>
                <w:b/>
                <w:bCs/>
                <w:sz w:val="20"/>
                <w:szCs w:val="22"/>
                <w:lang w:val="uk-UA" w:eastAsia="uk-UA"/>
              </w:rPr>
              <w:t>(</w:t>
            </w:r>
            <w:r w:rsidRPr="00E033AB">
              <w:rPr>
                <w:b/>
                <w:bCs/>
                <w:sz w:val="20"/>
                <w:szCs w:val="22"/>
                <w:lang w:val="uk-UA" w:eastAsia="uk-UA"/>
              </w:rPr>
              <w:t>32%</w:t>
            </w:r>
            <w:r>
              <w:rPr>
                <w:b/>
                <w:bCs/>
                <w:sz w:val="20"/>
                <w:szCs w:val="22"/>
                <w:lang w:val="uk-UA" w:eastAsia="uk-UA"/>
              </w:rPr>
              <w:t>)</w:t>
            </w:r>
          </w:p>
        </w:tc>
        <w:tc>
          <w:tcPr>
            <w:tcW w:w="826" w:type="pct"/>
            <w:vAlign w:val="center"/>
          </w:tcPr>
          <w:p w14:paraId="2C417D73" w14:textId="77777777" w:rsidR="001A2C4E" w:rsidRPr="00E033AB" w:rsidRDefault="001A2C4E" w:rsidP="00F17626">
            <w:pPr>
              <w:pStyle w:val="Table"/>
              <w:rPr>
                <w:b/>
                <w:bCs/>
                <w:sz w:val="20"/>
                <w:szCs w:val="22"/>
                <w:lang w:val="uk-UA" w:eastAsia="uk-UA"/>
              </w:rPr>
            </w:pPr>
            <w:r w:rsidRPr="00E033AB">
              <w:rPr>
                <w:b/>
                <w:bCs/>
                <w:sz w:val="20"/>
                <w:szCs w:val="22"/>
                <w:lang w:val="uk-UA" w:eastAsia="uk-UA"/>
              </w:rPr>
              <w:t>Райони типу В</w:t>
            </w:r>
            <w:r>
              <w:rPr>
                <w:b/>
                <w:bCs/>
                <w:sz w:val="20"/>
                <w:szCs w:val="22"/>
                <w:lang w:val="uk-UA" w:eastAsia="uk-UA"/>
              </w:rPr>
              <w:t xml:space="preserve"> (100%)</w:t>
            </w:r>
          </w:p>
        </w:tc>
        <w:tc>
          <w:tcPr>
            <w:tcW w:w="637" w:type="pct"/>
            <w:vAlign w:val="center"/>
          </w:tcPr>
          <w:p w14:paraId="67766A75" w14:textId="77777777" w:rsidR="001A2C4E" w:rsidRPr="00E033AB" w:rsidRDefault="001A2C4E" w:rsidP="00F17626">
            <w:pPr>
              <w:pStyle w:val="Table"/>
              <w:rPr>
                <w:b/>
                <w:bCs/>
                <w:sz w:val="20"/>
                <w:szCs w:val="22"/>
                <w:lang w:val="uk-UA" w:eastAsia="uk-UA"/>
              </w:rPr>
            </w:pPr>
            <w:r w:rsidRPr="00E033AB">
              <w:rPr>
                <w:b/>
                <w:bCs/>
                <w:sz w:val="20"/>
                <w:szCs w:val="22"/>
                <w:lang w:val="uk-UA" w:eastAsia="uk-UA"/>
              </w:rPr>
              <w:t>В %</w:t>
            </w:r>
          </w:p>
        </w:tc>
      </w:tr>
      <w:tr w:rsidR="001A2C4E" w:rsidRPr="00034E39" w14:paraId="757C1BF0" w14:textId="77777777" w:rsidTr="00F17626">
        <w:tc>
          <w:tcPr>
            <w:tcW w:w="610" w:type="pct"/>
            <w:vAlign w:val="center"/>
          </w:tcPr>
          <w:p w14:paraId="3B3D5857" w14:textId="77777777" w:rsidR="001A2C4E" w:rsidRPr="00034E39" w:rsidRDefault="001A2C4E" w:rsidP="00F17626">
            <w:pPr>
              <w:pStyle w:val="Table"/>
              <w:jc w:val="center"/>
              <w:rPr>
                <w:sz w:val="20"/>
                <w:szCs w:val="22"/>
                <w:lang w:val="uk-UA" w:eastAsia="uk-UA"/>
              </w:rPr>
            </w:pPr>
            <w:r w:rsidRPr="00034E39">
              <w:rPr>
                <w:color w:val="000000"/>
                <w:sz w:val="20"/>
                <w:szCs w:val="22"/>
                <w:lang w:val="uk-UA" w:eastAsia="uk-UA"/>
              </w:rPr>
              <w:t>35 430,1</w:t>
            </w:r>
          </w:p>
        </w:tc>
        <w:tc>
          <w:tcPr>
            <w:tcW w:w="545" w:type="pct"/>
            <w:vAlign w:val="center"/>
          </w:tcPr>
          <w:p w14:paraId="3B72DE24" w14:textId="77777777" w:rsidR="001A2C4E" w:rsidRPr="00034E39" w:rsidRDefault="001A2C4E" w:rsidP="00F17626">
            <w:pPr>
              <w:pStyle w:val="Table"/>
              <w:jc w:val="center"/>
              <w:rPr>
                <w:sz w:val="20"/>
                <w:szCs w:val="22"/>
                <w:lang w:val="uk-UA" w:eastAsia="uk-UA"/>
              </w:rPr>
            </w:pPr>
            <w:r w:rsidRPr="00034E39">
              <w:rPr>
                <w:color w:val="000000"/>
                <w:sz w:val="20"/>
                <w:szCs w:val="22"/>
                <w:lang w:val="uk-UA" w:eastAsia="uk-UA"/>
              </w:rPr>
              <w:t>25 238,8</w:t>
            </w:r>
          </w:p>
        </w:tc>
        <w:tc>
          <w:tcPr>
            <w:tcW w:w="521" w:type="pct"/>
            <w:vAlign w:val="center"/>
          </w:tcPr>
          <w:p w14:paraId="40C0F16E" w14:textId="77777777" w:rsidR="001A2C4E" w:rsidRPr="00034E39" w:rsidRDefault="001A2C4E" w:rsidP="00F17626">
            <w:pPr>
              <w:pStyle w:val="Table"/>
              <w:jc w:val="center"/>
              <w:rPr>
                <w:sz w:val="20"/>
                <w:szCs w:val="22"/>
                <w:lang w:val="uk-UA" w:eastAsia="uk-UA"/>
              </w:rPr>
            </w:pPr>
            <w:r w:rsidRPr="00034E39">
              <w:rPr>
                <w:color w:val="000000"/>
                <w:sz w:val="20"/>
                <w:szCs w:val="22"/>
                <w:lang w:val="uk-UA" w:eastAsia="uk-UA"/>
              </w:rPr>
              <w:t>71,2%</w:t>
            </w:r>
          </w:p>
        </w:tc>
        <w:tc>
          <w:tcPr>
            <w:tcW w:w="898" w:type="pct"/>
            <w:vAlign w:val="center"/>
          </w:tcPr>
          <w:p w14:paraId="44FAE772" w14:textId="77777777" w:rsidR="001A2C4E" w:rsidRPr="00034E39" w:rsidRDefault="001A2C4E" w:rsidP="00F17626">
            <w:pPr>
              <w:pStyle w:val="Table"/>
              <w:jc w:val="center"/>
              <w:rPr>
                <w:sz w:val="20"/>
                <w:szCs w:val="22"/>
                <w:lang w:val="uk-UA" w:eastAsia="uk-UA"/>
              </w:rPr>
            </w:pPr>
            <w:r w:rsidRPr="00034E39">
              <w:rPr>
                <w:sz w:val="20"/>
                <w:szCs w:val="22"/>
                <w:lang w:val="uk-UA" w:eastAsia="uk-UA"/>
              </w:rPr>
              <w:t>17 162,4</w:t>
            </w:r>
          </w:p>
        </w:tc>
        <w:tc>
          <w:tcPr>
            <w:tcW w:w="963" w:type="pct"/>
            <w:vAlign w:val="center"/>
          </w:tcPr>
          <w:p w14:paraId="688DDC20" w14:textId="77777777" w:rsidR="001A2C4E" w:rsidRPr="00034E39" w:rsidRDefault="001A2C4E" w:rsidP="00F17626">
            <w:pPr>
              <w:pStyle w:val="Table"/>
              <w:jc w:val="center"/>
              <w:rPr>
                <w:sz w:val="20"/>
                <w:szCs w:val="22"/>
                <w:lang w:val="uk-UA" w:eastAsia="uk-UA"/>
              </w:rPr>
            </w:pPr>
            <w:r w:rsidRPr="00034E39">
              <w:rPr>
                <w:sz w:val="20"/>
                <w:szCs w:val="22"/>
                <w:lang w:val="uk-UA" w:eastAsia="uk-UA"/>
              </w:rPr>
              <w:t>8 076,4</w:t>
            </w:r>
          </w:p>
        </w:tc>
        <w:tc>
          <w:tcPr>
            <w:tcW w:w="826" w:type="pct"/>
            <w:vAlign w:val="center"/>
          </w:tcPr>
          <w:p w14:paraId="25429E0E" w14:textId="77777777" w:rsidR="001A2C4E" w:rsidRPr="00034E39" w:rsidRDefault="001A2C4E" w:rsidP="00F17626">
            <w:pPr>
              <w:pStyle w:val="Table"/>
              <w:jc w:val="center"/>
              <w:rPr>
                <w:sz w:val="20"/>
                <w:szCs w:val="22"/>
                <w:lang w:val="uk-UA" w:eastAsia="uk-UA"/>
              </w:rPr>
            </w:pPr>
            <w:r w:rsidRPr="00034E39">
              <w:rPr>
                <w:color w:val="000000"/>
                <w:sz w:val="20"/>
                <w:szCs w:val="22"/>
                <w:lang w:val="uk-UA" w:eastAsia="uk-UA"/>
              </w:rPr>
              <w:t>10 191,3</w:t>
            </w:r>
          </w:p>
        </w:tc>
        <w:tc>
          <w:tcPr>
            <w:tcW w:w="637" w:type="pct"/>
            <w:vAlign w:val="center"/>
          </w:tcPr>
          <w:p w14:paraId="07B63E2E" w14:textId="77777777" w:rsidR="001A2C4E" w:rsidRPr="00034E39" w:rsidRDefault="001A2C4E" w:rsidP="00F17626">
            <w:pPr>
              <w:pStyle w:val="Table"/>
              <w:jc w:val="center"/>
              <w:rPr>
                <w:sz w:val="20"/>
                <w:szCs w:val="22"/>
                <w:lang w:val="uk-UA" w:eastAsia="uk-UA"/>
              </w:rPr>
            </w:pPr>
            <w:r w:rsidRPr="00034E39">
              <w:rPr>
                <w:color w:val="000000"/>
                <w:sz w:val="20"/>
                <w:szCs w:val="22"/>
                <w:lang w:val="uk-UA" w:eastAsia="uk-UA"/>
              </w:rPr>
              <w:t>28,8%</w:t>
            </w:r>
          </w:p>
        </w:tc>
      </w:tr>
    </w:tbl>
    <w:p w14:paraId="3548ACFD" w14:textId="77777777" w:rsidR="001A2C4E" w:rsidRPr="00F724CB" w:rsidRDefault="001A2C4E" w:rsidP="001A2C4E">
      <w:pPr>
        <w:rPr>
          <w:color w:val="202124"/>
          <w:lang w:eastAsia="uk-UA"/>
        </w:rPr>
      </w:pPr>
    </w:p>
    <w:p w14:paraId="0B19F834" w14:textId="77777777" w:rsidR="0092080C" w:rsidRPr="00F724CB" w:rsidRDefault="0092080C" w:rsidP="00F33914">
      <w:pPr>
        <w:pStyle w:val="30"/>
        <w:rPr>
          <w:lang w:eastAsia="uk-UA"/>
        </w:rPr>
      </w:pPr>
      <w:bookmarkStart w:id="47" w:name="_Toc149851513"/>
      <w:bookmarkStart w:id="48" w:name="_Toc151583276"/>
      <w:r w:rsidRPr="00F724CB">
        <w:rPr>
          <w:lang w:eastAsia="uk-UA"/>
        </w:rPr>
        <w:t>Поточний стан збирання та оброблення відходів, що біологічно розкладаються</w:t>
      </w:r>
      <w:bookmarkEnd w:id="47"/>
      <w:bookmarkEnd w:id="48"/>
    </w:p>
    <w:p w14:paraId="7E539C82" w14:textId="77777777" w:rsidR="0092080C" w:rsidRPr="00F724CB" w:rsidRDefault="0092080C" w:rsidP="00F33914">
      <w:pPr>
        <w:pStyle w:val="Heading4boldRED"/>
        <w:rPr>
          <w:lang w:eastAsia="uk-UA"/>
        </w:rPr>
      </w:pPr>
      <w:bookmarkStart w:id="49" w:name="_Toc149851514"/>
      <w:r w:rsidRPr="00F724CB">
        <w:rPr>
          <w:lang w:eastAsia="uk-UA"/>
        </w:rPr>
        <w:t>Збирання та оброблення зелених садово-паркових відходів</w:t>
      </w:r>
      <w:bookmarkEnd w:id="49"/>
      <w:r w:rsidRPr="00F724CB">
        <w:rPr>
          <w:lang w:eastAsia="uk-UA"/>
        </w:rPr>
        <w:t xml:space="preserve"> </w:t>
      </w:r>
    </w:p>
    <w:p w14:paraId="68A81B37" w14:textId="77777777" w:rsidR="0092080C" w:rsidRPr="00E74A7D" w:rsidRDefault="0092080C" w:rsidP="0092080C">
      <w:pPr>
        <w:rPr>
          <w:lang w:eastAsia="uk-UA"/>
        </w:rPr>
      </w:pPr>
      <w:r w:rsidRPr="00E74A7D">
        <w:rPr>
          <w:lang w:eastAsia="uk-UA"/>
        </w:rPr>
        <w:t>Відходи з громадських парків, кладовищ, придорожніх насаджень тощо зазвичай збираються окремо, найчастіше комунальними підприємствами з благоустрою. Ці відходи вивозяться окремо від інших побутових відходів і видаляються на полігони без попереднього оброблення та компостування. В окремих територіальних громадах запроваджена практика компостування зелених садово-паркових відходів, однак статистична звітність про даний вид діяльності відсутня.  Компостування проводиться в валах, без попереднього подрібнення гілок і листя, тому процес відбувається повільно (більше року), а готовий продукт використовують як мульчу в парках.</w:t>
      </w:r>
    </w:p>
    <w:p w14:paraId="1428EDB7" w14:textId="77777777" w:rsidR="0092080C" w:rsidRPr="00E74A7D" w:rsidRDefault="0092080C" w:rsidP="0092080C">
      <w:pPr>
        <w:rPr>
          <w:lang w:eastAsia="uk-UA"/>
        </w:rPr>
      </w:pPr>
      <w:r w:rsidRPr="00E74A7D">
        <w:rPr>
          <w:lang w:eastAsia="uk-UA"/>
        </w:rPr>
        <w:t>Існує кілька причин, чому органи місцевого самоврядування не документують дану діяльність. Насамперед через законодавчі прогалини та існуючі санітарно-гігієнічні та екологічні вимоги до оформлення ділянок для компостування, а також через непрозоре інвестування коштів для придбання дробильного обладнання та машин для просіювання кінцевого продукту, процедури найму робітників тощо. Для цих інвестицій, а також для операційних витрат необхідні кошти, що пов'язано з підвищення оплати вартості надання  послуг управління побутовими відходами. Оскільки вартість видалення таких відходів досить низька, а економічний ефект від продажу компосту малий, громади вважають за краще не обробляти зелені відходи. Крім цього відчувається відсутність досвіду компостування зелених садово-паркових відходів та ринку збуту компосту.</w:t>
      </w:r>
    </w:p>
    <w:p w14:paraId="01344C11" w14:textId="6B0BAF76" w:rsidR="0092080C" w:rsidRPr="00E74A7D" w:rsidRDefault="0092080C" w:rsidP="0092080C">
      <w:pPr>
        <w:rPr>
          <w:lang w:eastAsia="uk-UA"/>
        </w:rPr>
      </w:pPr>
      <w:r w:rsidRPr="00E74A7D">
        <w:rPr>
          <w:lang w:eastAsia="uk-UA"/>
        </w:rPr>
        <w:t xml:space="preserve">У великих містах, де є великі зелені зони і сади, компостування може бути запроваджено як ефективний захід для зменшення </w:t>
      </w:r>
      <w:r w:rsidR="00466AFA" w:rsidRPr="00466AFA">
        <w:rPr>
          <w:lang w:eastAsia="uk-UA"/>
        </w:rPr>
        <w:t xml:space="preserve">обсягів </w:t>
      </w:r>
      <w:r w:rsidRPr="00E74A7D">
        <w:rPr>
          <w:lang w:eastAsia="uk-UA"/>
        </w:rPr>
        <w:t xml:space="preserve"> видалених відходів, які займають значні площі на полігонах і сміттєзвалищах. В багатьох європейських країнах існують законодавчі обмеження або заборони їх зберігання на території.</w:t>
      </w:r>
    </w:p>
    <w:p w14:paraId="4E56DFB2" w14:textId="77777777" w:rsidR="0092080C" w:rsidRPr="00E74A7D" w:rsidRDefault="0092080C" w:rsidP="0092080C">
      <w:pPr>
        <w:rPr>
          <w:lang w:eastAsia="uk-UA"/>
        </w:rPr>
      </w:pPr>
      <w:r w:rsidRPr="00E74A7D">
        <w:rPr>
          <w:lang w:eastAsia="uk-UA"/>
        </w:rPr>
        <w:t>Конкретні обсяги зелених садово-паркових відходів залежать від кількості зелених насаджень у відповідному житловому масиві, яка згідно норм ДБН повинна складати не менше 5 м</w:t>
      </w:r>
      <w:r w:rsidRPr="00E74A7D">
        <w:rPr>
          <w:vertAlign w:val="superscript"/>
          <w:lang w:eastAsia="uk-UA"/>
        </w:rPr>
        <w:t xml:space="preserve">2 </w:t>
      </w:r>
      <w:r w:rsidRPr="00E74A7D">
        <w:rPr>
          <w:lang w:eastAsia="uk-UA"/>
        </w:rPr>
        <w:t>на людину. Загалом кількість цих відходів у містах оцінюється в 25-30 кг/жителя на рік.</w:t>
      </w:r>
    </w:p>
    <w:p w14:paraId="75D0A05B" w14:textId="77777777" w:rsidR="0092080C" w:rsidRPr="00F724CB" w:rsidRDefault="0092080C" w:rsidP="0092080C">
      <w:pPr>
        <w:rPr>
          <w:color w:val="202124"/>
          <w:lang w:eastAsia="uk-UA"/>
        </w:rPr>
      </w:pPr>
    </w:p>
    <w:p w14:paraId="5FA4AF8E" w14:textId="77777777" w:rsidR="0092080C" w:rsidRPr="00F724CB" w:rsidRDefault="0092080C" w:rsidP="00F33914">
      <w:pPr>
        <w:pStyle w:val="Heading4boldRED"/>
        <w:rPr>
          <w:lang w:eastAsia="uk-UA"/>
        </w:rPr>
      </w:pPr>
      <w:bookmarkStart w:id="50" w:name="_Toc149851515"/>
      <w:r w:rsidRPr="00F724CB">
        <w:rPr>
          <w:lang w:eastAsia="uk-UA"/>
        </w:rPr>
        <w:t>Збирання та оброблення побутових відходів, що біологічно розкладаються</w:t>
      </w:r>
      <w:bookmarkEnd w:id="50"/>
    </w:p>
    <w:p w14:paraId="4BEFB506" w14:textId="77777777" w:rsidR="0092080C" w:rsidRPr="00E74A7D" w:rsidRDefault="0092080C" w:rsidP="0092080C">
      <w:pPr>
        <w:rPr>
          <w:lang w:eastAsia="uk-UA"/>
        </w:rPr>
      </w:pPr>
      <w:r w:rsidRPr="0087122C">
        <w:rPr>
          <w:lang w:eastAsia="uk-UA"/>
        </w:rPr>
        <w:t>Середньорічні обсяги відходів</w:t>
      </w:r>
      <w:r w:rsidRPr="0087122C">
        <w:rPr>
          <w:lang w:val="bg-BG" w:eastAsia="uk-UA"/>
        </w:rPr>
        <w:t>, що</w:t>
      </w:r>
      <w:r w:rsidRPr="0087122C">
        <w:t xml:space="preserve"> </w:t>
      </w:r>
      <w:r w:rsidRPr="0087122C">
        <w:rPr>
          <w:lang w:eastAsia="uk-UA"/>
        </w:rPr>
        <w:t>біологічно розкладаються складають 47% (близько 5,2 млн.тон), загального обсягу утворюваних побутових відходів в Україні, які суттєво розрізняються за регіонами та типами населених пунктів. Максимальна кількість утворюється в сільській місцевості та слабо урбанізованих районах. Це пояснюється рівнем доходів, структурою споживання та демографічними особливостями  регіонів.</w:t>
      </w:r>
      <w:r w:rsidRPr="00E74A7D">
        <w:rPr>
          <w:lang w:eastAsia="uk-UA"/>
        </w:rPr>
        <w:t xml:space="preserve"> </w:t>
      </w:r>
    </w:p>
    <w:p w14:paraId="46008A3C" w14:textId="77777777" w:rsidR="0092080C" w:rsidRPr="00E74A7D" w:rsidRDefault="0092080C" w:rsidP="0092080C">
      <w:pPr>
        <w:rPr>
          <w:lang w:eastAsia="uk-UA"/>
        </w:rPr>
      </w:pPr>
      <w:r>
        <w:rPr>
          <w:lang w:eastAsia="uk-UA"/>
        </w:rPr>
        <w:t>П</w:t>
      </w:r>
      <w:r w:rsidRPr="00E74A7D">
        <w:rPr>
          <w:lang w:eastAsia="uk-UA"/>
        </w:rPr>
        <w:t>обутові відходи</w:t>
      </w:r>
      <w:r>
        <w:rPr>
          <w:lang w:eastAsia="uk-UA"/>
        </w:rPr>
        <w:t xml:space="preserve">, </w:t>
      </w:r>
      <w:r w:rsidRPr="0087122C">
        <w:rPr>
          <w:lang w:eastAsia="uk-UA"/>
        </w:rPr>
        <w:t>що біологічно розкладаються</w:t>
      </w:r>
      <w:r w:rsidRPr="00E74A7D">
        <w:rPr>
          <w:lang w:eastAsia="uk-UA"/>
        </w:rPr>
        <w:t xml:space="preserve"> на даний час практично не збираються окремо. В 70-80 роки минулого століття практично в усіх міських населених пунктах було запроваджено практику збирання харчових відходів, частина яких направлялась на відгодівлю худоби.</w:t>
      </w:r>
    </w:p>
    <w:p w14:paraId="1DC3FE95" w14:textId="77777777" w:rsidR="0092080C" w:rsidRPr="007C2643" w:rsidRDefault="0092080C" w:rsidP="0092080C">
      <w:pPr>
        <w:rPr>
          <w:lang w:eastAsia="uk-UA"/>
        </w:rPr>
      </w:pPr>
      <w:r w:rsidRPr="00E74A7D">
        <w:rPr>
          <w:lang w:eastAsia="uk-UA"/>
        </w:rPr>
        <w:t xml:space="preserve">Хоча захоронення є найменш бажаним варіантом управління компонентами, що біологічно </w:t>
      </w:r>
      <w:r w:rsidRPr="00D26254">
        <w:rPr>
          <w:lang w:eastAsia="uk-UA"/>
        </w:rPr>
        <w:t xml:space="preserve">розкладаються у складі побутових відходів, це залишається найпоширенішим способом їх </w:t>
      </w:r>
      <w:r w:rsidRPr="007C2643">
        <w:rPr>
          <w:lang w:eastAsia="uk-UA"/>
        </w:rPr>
        <w:t>оброблення в Україні.</w:t>
      </w:r>
    </w:p>
    <w:p w14:paraId="030A6B5B" w14:textId="77777777" w:rsidR="0092080C" w:rsidRPr="007C2643" w:rsidRDefault="0092080C" w:rsidP="0092080C">
      <w:pPr>
        <w:spacing w:after="0" w:line="240" w:lineRule="auto"/>
        <w:rPr>
          <w:rFonts w:cs="Times New Roman"/>
          <w:szCs w:val="24"/>
        </w:rPr>
      </w:pPr>
      <w:r w:rsidRPr="007C2643">
        <w:rPr>
          <w:rFonts w:cs="Times New Roman"/>
          <w:szCs w:val="24"/>
        </w:rPr>
        <w:t>У 2020 році був побудований пілотний майданчик для компостування в м. Львові. Продуктивність станції 120 тисяч тон відходів на рік. На компостувальний майданчик в середньому щодня привозять понад 20 тонн (близько 7300 тонн/рік) органічних відходів від мешканців, ресторанів, продовольчих та комунальних підприємств. Налагоджена добре співпраця з торгівельними центрами та продуктовими ринками міста Львова. Кожного року збільшується кількість відходів від мешканців міста.</w:t>
      </w:r>
    </w:p>
    <w:p w14:paraId="41C531A3" w14:textId="77777777" w:rsidR="0092080C" w:rsidRPr="00E74A7D" w:rsidRDefault="0092080C" w:rsidP="0092080C">
      <w:pPr>
        <w:rPr>
          <w:lang w:eastAsia="uk-UA"/>
        </w:rPr>
      </w:pPr>
      <w:r w:rsidRPr="007C2643">
        <w:rPr>
          <w:rFonts w:cs="Times New Roman"/>
          <w:szCs w:val="24"/>
        </w:rPr>
        <w:t>Продовжується закупівля необхідного оснащення станції</w:t>
      </w:r>
      <w:r w:rsidRPr="00CE2840">
        <w:rPr>
          <w:rFonts w:cs="Times New Roman"/>
          <w:szCs w:val="24"/>
        </w:rPr>
        <w:t xml:space="preserve"> для переробки відходів.</w:t>
      </w:r>
      <w:r>
        <w:rPr>
          <w:rFonts w:cs="Times New Roman"/>
          <w:szCs w:val="24"/>
        </w:rPr>
        <w:t>»</w:t>
      </w:r>
      <w:r w:rsidRPr="00E74A7D">
        <w:rPr>
          <w:lang w:eastAsia="uk-UA"/>
        </w:rPr>
        <w:t xml:space="preserve"> </w:t>
      </w:r>
    </w:p>
    <w:p w14:paraId="450E212B" w14:textId="77777777" w:rsidR="0092080C" w:rsidRPr="00E74A7D" w:rsidRDefault="0092080C" w:rsidP="0092080C">
      <w:pPr>
        <w:rPr>
          <w:lang w:eastAsia="uk-UA"/>
        </w:rPr>
      </w:pPr>
      <w:r w:rsidRPr="00E74A7D">
        <w:rPr>
          <w:lang w:eastAsia="uk-UA"/>
        </w:rPr>
        <w:t>У сільській місцевості найбільш поширеними практиками, пов'язаними з видаленням ВБР є:</w:t>
      </w:r>
    </w:p>
    <w:p w14:paraId="4A1B4F21" w14:textId="77777777" w:rsidR="0092080C" w:rsidRPr="00E74A7D" w:rsidRDefault="0092080C" w:rsidP="0092080C">
      <w:pPr>
        <w:pStyle w:val="BulletRED"/>
        <w:ind w:left="924" w:hanging="357"/>
        <w:rPr>
          <w:lang w:eastAsia="uk-UA"/>
        </w:rPr>
      </w:pPr>
      <w:r w:rsidRPr="00E74A7D">
        <w:rPr>
          <w:lang w:eastAsia="uk-UA"/>
        </w:rPr>
        <w:t>використання кухонних і городніх залишків на корм худобі;</w:t>
      </w:r>
    </w:p>
    <w:p w14:paraId="14B77D08" w14:textId="77777777" w:rsidR="0092080C" w:rsidRPr="00E74A7D" w:rsidRDefault="0092080C" w:rsidP="0092080C">
      <w:pPr>
        <w:pStyle w:val="BulletRED"/>
        <w:ind w:left="924" w:hanging="357"/>
        <w:rPr>
          <w:lang w:eastAsia="uk-UA"/>
        </w:rPr>
      </w:pPr>
      <w:r w:rsidRPr="00E74A7D">
        <w:rPr>
          <w:lang w:eastAsia="uk-UA"/>
        </w:rPr>
        <w:t>накопичення змішаних куп із гноєм, рослинними та кухонними відходами в полі (терикони не перевертають, але через один-три роки придатні для використання як поліпшувач ґрунту);</w:t>
      </w:r>
    </w:p>
    <w:p w14:paraId="5E445FCA" w14:textId="77777777" w:rsidR="0092080C" w:rsidRPr="00E74A7D" w:rsidRDefault="0092080C" w:rsidP="0092080C">
      <w:pPr>
        <w:pStyle w:val="BulletRED"/>
        <w:ind w:left="924" w:hanging="357"/>
        <w:rPr>
          <w:lang w:eastAsia="uk-UA"/>
        </w:rPr>
      </w:pPr>
      <w:r w:rsidRPr="00E74A7D">
        <w:rPr>
          <w:lang w:eastAsia="uk-UA"/>
        </w:rPr>
        <w:t>накопичення змішаних куп з гноєм (купи не перевертають, але через два-три роки компостований гній використовують як покращувач ґрунту);</w:t>
      </w:r>
    </w:p>
    <w:p w14:paraId="001BB7F5" w14:textId="77777777" w:rsidR="0092080C" w:rsidRPr="00E74A7D" w:rsidRDefault="0092080C" w:rsidP="0092080C">
      <w:pPr>
        <w:pStyle w:val="BulletRED"/>
        <w:ind w:left="924" w:hanging="357"/>
        <w:rPr>
          <w:lang w:eastAsia="uk-UA"/>
        </w:rPr>
      </w:pPr>
      <w:r w:rsidRPr="00E74A7D">
        <w:rPr>
          <w:lang w:eastAsia="uk-UA"/>
        </w:rPr>
        <w:t xml:space="preserve">спалювання </w:t>
      </w:r>
      <w:r>
        <w:rPr>
          <w:lang w:eastAsia="uk-UA"/>
        </w:rPr>
        <w:t xml:space="preserve">зелених відходів з присадибних ділянок </w:t>
      </w:r>
      <w:r w:rsidRPr="00E74A7D">
        <w:rPr>
          <w:lang w:eastAsia="uk-UA"/>
        </w:rPr>
        <w:t>та листя.</w:t>
      </w:r>
    </w:p>
    <w:p w14:paraId="426CD0E0" w14:textId="77777777" w:rsidR="0092080C" w:rsidRPr="00E74A7D" w:rsidRDefault="0092080C" w:rsidP="0092080C">
      <w:pPr>
        <w:rPr>
          <w:lang w:eastAsia="uk-UA"/>
        </w:rPr>
      </w:pPr>
      <w:r w:rsidRPr="00E74A7D">
        <w:rPr>
          <w:lang w:eastAsia="uk-UA"/>
        </w:rPr>
        <w:t>Відповідно до вимог Закону «Про управління відходами» органи місцевого самоврядування мають включити до своїх планів управління відходами заходи щодо роздільного збирання побутових відходів та будівництво централізованих майданчиків для їх компостування.</w:t>
      </w:r>
    </w:p>
    <w:p w14:paraId="6395F4EB" w14:textId="77777777" w:rsidR="0092080C" w:rsidRPr="00E74A7D" w:rsidRDefault="0092080C" w:rsidP="0092080C">
      <w:pPr>
        <w:rPr>
          <w:lang w:eastAsia="uk-UA"/>
        </w:rPr>
      </w:pPr>
      <w:r w:rsidRPr="00E74A7D">
        <w:rPr>
          <w:lang w:eastAsia="uk-UA"/>
        </w:rPr>
        <w:t>Слід зазначити, що часто не проводиться різниця між побутовими і відходами сільського господарства, тому в місцевих планах управління відходами, також має плануватися будівництво гнойовиків.</w:t>
      </w:r>
    </w:p>
    <w:p w14:paraId="0AE1D7E8" w14:textId="77777777" w:rsidR="0092080C" w:rsidRPr="00E74A7D" w:rsidRDefault="0092080C" w:rsidP="0092080C">
      <w:pPr>
        <w:rPr>
          <w:lang w:eastAsia="uk-UA"/>
        </w:rPr>
      </w:pPr>
      <w:r w:rsidRPr="00E74A7D">
        <w:rPr>
          <w:lang w:eastAsia="uk-UA"/>
        </w:rPr>
        <w:t xml:space="preserve">Відходи тваринного походження та гною не є побутовими відходами,  вони потрапляють в більш суворі і специфічні положення Регламенту 1774/2002/ЄС про побічні продукти тваринного походження та однойменні вітчизняні нормативно-правові акти. За управління цими відходами відповідає Міністерство аграрної політики та продовольства України. </w:t>
      </w:r>
    </w:p>
    <w:p w14:paraId="15248E6A" w14:textId="77777777" w:rsidR="0092080C" w:rsidRPr="00093BD7" w:rsidRDefault="0092080C" w:rsidP="0092080C">
      <w:pPr>
        <w:rPr>
          <w:lang w:eastAsia="uk-UA"/>
        </w:rPr>
      </w:pPr>
      <w:r w:rsidRPr="00E74A7D">
        <w:rPr>
          <w:lang w:eastAsia="uk-UA"/>
        </w:rPr>
        <w:t xml:space="preserve">В </w:t>
      </w:r>
      <w:r w:rsidRPr="00093BD7">
        <w:rPr>
          <w:lang w:eastAsia="uk-UA"/>
        </w:rPr>
        <w:t>майбутньому можливе оброблення відходів, що біологічно розкладаються з використанням механіко-біологічних методів обробки та компостування на новостворюваних об’єктах.</w:t>
      </w:r>
    </w:p>
    <w:p w14:paraId="367835A6" w14:textId="77777777" w:rsidR="0092080C" w:rsidRPr="00E74A7D" w:rsidRDefault="0092080C" w:rsidP="0092080C">
      <w:pPr>
        <w:rPr>
          <w:lang w:eastAsia="uk-UA"/>
        </w:rPr>
      </w:pPr>
      <w:r w:rsidRPr="00093BD7">
        <w:rPr>
          <w:lang w:eastAsia="uk-UA"/>
        </w:rPr>
        <w:t>Напрацювання щодо інфраструктури є у Біоенергетичної Асоціації України, зусилля якої сконцентровані на агропромисловому комплексі.</w:t>
      </w:r>
    </w:p>
    <w:p w14:paraId="3CAF0389" w14:textId="77777777" w:rsidR="0092080C" w:rsidRPr="00F724CB" w:rsidRDefault="0092080C" w:rsidP="00F33914">
      <w:pPr>
        <w:pStyle w:val="Heading4boldRED"/>
        <w:rPr>
          <w:lang w:eastAsia="uk-UA"/>
        </w:rPr>
      </w:pPr>
      <w:bookmarkStart w:id="51" w:name="_Toc149851516"/>
      <w:r w:rsidRPr="00F724CB">
        <w:rPr>
          <w:lang w:eastAsia="uk-UA"/>
        </w:rPr>
        <w:t>Збирання та оброблення паперу і картону</w:t>
      </w:r>
      <w:bookmarkEnd w:id="51"/>
    </w:p>
    <w:p w14:paraId="21277DA2" w14:textId="77777777" w:rsidR="0092080C" w:rsidRPr="00AA56B8" w:rsidRDefault="0092080C" w:rsidP="0092080C">
      <w:pPr>
        <w:rPr>
          <w:lang w:eastAsia="uk-UA"/>
        </w:rPr>
      </w:pPr>
      <w:r w:rsidRPr="00AA56B8">
        <w:rPr>
          <w:lang w:eastAsia="uk-UA"/>
        </w:rPr>
        <w:t>Відповідно до Директиви 94/62/EC, зміненої Директивою 2004/12/EC щодо упаковки і відходів упаковки, створюються  організації з утилізації відходів упаковки, які мають дозвіл на організацію систем роздільного збирання відходів упаковки. В Україні на даний час не реалізується принцип розширеної відповідальності виробника через відсутність законодавчого забезпечення даного процесу, а діючі раніше норми Постанови КМУ №915 відмінені. Тому у цьому вакуумі діють сірі та напівлегальні схеми збирання та оброблення паперу та картону, які не обліковуються у офіційній статистичній звітності.</w:t>
      </w:r>
    </w:p>
    <w:p w14:paraId="030B61AF" w14:textId="77777777" w:rsidR="0092080C" w:rsidRPr="00AA56B8" w:rsidRDefault="0092080C" w:rsidP="0092080C">
      <w:pPr>
        <w:rPr>
          <w:rFonts w:eastAsia="Calibri"/>
        </w:rPr>
      </w:pPr>
      <w:r w:rsidRPr="00AA56B8">
        <w:rPr>
          <w:rFonts w:eastAsia="Calibri"/>
        </w:rPr>
        <w:t xml:space="preserve">Потребу в макулатурі відчувають усі українські підприємства, які виробляють папір і картон. В Україні у рік споживається близько 1,5 млн. т картонно-паперової продукції. Із загального обсягу споживаної внутрішнім ринком продукції галузі повертається </w:t>
      </w:r>
      <w:r w:rsidRPr="00AA56B8">
        <w:rPr>
          <w:rFonts w:eastAsia="Calibri"/>
          <w:b/>
          <w:bCs/>
        </w:rPr>
        <w:t>в якості вторинної сировини, близько 800 тис. т, а потреба під наявні виробничі потужності становить близько 1,2 млн тонн.</w:t>
      </w:r>
      <w:r w:rsidRPr="00AA56B8">
        <w:rPr>
          <w:rFonts w:eastAsia="Calibri"/>
        </w:rPr>
        <w:t xml:space="preserve"> При цьому значну частину вторинної сировини ці підприємства закуповують за кордоном (Румунія, Молдова та ін.) близько 350 тис. тон макулатури при загальній річній переробці близько 1,3 млн. т тобто, за рахунок імпортної сировини забезпечувалося близько 27% виробничих потреб. </w:t>
      </w:r>
    </w:p>
    <w:p w14:paraId="66AF2208" w14:textId="77777777" w:rsidR="0092080C" w:rsidRPr="00AA56B8" w:rsidRDefault="0092080C" w:rsidP="0092080C">
      <w:pPr>
        <w:rPr>
          <w:lang w:eastAsia="uk-UA"/>
        </w:rPr>
      </w:pPr>
      <w:r w:rsidRPr="00AA56B8">
        <w:rPr>
          <w:lang w:eastAsia="uk-UA"/>
        </w:rPr>
        <w:t>З цього приводу в Національній програмі управління відходами пропонується роздільне збирання відходів упаковки. На даний момент паперові відходи залишається поза системою роздільного збирання, для яких не запроваджена «відповідальність виробника» - напр. газети, журнали та канцелярський папір. У країні проводиться кілька ініціатив щодо роздільного збирання офісного паперу в компаніях та адміністраціях, але вони не демонструють стабільних результатів.</w:t>
      </w:r>
    </w:p>
    <w:p w14:paraId="67B9743C" w14:textId="77777777" w:rsidR="0092080C" w:rsidRPr="00AA56B8" w:rsidRDefault="0092080C" w:rsidP="0092080C">
      <w:pPr>
        <w:rPr>
          <w:lang w:eastAsia="uk-UA"/>
        </w:rPr>
      </w:pPr>
      <w:r w:rsidRPr="00AA56B8">
        <w:rPr>
          <w:lang w:eastAsia="uk-UA"/>
        </w:rPr>
        <w:t>Для досягнення цілей Національної програми, газети та офісний папір слід почати збирати окремо та піддавати рециклінгу. Ініціатива роздільного збирання цих паперових відходів має походити від органів місцевого самоврядування. Практичні кроки можна зробити, підписавши угоди/контракти на збирання цього виду ресурсоцінних компонентів організаціями з рециклінгу або іншими компаніями, а також з газетними групами або розповсюджувачі газет.</w:t>
      </w:r>
    </w:p>
    <w:p w14:paraId="50ACFEC8" w14:textId="77777777" w:rsidR="0092080C" w:rsidRPr="00F724CB" w:rsidRDefault="0092080C" w:rsidP="00F33914">
      <w:pPr>
        <w:pStyle w:val="Heading4boldRED"/>
        <w:rPr>
          <w:rStyle w:val="affe"/>
        </w:rPr>
      </w:pPr>
      <w:bookmarkStart w:id="52" w:name="_Toc149851517"/>
      <w:r w:rsidRPr="00F724CB">
        <w:rPr>
          <w:rStyle w:val="affe"/>
        </w:rPr>
        <w:t>Перспективи практики домашнього компостування</w:t>
      </w:r>
      <w:bookmarkEnd w:id="52"/>
    </w:p>
    <w:p w14:paraId="17B72875" w14:textId="77777777" w:rsidR="0092080C" w:rsidRPr="00AA56B8" w:rsidRDefault="0092080C" w:rsidP="0092080C">
      <w:pPr>
        <w:rPr>
          <w:rFonts w:eastAsia="Calibri"/>
        </w:rPr>
      </w:pPr>
      <w:r w:rsidRPr="00AA56B8">
        <w:rPr>
          <w:rFonts w:eastAsia="Calibri"/>
        </w:rPr>
        <w:t xml:space="preserve">Компостування в домашніх умовах може здійснюватися лише мешканцями сільської місцевості та приміських районів великих і малих міст в рамках пілотних проєктів, що супроводжуються інтенсивною інформаційною та просвітницькою кампанією в кожному окремому випадку. Успішна реалізація схеми домашнього компостування потребує значних зусиль з боку органів місцевого самоврядування щодо поширення інформації та підвищення обізнаності, а також щодо нагляду та контролю за використанням і ефективністю цієї схеми. </w:t>
      </w:r>
    </w:p>
    <w:p w14:paraId="6897D643" w14:textId="3A573465" w:rsidR="0092080C" w:rsidRPr="00AA56B8" w:rsidRDefault="0092080C" w:rsidP="0092080C">
      <w:pPr>
        <w:rPr>
          <w:rFonts w:eastAsia="Calibri"/>
        </w:rPr>
      </w:pPr>
      <w:r w:rsidRPr="00AA56B8">
        <w:rPr>
          <w:rFonts w:eastAsia="Calibri"/>
        </w:rPr>
        <w:t xml:space="preserve">Враховуючи те, що 30,4% населення України проживає в сільській місцевості та а 24,6% - в малих містах за умови високого рівня ефективності використання охоплення схемою домашнього компостування забезпечить зниження на 2,5% загального обсягу утворення </w:t>
      </w:r>
      <w:r w:rsidR="00F1370B" w:rsidRPr="00F1370B">
        <w:rPr>
          <w:rFonts w:eastAsia="Calibri"/>
        </w:rPr>
        <w:t>побутових відходів</w:t>
      </w:r>
      <w:r w:rsidRPr="00AA56B8">
        <w:rPr>
          <w:rFonts w:eastAsia="Calibri"/>
        </w:rPr>
        <w:t xml:space="preserve"> до 2035 р., що  потребує  2,6 мільйона компостерів із загальним обсягом витрат близько 105,0 млн Євро. Компостери не повинні видаватися безкоштовно - лише за пільговою ціною чи з знижкою, або закуповуються органами місцевого самоврядування. </w:t>
      </w:r>
    </w:p>
    <w:p w14:paraId="2403A64D" w14:textId="77777777" w:rsidR="0092080C" w:rsidRPr="00F724CB" w:rsidRDefault="0092080C" w:rsidP="00F33914">
      <w:pPr>
        <w:pStyle w:val="Heading4boldRED"/>
        <w:rPr>
          <w:rStyle w:val="affe"/>
        </w:rPr>
      </w:pPr>
      <w:bookmarkStart w:id="53" w:name="_Toc149851518"/>
      <w:r w:rsidRPr="00F724CB">
        <w:rPr>
          <w:rStyle w:val="affe"/>
        </w:rPr>
        <w:t>Можливості використання виробленого компосту</w:t>
      </w:r>
      <w:bookmarkEnd w:id="53"/>
    </w:p>
    <w:p w14:paraId="3B0FA945" w14:textId="77777777" w:rsidR="0092080C" w:rsidRPr="00AA56B8" w:rsidRDefault="0092080C" w:rsidP="0092080C">
      <w:pPr>
        <w:rPr>
          <w:lang w:eastAsia="uk-UA"/>
        </w:rPr>
      </w:pPr>
      <w:r w:rsidRPr="00AA56B8">
        <w:rPr>
          <w:lang w:eastAsia="uk-UA"/>
        </w:rPr>
        <w:t xml:space="preserve">Використання компосту, виробленого з </w:t>
      </w:r>
      <w:r w:rsidRPr="00093BD7">
        <w:rPr>
          <w:lang w:eastAsia="uk-UA"/>
        </w:rPr>
        <w:t>осаду стічних вод</w:t>
      </w:r>
      <w:r w:rsidRPr="00AA56B8">
        <w:rPr>
          <w:lang w:eastAsia="uk-UA"/>
        </w:rPr>
        <w:t xml:space="preserve"> та з (компостованого) мулу з очисних споруд для внесення як добрива у сільському господарстві залежить від наявності в них біогенних елементів азоту, фосфору і калію, а також від наявності важких металів. Однак в Україні практичне використання компосту для покращення родючості ґрунтів не знаходить широкого поширення, оскільки природна якість українських чорноземів надзвичайно висока. Варіантами використання компосту можуть буди садово-паркові зони та придорожні  автомобільні та залізничні зони, а також в якості матеріалу при рекультивації полігонів та сміттєзвалищ.</w:t>
      </w:r>
    </w:p>
    <w:p w14:paraId="7C871E5B" w14:textId="77777777" w:rsidR="00E75E49" w:rsidRPr="00F724CB" w:rsidRDefault="00E75E49" w:rsidP="00F33914">
      <w:pPr>
        <w:pStyle w:val="Heading4boldRED"/>
        <w:rPr>
          <w:lang w:eastAsia="uk-UA"/>
        </w:rPr>
      </w:pPr>
      <w:bookmarkStart w:id="54" w:name="_Toc149851519"/>
      <w:r w:rsidRPr="00F724CB">
        <w:rPr>
          <w:lang w:eastAsia="uk-UA"/>
        </w:rPr>
        <w:t>SWOT-аналіз</w:t>
      </w:r>
      <w:bookmarkEnd w:id="54"/>
    </w:p>
    <w:p w14:paraId="66A47FD1" w14:textId="3E81CED9" w:rsidR="00E75E49" w:rsidRPr="00E74A7D" w:rsidRDefault="00E75E49" w:rsidP="00E75E49">
      <w:pPr>
        <w:rPr>
          <w:lang w:eastAsia="uk-UA"/>
        </w:rPr>
      </w:pPr>
      <w:r w:rsidRPr="00E74A7D">
        <w:rPr>
          <w:lang w:eastAsia="uk-UA"/>
        </w:rPr>
        <w:t xml:space="preserve">Щоб визначити цілі Національної програми, сильні і слабкі сторони наявних умов для зменшення </w:t>
      </w:r>
      <w:r w:rsidR="00DE0E12" w:rsidRPr="00DE0E12">
        <w:rPr>
          <w:lang w:eastAsia="uk-UA"/>
        </w:rPr>
        <w:t>обсягів</w:t>
      </w:r>
      <w:r w:rsidRPr="00E74A7D">
        <w:rPr>
          <w:lang w:eastAsia="uk-UA"/>
        </w:rPr>
        <w:t xml:space="preserve"> побутових відходів,</w:t>
      </w:r>
      <w:r w:rsidRPr="00E74A7D">
        <w:rPr>
          <w:rFonts w:ascii="Calibri" w:eastAsia="Calibri" w:hAnsi="Calibri"/>
          <w:sz w:val="22"/>
          <w:szCs w:val="22"/>
        </w:rPr>
        <w:t xml:space="preserve"> </w:t>
      </w:r>
      <w:r w:rsidRPr="00E74A7D">
        <w:rPr>
          <w:lang w:eastAsia="uk-UA"/>
        </w:rPr>
        <w:t>що біологічно розкладаються та визначення факторів, що надають можливості для реалізації Національної програми проведено SWOT-аналіз.</w:t>
      </w:r>
    </w:p>
    <w:p w14:paraId="4FC87162" w14:textId="77777777" w:rsidR="00E75E49" w:rsidRPr="00E74A7D" w:rsidRDefault="00E75E49" w:rsidP="00E75E49">
      <w:pPr>
        <w:rPr>
          <w:lang w:eastAsia="uk-UA"/>
        </w:rPr>
      </w:pPr>
      <w:r w:rsidRPr="00E74A7D">
        <w:rPr>
          <w:lang w:eastAsia="uk-UA"/>
        </w:rPr>
        <w:t>Результати SWOT-аналізу умов для зменшення захоронення побутових відходів,</w:t>
      </w:r>
      <w:r w:rsidRPr="00E74A7D">
        <w:rPr>
          <w:rFonts w:ascii="Calibri" w:eastAsia="Calibri" w:hAnsi="Calibri"/>
          <w:sz w:val="22"/>
          <w:szCs w:val="22"/>
        </w:rPr>
        <w:t xml:space="preserve"> </w:t>
      </w:r>
      <w:r w:rsidRPr="00E74A7D">
        <w:rPr>
          <w:lang w:eastAsia="uk-UA"/>
        </w:rPr>
        <w:t>що біологічно розкладаються наведено в таблиці 4.</w:t>
      </w:r>
    </w:p>
    <w:p w14:paraId="57B28B20" w14:textId="77777777" w:rsidR="00E75E49" w:rsidRPr="00F724CB" w:rsidRDefault="00E75E49" w:rsidP="00E75E49">
      <w:pPr>
        <w:pStyle w:val="ad"/>
        <w:rPr>
          <w:rFonts w:eastAsia="Calibri"/>
          <w:lang w:val="uk-UA"/>
        </w:rPr>
      </w:pPr>
      <w:bookmarkStart w:id="55" w:name="_Toc150293106"/>
      <w:r w:rsidRPr="00F724CB">
        <w:rPr>
          <w:lang w:val="uk-UA"/>
        </w:rPr>
        <w:t xml:space="preserve">Таблиця </w:t>
      </w:r>
      <w:r w:rsidRPr="00F724CB">
        <w:rPr>
          <w:lang w:val="uk-UA"/>
        </w:rPr>
        <w:fldChar w:fldCharType="begin"/>
      </w:r>
      <w:r w:rsidRPr="00F724CB">
        <w:rPr>
          <w:lang w:val="uk-UA"/>
        </w:rPr>
        <w:instrText xml:space="preserve"> SEQ Таблиця \* ARABIC </w:instrText>
      </w:r>
      <w:r w:rsidRPr="00F724CB">
        <w:rPr>
          <w:lang w:val="uk-UA"/>
        </w:rPr>
        <w:fldChar w:fldCharType="separate"/>
      </w:r>
      <w:r>
        <w:rPr>
          <w:noProof/>
          <w:lang w:val="uk-UA"/>
        </w:rPr>
        <w:t>4</w:t>
      </w:r>
      <w:r w:rsidRPr="00F724CB">
        <w:rPr>
          <w:lang w:val="uk-UA"/>
        </w:rPr>
        <w:fldChar w:fldCharType="end"/>
      </w:r>
      <w:r w:rsidRPr="00F724CB">
        <w:rPr>
          <w:rFonts w:eastAsia="Calibri"/>
          <w:lang w:val="uk-UA"/>
        </w:rPr>
        <w:t xml:space="preserve"> </w:t>
      </w:r>
      <w:r w:rsidRPr="00F724CB">
        <w:rPr>
          <w:lang w:val="uk-UA" w:eastAsia="uk-UA"/>
        </w:rPr>
        <w:t>SWOT аналіз наявних умов для зменшення захоронення відходів, що біологічно розкладаються</w:t>
      </w:r>
      <w:bookmarkEnd w:id="55"/>
      <w:r w:rsidRPr="00F724CB">
        <w:rPr>
          <w:rFonts w:eastAsia="Calibri"/>
          <w:lang w:val="uk-UA"/>
        </w:rPr>
        <w:t xml:space="preserve"> </w:t>
      </w:r>
    </w:p>
    <w:tbl>
      <w:tblPr>
        <w:tblStyle w:val="14"/>
        <w:tblW w:w="5000" w:type="pct"/>
        <w:tblLook w:val="04A0" w:firstRow="1" w:lastRow="0" w:firstColumn="1" w:lastColumn="0" w:noHBand="0" w:noVBand="1"/>
      </w:tblPr>
      <w:tblGrid>
        <w:gridCol w:w="4978"/>
        <w:gridCol w:w="4978"/>
      </w:tblGrid>
      <w:tr w:rsidR="00E75E49" w:rsidRPr="00E74A7D" w14:paraId="6B522556" w14:textId="77777777" w:rsidTr="00F17626">
        <w:tc>
          <w:tcPr>
            <w:tcW w:w="2500" w:type="pct"/>
          </w:tcPr>
          <w:p w14:paraId="7790323F" w14:textId="77777777" w:rsidR="00E75E49" w:rsidRPr="00E74A7D" w:rsidRDefault="00E75E49" w:rsidP="00F17626">
            <w:pPr>
              <w:pStyle w:val="Table"/>
              <w:rPr>
                <w:b/>
                <w:bCs/>
                <w:lang w:val="uk-UA" w:eastAsia="uk-UA"/>
              </w:rPr>
            </w:pPr>
            <w:r w:rsidRPr="00E74A7D">
              <w:rPr>
                <w:rFonts w:eastAsia="Calibri"/>
                <w:b/>
                <w:bCs/>
                <w:lang w:val="uk-UA"/>
              </w:rPr>
              <w:t>Сильні сторони</w:t>
            </w:r>
          </w:p>
        </w:tc>
        <w:tc>
          <w:tcPr>
            <w:tcW w:w="2500" w:type="pct"/>
          </w:tcPr>
          <w:p w14:paraId="71E4A31B" w14:textId="77777777" w:rsidR="00E75E49" w:rsidRPr="00E74A7D" w:rsidRDefault="00E75E49" w:rsidP="00F17626">
            <w:pPr>
              <w:pStyle w:val="Table"/>
              <w:rPr>
                <w:b/>
                <w:bCs/>
                <w:lang w:val="uk-UA" w:eastAsia="uk-UA"/>
              </w:rPr>
            </w:pPr>
            <w:r w:rsidRPr="00E74A7D">
              <w:rPr>
                <w:rFonts w:eastAsia="Calibri"/>
                <w:b/>
                <w:bCs/>
                <w:lang w:val="uk-UA"/>
              </w:rPr>
              <w:t>Слабкі сторони</w:t>
            </w:r>
          </w:p>
        </w:tc>
      </w:tr>
      <w:tr w:rsidR="00E75E49" w:rsidRPr="00E74A7D" w14:paraId="5F1C1AE6" w14:textId="77777777" w:rsidTr="00F17626">
        <w:tc>
          <w:tcPr>
            <w:tcW w:w="2500" w:type="pct"/>
          </w:tcPr>
          <w:p w14:paraId="496F4F0D" w14:textId="77777777" w:rsidR="00E75E49" w:rsidRPr="00E74A7D" w:rsidRDefault="00E75E49" w:rsidP="00F17626">
            <w:pPr>
              <w:pStyle w:val="Table"/>
              <w:rPr>
                <w:lang w:val="uk-UA" w:eastAsia="uk-UA"/>
              </w:rPr>
            </w:pPr>
            <w:r w:rsidRPr="00E74A7D">
              <w:rPr>
                <w:lang w:val="uk-UA" w:eastAsia="uk-UA"/>
              </w:rPr>
              <w:t>1. Перенесення досягнень європейського законодавства у сфері управління відходами в українське законодавство.</w:t>
            </w:r>
          </w:p>
          <w:p w14:paraId="4E387479" w14:textId="77777777" w:rsidR="00E75E49" w:rsidRPr="00E74A7D" w:rsidRDefault="00E75E49" w:rsidP="00F17626">
            <w:pPr>
              <w:pStyle w:val="Table"/>
              <w:rPr>
                <w:lang w:val="uk-UA" w:eastAsia="uk-UA"/>
              </w:rPr>
            </w:pPr>
            <w:r w:rsidRPr="00E74A7D">
              <w:rPr>
                <w:lang w:val="uk-UA" w:eastAsia="uk-UA"/>
              </w:rPr>
              <w:t>2. Існуючі системи роздільного збирання є хорошою основою для видалення відходів, що біологічно розкладаються з загального обсягу утворюваних побутових відходів.</w:t>
            </w:r>
          </w:p>
          <w:p w14:paraId="66D91C1F" w14:textId="14E9319A" w:rsidR="00E75E49" w:rsidRPr="00E74A7D" w:rsidRDefault="00E75E49" w:rsidP="00F17626">
            <w:pPr>
              <w:pStyle w:val="Table"/>
              <w:rPr>
                <w:lang w:val="uk-UA" w:eastAsia="uk-UA"/>
              </w:rPr>
            </w:pPr>
            <w:r w:rsidRPr="00E74A7D">
              <w:rPr>
                <w:lang w:val="uk-UA" w:eastAsia="uk-UA"/>
              </w:rPr>
              <w:t>3. Практика видалення відходів</w:t>
            </w:r>
            <w:r>
              <w:rPr>
                <w:lang w:val="uk-UA" w:eastAsia="uk-UA"/>
              </w:rPr>
              <w:t xml:space="preserve">, </w:t>
            </w:r>
            <w:r w:rsidRPr="0047103E">
              <w:rPr>
                <w:lang w:val="uk-UA" w:eastAsia="uk-UA"/>
              </w:rPr>
              <w:t>що біологічно розкладаються</w:t>
            </w:r>
            <w:r w:rsidRPr="00E74A7D">
              <w:rPr>
                <w:lang w:val="uk-UA" w:eastAsia="uk-UA"/>
              </w:rPr>
              <w:t xml:space="preserve"> є хорошою передумовою та стимулом, зменшення обсягів </w:t>
            </w:r>
            <w:r w:rsidR="00F1370B" w:rsidRPr="00F1370B">
              <w:rPr>
                <w:lang w:val="uk-UA" w:eastAsia="uk-UA"/>
              </w:rPr>
              <w:t>побутових відходів</w:t>
            </w:r>
            <w:r w:rsidRPr="00E74A7D">
              <w:rPr>
                <w:lang w:val="uk-UA" w:eastAsia="uk-UA"/>
              </w:rPr>
              <w:t>.</w:t>
            </w:r>
          </w:p>
          <w:p w14:paraId="3218CD1F" w14:textId="77777777" w:rsidR="00E75E49" w:rsidRPr="00E74A7D" w:rsidRDefault="00E75E49" w:rsidP="00F17626">
            <w:pPr>
              <w:pStyle w:val="Table"/>
              <w:rPr>
                <w:lang w:val="uk-UA" w:eastAsia="uk-UA"/>
              </w:rPr>
            </w:pPr>
            <w:r w:rsidRPr="00E74A7D">
              <w:rPr>
                <w:lang w:val="uk-UA" w:eastAsia="uk-UA"/>
              </w:rPr>
              <w:t>4. Продаж високоякісного компосту як джерело додаткового доходу.</w:t>
            </w:r>
          </w:p>
          <w:p w14:paraId="7C81DB66" w14:textId="77777777" w:rsidR="00E75E49" w:rsidRPr="00E74A7D" w:rsidRDefault="00E75E49" w:rsidP="00F17626">
            <w:pPr>
              <w:pStyle w:val="Table"/>
              <w:rPr>
                <w:lang w:val="uk-UA" w:eastAsia="uk-UA"/>
              </w:rPr>
            </w:pPr>
            <w:r w:rsidRPr="00E74A7D">
              <w:rPr>
                <w:lang w:val="uk-UA" w:eastAsia="uk-UA"/>
              </w:rPr>
              <w:t>5. Виробництво енергії з відходів</w:t>
            </w:r>
            <w:r>
              <w:rPr>
                <w:lang w:val="uk-UA" w:eastAsia="uk-UA"/>
              </w:rPr>
              <w:t xml:space="preserve">, </w:t>
            </w:r>
            <w:r w:rsidRPr="0047103E">
              <w:rPr>
                <w:lang w:val="uk-UA" w:eastAsia="uk-UA"/>
              </w:rPr>
              <w:t>що біологічно розкладаються</w:t>
            </w:r>
            <w:r w:rsidRPr="00E74A7D">
              <w:rPr>
                <w:lang w:val="uk-UA" w:eastAsia="uk-UA"/>
              </w:rPr>
              <w:t xml:space="preserve"> зменшить витрати.</w:t>
            </w:r>
          </w:p>
        </w:tc>
        <w:tc>
          <w:tcPr>
            <w:tcW w:w="2500" w:type="pct"/>
          </w:tcPr>
          <w:p w14:paraId="1CCAE0A7" w14:textId="77777777" w:rsidR="00E75E49" w:rsidRPr="00E74A7D" w:rsidRDefault="00E75E49" w:rsidP="00F17626">
            <w:pPr>
              <w:pStyle w:val="Table"/>
              <w:rPr>
                <w:lang w:val="uk-UA" w:eastAsia="uk-UA"/>
              </w:rPr>
            </w:pPr>
            <w:r w:rsidRPr="00E74A7D">
              <w:rPr>
                <w:lang w:val="uk-UA" w:eastAsia="uk-UA"/>
              </w:rPr>
              <w:t>1. Відсутність стандартів використання і якості компосту.</w:t>
            </w:r>
          </w:p>
          <w:p w14:paraId="2E191F3E" w14:textId="77777777" w:rsidR="00E75E49" w:rsidRPr="00E74A7D" w:rsidRDefault="00E75E49" w:rsidP="00F17626">
            <w:pPr>
              <w:pStyle w:val="Table"/>
              <w:rPr>
                <w:lang w:val="uk-UA" w:eastAsia="uk-UA"/>
              </w:rPr>
            </w:pPr>
            <w:r w:rsidRPr="00E74A7D">
              <w:rPr>
                <w:lang w:val="uk-UA" w:eastAsia="uk-UA"/>
              </w:rPr>
              <w:t>2. Компостування маловідоме в методах ведення сільського господарства.</w:t>
            </w:r>
          </w:p>
          <w:p w14:paraId="14D04652" w14:textId="77777777" w:rsidR="00E75E49" w:rsidRPr="00E74A7D" w:rsidRDefault="00E75E49" w:rsidP="00F17626">
            <w:pPr>
              <w:pStyle w:val="Table"/>
              <w:rPr>
                <w:lang w:val="uk-UA" w:eastAsia="uk-UA"/>
              </w:rPr>
            </w:pPr>
            <w:r w:rsidRPr="00E74A7D">
              <w:rPr>
                <w:lang w:val="uk-UA" w:eastAsia="uk-UA"/>
              </w:rPr>
              <w:t>3. При недотриманні технології виникає санітарно-гігієнічний ризик.</w:t>
            </w:r>
          </w:p>
          <w:p w14:paraId="1526857E" w14:textId="77777777" w:rsidR="00E75E49" w:rsidRPr="00E74A7D" w:rsidRDefault="00E75E49" w:rsidP="00F17626">
            <w:pPr>
              <w:pStyle w:val="Table"/>
              <w:rPr>
                <w:lang w:val="uk-UA" w:eastAsia="uk-UA"/>
              </w:rPr>
            </w:pPr>
            <w:r w:rsidRPr="00E74A7D">
              <w:rPr>
                <w:lang w:val="uk-UA" w:eastAsia="uk-UA"/>
              </w:rPr>
              <w:t>4. Відсутність ринку компосту як альтернативного ринку джерела енергії.</w:t>
            </w:r>
          </w:p>
          <w:p w14:paraId="01DBF41D" w14:textId="77777777" w:rsidR="00E75E49" w:rsidRPr="00E74A7D" w:rsidRDefault="00E75E49" w:rsidP="00F17626">
            <w:pPr>
              <w:pStyle w:val="Table"/>
              <w:rPr>
                <w:lang w:val="uk-UA" w:eastAsia="uk-UA"/>
              </w:rPr>
            </w:pPr>
            <w:r w:rsidRPr="00E74A7D">
              <w:rPr>
                <w:lang w:val="uk-UA" w:eastAsia="uk-UA"/>
              </w:rPr>
              <w:t>5. Не вивчені всі можливі екологічні, соціальні та економічні наслідки широкого використання органічних відходів.</w:t>
            </w:r>
          </w:p>
          <w:p w14:paraId="6E30BEFE" w14:textId="77777777" w:rsidR="00E75E49" w:rsidRPr="00E74A7D" w:rsidRDefault="00E75E49" w:rsidP="00F17626">
            <w:pPr>
              <w:pStyle w:val="Table"/>
              <w:rPr>
                <w:lang w:val="uk-UA" w:eastAsia="uk-UA"/>
              </w:rPr>
            </w:pPr>
            <w:r w:rsidRPr="00E74A7D">
              <w:rPr>
                <w:lang w:val="uk-UA" w:eastAsia="uk-UA"/>
              </w:rPr>
              <w:t>6. Не передбачено жодних стимулів підтримки ринку компосту з відходів в Україні.</w:t>
            </w:r>
          </w:p>
        </w:tc>
      </w:tr>
      <w:tr w:rsidR="00E75E49" w:rsidRPr="00E74A7D" w14:paraId="5124DE45" w14:textId="77777777" w:rsidTr="00F17626">
        <w:tc>
          <w:tcPr>
            <w:tcW w:w="2500" w:type="pct"/>
          </w:tcPr>
          <w:p w14:paraId="5440C770" w14:textId="77777777" w:rsidR="00E75E49" w:rsidRPr="00E74A7D" w:rsidRDefault="00E75E49" w:rsidP="00F17626">
            <w:pPr>
              <w:pStyle w:val="Table"/>
              <w:rPr>
                <w:b/>
                <w:bCs/>
                <w:lang w:val="uk-UA" w:eastAsia="uk-UA"/>
              </w:rPr>
            </w:pPr>
            <w:r w:rsidRPr="00E74A7D">
              <w:rPr>
                <w:rFonts w:eastAsia="Calibri"/>
                <w:b/>
                <w:bCs/>
                <w:lang w:val="uk-UA"/>
              </w:rPr>
              <w:t xml:space="preserve">Можливості </w:t>
            </w:r>
          </w:p>
        </w:tc>
        <w:tc>
          <w:tcPr>
            <w:tcW w:w="2500" w:type="pct"/>
          </w:tcPr>
          <w:p w14:paraId="54300461" w14:textId="77777777" w:rsidR="00E75E49" w:rsidRPr="00E74A7D" w:rsidRDefault="00E75E49" w:rsidP="00F17626">
            <w:pPr>
              <w:pStyle w:val="Table"/>
              <w:rPr>
                <w:b/>
                <w:bCs/>
                <w:lang w:val="uk-UA" w:eastAsia="uk-UA"/>
              </w:rPr>
            </w:pPr>
            <w:r w:rsidRPr="00E74A7D">
              <w:rPr>
                <w:b/>
                <w:bCs/>
                <w:lang w:val="uk-UA" w:eastAsia="uk-UA"/>
              </w:rPr>
              <w:t>Загрози</w:t>
            </w:r>
          </w:p>
        </w:tc>
      </w:tr>
      <w:tr w:rsidR="00E75E49" w:rsidRPr="00E74A7D" w14:paraId="16BF00E2" w14:textId="77777777" w:rsidTr="00F17626">
        <w:tc>
          <w:tcPr>
            <w:tcW w:w="2500" w:type="pct"/>
          </w:tcPr>
          <w:p w14:paraId="0E6FDF87" w14:textId="6BDEEE67" w:rsidR="00E75E49" w:rsidRPr="00E74A7D" w:rsidRDefault="00E75E49" w:rsidP="00F17626">
            <w:pPr>
              <w:pStyle w:val="Table"/>
              <w:rPr>
                <w:lang w:val="uk-UA" w:eastAsia="uk-UA"/>
              </w:rPr>
            </w:pPr>
            <w:r w:rsidRPr="00E74A7D">
              <w:rPr>
                <w:lang w:val="uk-UA" w:eastAsia="uk-UA"/>
              </w:rPr>
              <w:t xml:space="preserve">1. Підвищення рівня загального відновлення ресурсів з відходів і зменшення </w:t>
            </w:r>
            <w:r w:rsidR="00DE0E12" w:rsidRPr="00DE0E12">
              <w:rPr>
                <w:lang w:val="uk-UA" w:eastAsia="uk-UA"/>
              </w:rPr>
              <w:t>обсягів</w:t>
            </w:r>
            <w:r w:rsidRPr="00E74A7D">
              <w:rPr>
                <w:lang w:val="uk-UA" w:eastAsia="uk-UA"/>
              </w:rPr>
              <w:t xml:space="preserve">, </w:t>
            </w:r>
            <w:r w:rsidR="00DE0E12" w:rsidRPr="00E74A7D">
              <w:rPr>
                <w:lang w:val="uk-UA" w:eastAsia="uk-UA"/>
              </w:rPr>
              <w:t>призначен</w:t>
            </w:r>
            <w:r w:rsidR="00DE0E12">
              <w:rPr>
                <w:lang w:val="uk-UA" w:eastAsia="uk-UA"/>
              </w:rPr>
              <w:t>их</w:t>
            </w:r>
            <w:r w:rsidR="00DE0E12" w:rsidRPr="00E74A7D">
              <w:rPr>
                <w:lang w:val="uk-UA" w:eastAsia="uk-UA"/>
              </w:rPr>
              <w:t xml:space="preserve"> </w:t>
            </w:r>
            <w:r w:rsidRPr="00E74A7D">
              <w:rPr>
                <w:lang w:val="uk-UA" w:eastAsia="uk-UA"/>
              </w:rPr>
              <w:t>для видалення.</w:t>
            </w:r>
          </w:p>
          <w:p w14:paraId="74DEE514" w14:textId="77777777" w:rsidR="00E75E49" w:rsidRPr="00E74A7D" w:rsidRDefault="00E75E49" w:rsidP="00F17626">
            <w:pPr>
              <w:pStyle w:val="Table"/>
              <w:rPr>
                <w:lang w:val="uk-UA" w:eastAsia="uk-UA"/>
              </w:rPr>
            </w:pPr>
            <w:r w:rsidRPr="00E74A7D">
              <w:rPr>
                <w:lang w:val="uk-UA" w:eastAsia="uk-UA"/>
              </w:rPr>
              <w:t>2. Доступ до коштів Європейських фондів для розвитку та модернізації інфраструктури для управління відходами,</w:t>
            </w:r>
            <w:r w:rsidRPr="00E74A7D">
              <w:rPr>
                <w:rFonts w:ascii="Calibri" w:eastAsia="Calibri" w:hAnsi="Calibri"/>
                <w:szCs w:val="22"/>
                <w:lang w:val="uk-UA"/>
              </w:rPr>
              <w:t xml:space="preserve"> </w:t>
            </w:r>
            <w:r w:rsidRPr="00E74A7D">
              <w:rPr>
                <w:lang w:val="uk-UA" w:eastAsia="uk-UA"/>
              </w:rPr>
              <w:t>що біологічно розкладаються.</w:t>
            </w:r>
          </w:p>
          <w:p w14:paraId="26072275" w14:textId="77777777" w:rsidR="00E75E49" w:rsidRPr="00E74A7D" w:rsidRDefault="00E75E49" w:rsidP="00F17626">
            <w:pPr>
              <w:pStyle w:val="Table"/>
              <w:rPr>
                <w:lang w:val="uk-UA" w:eastAsia="uk-UA"/>
              </w:rPr>
            </w:pPr>
            <w:r w:rsidRPr="00E74A7D">
              <w:rPr>
                <w:lang w:val="uk-UA" w:eastAsia="uk-UA"/>
              </w:rPr>
              <w:t>3. Використання компосту та залишків від процесів біологічного оброблення створює перспективи вдосконалення сільського господарства;</w:t>
            </w:r>
          </w:p>
          <w:p w14:paraId="7AC1B572" w14:textId="77777777" w:rsidR="00E75E49" w:rsidRPr="00E74A7D" w:rsidRDefault="00E75E49" w:rsidP="00F17626">
            <w:pPr>
              <w:pStyle w:val="Table"/>
              <w:rPr>
                <w:lang w:val="uk-UA" w:eastAsia="uk-UA"/>
              </w:rPr>
            </w:pPr>
            <w:r w:rsidRPr="00E74A7D">
              <w:rPr>
                <w:lang w:val="uk-UA" w:eastAsia="uk-UA"/>
              </w:rPr>
              <w:t>4. Компостування в домашніх умовах – найкорисніший спосіб управління побутовими відходами,</w:t>
            </w:r>
            <w:r w:rsidRPr="00E74A7D">
              <w:rPr>
                <w:rFonts w:ascii="Calibri" w:eastAsia="Calibri" w:hAnsi="Calibri"/>
                <w:szCs w:val="22"/>
                <w:lang w:val="uk-UA"/>
              </w:rPr>
              <w:t xml:space="preserve"> </w:t>
            </w:r>
            <w:r w:rsidRPr="00E74A7D">
              <w:rPr>
                <w:lang w:val="uk-UA" w:eastAsia="uk-UA"/>
              </w:rPr>
              <w:t>що біологічно розкладаються;</w:t>
            </w:r>
          </w:p>
          <w:p w14:paraId="745AD989" w14:textId="77777777" w:rsidR="00E75E49" w:rsidRPr="00E74A7D" w:rsidRDefault="00E75E49" w:rsidP="00F17626">
            <w:pPr>
              <w:pStyle w:val="Table"/>
              <w:rPr>
                <w:lang w:val="uk-UA" w:eastAsia="uk-UA"/>
              </w:rPr>
            </w:pPr>
            <w:r w:rsidRPr="00E74A7D">
              <w:rPr>
                <w:lang w:val="uk-UA" w:eastAsia="uk-UA"/>
              </w:rPr>
              <w:t xml:space="preserve">5. Формування нових моделей поведінки при домашньому компостуванню ВБР. </w:t>
            </w:r>
          </w:p>
        </w:tc>
        <w:tc>
          <w:tcPr>
            <w:tcW w:w="2500" w:type="pct"/>
          </w:tcPr>
          <w:p w14:paraId="5C58582D" w14:textId="77777777" w:rsidR="00E75E49" w:rsidRPr="00E74A7D" w:rsidRDefault="00E75E49" w:rsidP="00F17626">
            <w:pPr>
              <w:pStyle w:val="Table"/>
              <w:rPr>
                <w:rFonts w:eastAsia="Calibri"/>
                <w:lang w:val="uk-UA"/>
              </w:rPr>
            </w:pPr>
            <w:r w:rsidRPr="00E74A7D">
              <w:rPr>
                <w:rFonts w:eastAsia="Calibri"/>
                <w:lang w:val="uk-UA"/>
              </w:rPr>
              <w:t>1 Використання ВБР не регламентовано чинним законодавством.</w:t>
            </w:r>
          </w:p>
          <w:p w14:paraId="443B967B" w14:textId="77777777" w:rsidR="00E75E49" w:rsidRPr="00E74A7D" w:rsidRDefault="00E75E49" w:rsidP="00F17626">
            <w:pPr>
              <w:pStyle w:val="Table"/>
              <w:rPr>
                <w:rFonts w:eastAsia="Calibri"/>
                <w:lang w:val="uk-UA"/>
              </w:rPr>
            </w:pPr>
            <w:r w:rsidRPr="00E74A7D">
              <w:rPr>
                <w:rFonts w:eastAsia="Calibri"/>
                <w:lang w:val="uk-UA"/>
              </w:rPr>
              <w:t>2. Недостатня координація на рівні країни структур, що відповідають за управління відходами.</w:t>
            </w:r>
          </w:p>
          <w:p w14:paraId="3D08C83F" w14:textId="77777777" w:rsidR="00E75E49" w:rsidRPr="00E74A7D" w:rsidRDefault="00E75E49" w:rsidP="00F17626">
            <w:pPr>
              <w:pStyle w:val="Table"/>
              <w:rPr>
                <w:rFonts w:eastAsia="Calibri"/>
                <w:lang w:val="uk-UA"/>
              </w:rPr>
            </w:pPr>
            <w:r w:rsidRPr="00E74A7D">
              <w:rPr>
                <w:rFonts w:eastAsia="Calibri"/>
                <w:lang w:val="uk-UA"/>
              </w:rPr>
              <w:t>3. Недостатня обізнаність населення країни про управління відходами,</w:t>
            </w:r>
            <w:r w:rsidRPr="00E74A7D">
              <w:rPr>
                <w:rFonts w:ascii="Calibri" w:eastAsia="Calibri" w:hAnsi="Calibri"/>
                <w:szCs w:val="22"/>
                <w:lang w:val="uk-UA"/>
              </w:rPr>
              <w:t xml:space="preserve"> </w:t>
            </w:r>
            <w:r w:rsidRPr="00E74A7D">
              <w:rPr>
                <w:rFonts w:eastAsia="Calibri"/>
                <w:lang w:val="uk-UA"/>
              </w:rPr>
              <w:t>що біологічно розкладаються.</w:t>
            </w:r>
          </w:p>
          <w:p w14:paraId="14F6F161" w14:textId="77777777" w:rsidR="00E75E49" w:rsidRPr="00E74A7D" w:rsidRDefault="00E75E49" w:rsidP="00F17626">
            <w:pPr>
              <w:pStyle w:val="Table"/>
              <w:rPr>
                <w:rFonts w:eastAsia="Calibri"/>
                <w:lang w:val="uk-UA"/>
              </w:rPr>
            </w:pPr>
            <w:r w:rsidRPr="00E74A7D">
              <w:rPr>
                <w:rFonts w:eastAsia="Calibri"/>
                <w:lang w:val="uk-UA"/>
              </w:rPr>
              <w:t>4. Проблеми територіальних громад з формування інфраструктури оброблення відходів, що біологічно розкладаються.</w:t>
            </w:r>
          </w:p>
          <w:p w14:paraId="6096DD91" w14:textId="77777777" w:rsidR="00E75E49" w:rsidRPr="00E74A7D" w:rsidRDefault="00E75E49" w:rsidP="00F17626">
            <w:pPr>
              <w:pStyle w:val="Table"/>
              <w:rPr>
                <w:lang w:val="uk-UA" w:eastAsia="uk-UA"/>
              </w:rPr>
            </w:pPr>
            <w:r w:rsidRPr="00E74A7D">
              <w:rPr>
                <w:rFonts w:eastAsia="Calibri"/>
                <w:lang w:val="uk-UA"/>
              </w:rPr>
              <w:t>5. Непередбачувані ситуації при впроваджені системи управління відходами, що біологічно розкладаються.</w:t>
            </w:r>
          </w:p>
        </w:tc>
      </w:tr>
    </w:tbl>
    <w:p w14:paraId="3891A595" w14:textId="77777777" w:rsidR="00E75E49" w:rsidRPr="00A94D5F" w:rsidRDefault="00E75E49" w:rsidP="00E75E49">
      <w:pPr>
        <w:rPr>
          <w:lang w:eastAsia="uk-UA"/>
        </w:rPr>
      </w:pPr>
      <w:r w:rsidRPr="00A94D5F">
        <w:rPr>
          <w:lang w:eastAsia="uk-UA"/>
        </w:rPr>
        <w:t>Під час SWOT-аналізу було виявлено, слабкі місця або проблеми, які має  наше суспільство, є серйозними, але вирішуваними за:</w:t>
      </w:r>
    </w:p>
    <w:p w14:paraId="468A29E8" w14:textId="77777777" w:rsidR="00E75E49" w:rsidRPr="00F724CB" w:rsidRDefault="00E75E49" w:rsidP="00E75E49">
      <w:pPr>
        <w:pStyle w:val="BulletRED"/>
        <w:ind w:left="924" w:hanging="357"/>
        <w:rPr>
          <w:lang w:eastAsia="uk-UA"/>
        </w:rPr>
      </w:pPr>
      <w:r w:rsidRPr="00F724CB">
        <w:rPr>
          <w:lang w:eastAsia="uk-UA"/>
        </w:rPr>
        <w:t>швидшого початку впровадження заходів з роздільного збирання та обробки зелених відходів парків і садів і харчових відходів;</w:t>
      </w:r>
    </w:p>
    <w:p w14:paraId="3D768EE2" w14:textId="77777777" w:rsidR="00E75E49" w:rsidRPr="00F724CB" w:rsidRDefault="00E75E49" w:rsidP="00E75E49">
      <w:pPr>
        <w:pStyle w:val="BulletRED"/>
        <w:ind w:left="924" w:hanging="357"/>
        <w:rPr>
          <w:lang w:eastAsia="uk-UA"/>
        </w:rPr>
      </w:pPr>
      <w:r w:rsidRPr="00F724CB">
        <w:rPr>
          <w:lang w:eastAsia="uk-UA"/>
        </w:rPr>
        <w:t xml:space="preserve">поетапне впровадження заходів, передбачених Національною програмою, таких як поступово </w:t>
      </w:r>
      <w:r w:rsidRPr="00E14322">
        <w:rPr>
          <w:lang w:eastAsia="uk-UA"/>
        </w:rPr>
        <w:t>до 2035 року</w:t>
      </w:r>
      <w:r w:rsidRPr="00F724CB">
        <w:rPr>
          <w:lang w:eastAsia="uk-UA"/>
        </w:rPr>
        <w:t xml:space="preserve"> буде накопичуватися досвід у сфері оброблення відходів</w:t>
      </w:r>
      <w:r>
        <w:rPr>
          <w:lang w:eastAsia="uk-UA"/>
        </w:rPr>
        <w:t xml:space="preserve">, </w:t>
      </w:r>
      <w:r w:rsidRPr="0047103E">
        <w:rPr>
          <w:lang w:eastAsia="uk-UA"/>
        </w:rPr>
        <w:t>що біологічно розкладаються</w:t>
      </w:r>
      <w:r w:rsidRPr="00F724CB">
        <w:rPr>
          <w:lang w:eastAsia="uk-UA"/>
        </w:rPr>
        <w:t>;</w:t>
      </w:r>
    </w:p>
    <w:p w14:paraId="085459A2" w14:textId="77777777" w:rsidR="00E75E49" w:rsidRPr="00E14322" w:rsidRDefault="00E75E49" w:rsidP="00E75E49">
      <w:pPr>
        <w:pStyle w:val="BulletRED"/>
        <w:ind w:left="924" w:hanging="357"/>
        <w:rPr>
          <w:lang w:eastAsia="uk-UA"/>
        </w:rPr>
      </w:pPr>
      <w:r w:rsidRPr="00E14322">
        <w:rPr>
          <w:lang w:eastAsia="uk-UA"/>
        </w:rPr>
        <w:t>здійснення партнерства між окремими муніципалітетами, а також створення державно-приватного партнерства з метою об’єднання зусиль і створення системи для оброблення відходів, ефективної та стійкої в Україні;</w:t>
      </w:r>
    </w:p>
    <w:p w14:paraId="26FF540D" w14:textId="77777777" w:rsidR="00E75E49" w:rsidRPr="00E14322" w:rsidRDefault="00E75E49" w:rsidP="00E75E49">
      <w:pPr>
        <w:rPr>
          <w:lang w:eastAsia="uk-UA"/>
        </w:rPr>
      </w:pPr>
      <w:r w:rsidRPr="00E14322">
        <w:rPr>
          <w:lang w:eastAsia="uk-UA"/>
        </w:rPr>
        <w:t>З реалізацією заходів, запланованих Національною програмою, очікується зменшення відходів, що біологічно розкладаються в Україні. Це скорочення сприятливе для навколишнього середовища та сприятиме сталому управлінню ресурсами - шляхом зменшення викидів парникових газів зі звалищ в атмосферу, покращення енергетичного балансу країни у використанні енергії від спалювання висококалорійної фракції з відходів та покращення якості ґрунтів шляхом використання компосту та інші продукти оброблення побутових відходів що біологічно</w:t>
      </w:r>
      <w:r w:rsidRPr="00F724CB">
        <w:rPr>
          <w:color w:val="202124"/>
          <w:lang w:eastAsia="uk-UA"/>
        </w:rPr>
        <w:t xml:space="preserve"> </w:t>
      </w:r>
      <w:r w:rsidRPr="00E14322">
        <w:rPr>
          <w:lang w:eastAsia="uk-UA"/>
        </w:rPr>
        <w:t>розкладаються.</w:t>
      </w:r>
    </w:p>
    <w:p w14:paraId="2C48330B" w14:textId="77777777" w:rsidR="00E75E49" w:rsidRPr="00F724CB" w:rsidRDefault="00E75E49" w:rsidP="00E75E49">
      <w:pPr>
        <w:rPr>
          <w:color w:val="202124"/>
          <w:lang w:eastAsia="uk-UA"/>
        </w:rPr>
      </w:pPr>
    </w:p>
    <w:p w14:paraId="3C39AF09" w14:textId="43FF952C" w:rsidR="002F6961" w:rsidRPr="00F724CB" w:rsidRDefault="00556E04" w:rsidP="00F33914">
      <w:pPr>
        <w:pStyle w:val="30"/>
        <w:rPr>
          <w:lang w:eastAsia="uk-UA"/>
        </w:rPr>
      </w:pPr>
      <w:bookmarkStart w:id="56" w:name="_Toc149851520"/>
      <w:bookmarkStart w:id="57" w:name="_Toc151583277"/>
      <w:r>
        <w:rPr>
          <w:lang w:eastAsia="uk-UA"/>
        </w:rPr>
        <w:t>Виконання ц</w:t>
      </w:r>
      <w:r w:rsidR="002F6961" w:rsidRPr="00E74A7D">
        <w:rPr>
          <w:lang w:eastAsia="uk-UA"/>
        </w:rPr>
        <w:t>ільо</w:t>
      </w:r>
      <w:r w:rsidR="002F6961">
        <w:rPr>
          <w:lang w:eastAsia="uk-UA"/>
        </w:rPr>
        <w:t>в</w:t>
      </w:r>
      <w:r>
        <w:rPr>
          <w:lang w:eastAsia="uk-UA"/>
        </w:rPr>
        <w:t>их</w:t>
      </w:r>
      <w:r w:rsidR="002F6961">
        <w:rPr>
          <w:lang w:eastAsia="uk-UA"/>
        </w:rPr>
        <w:t xml:space="preserve"> </w:t>
      </w:r>
      <w:r w:rsidRPr="00E74A7D">
        <w:rPr>
          <w:lang w:eastAsia="uk-UA"/>
        </w:rPr>
        <w:t>показник</w:t>
      </w:r>
      <w:r>
        <w:rPr>
          <w:lang w:eastAsia="uk-UA"/>
        </w:rPr>
        <w:t>ів</w:t>
      </w:r>
      <w:r w:rsidRPr="00E74A7D">
        <w:rPr>
          <w:lang w:eastAsia="uk-UA"/>
        </w:rPr>
        <w:t xml:space="preserve"> </w:t>
      </w:r>
      <w:r w:rsidR="002F6961" w:rsidRPr="00F724CB">
        <w:rPr>
          <w:lang w:eastAsia="uk-UA"/>
        </w:rPr>
        <w:t xml:space="preserve">зменшення захоронення </w:t>
      </w:r>
      <w:r w:rsidR="002F6961" w:rsidRPr="00E74A7D">
        <w:rPr>
          <w:lang w:eastAsia="uk-UA"/>
        </w:rPr>
        <w:t xml:space="preserve">побутових </w:t>
      </w:r>
      <w:r w:rsidR="002F6961" w:rsidRPr="00F724CB">
        <w:rPr>
          <w:lang w:eastAsia="uk-UA"/>
        </w:rPr>
        <w:t>відходів, що біологічно розкладаються</w:t>
      </w:r>
      <w:bookmarkEnd w:id="56"/>
      <w:bookmarkEnd w:id="57"/>
    </w:p>
    <w:p w14:paraId="7D261C5F" w14:textId="77777777" w:rsidR="002F6961" w:rsidRPr="00E74A7D" w:rsidRDefault="002F6961" w:rsidP="002F6961">
      <w:pPr>
        <w:rPr>
          <w:lang w:eastAsia="uk-UA"/>
        </w:rPr>
      </w:pPr>
      <w:r w:rsidRPr="00E74A7D">
        <w:rPr>
          <w:lang w:eastAsia="uk-UA"/>
        </w:rPr>
        <w:t xml:space="preserve">Україна повинна зменшити </w:t>
      </w:r>
      <w:r>
        <w:rPr>
          <w:lang w:eastAsia="uk-UA"/>
        </w:rPr>
        <w:t>захоронення</w:t>
      </w:r>
      <w:r w:rsidRPr="00E74A7D">
        <w:rPr>
          <w:lang w:eastAsia="uk-UA"/>
        </w:rPr>
        <w:t xml:space="preserve"> побутових відходів, що біологічно розкладаються, на полігони та звалища таким чином</w:t>
      </w:r>
      <w:r>
        <w:rPr>
          <w:lang w:eastAsia="uk-UA"/>
        </w:rPr>
        <w:t>:</w:t>
      </w:r>
    </w:p>
    <w:p w14:paraId="3A1B6EB5" w14:textId="77777777" w:rsidR="002F6961" w:rsidRDefault="002F6961" w:rsidP="003466DC">
      <w:pPr>
        <w:pStyle w:val="a7"/>
        <w:numPr>
          <w:ilvl w:val="0"/>
          <w:numId w:val="27"/>
        </w:numPr>
        <w:rPr>
          <w:lang w:eastAsia="uk-UA"/>
        </w:rPr>
      </w:pPr>
      <w:r>
        <w:rPr>
          <w:lang w:eastAsia="uk-UA"/>
        </w:rPr>
        <w:t xml:space="preserve">Для місць видалення відходів (полігонів для не небезпечних відходів), які приймають в день до 100 т відходів встановити сортувальну лінію для відокремлення біовідходів та досягнення зменшення захоронення біовідходів на 25% до 2028 року. </w:t>
      </w:r>
    </w:p>
    <w:p w14:paraId="4972FBE2" w14:textId="77777777" w:rsidR="002F6961" w:rsidRDefault="002F6961" w:rsidP="003466DC">
      <w:pPr>
        <w:pStyle w:val="a7"/>
        <w:numPr>
          <w:ilvl w:val="0"/>
          <w:numId w:val="27"/>
        </w:numPr>
        <w:rPr>
          <w:lang w:eastAsia="uk-UA"/>
        </w:rPr>
      </w:pPr>
      <w:r>
        <w:rPr>
          <w:lang w:eastAsia="uk-UA"/>
        </w:rPr>
        <w:t>Для місць видалення відходів (полігонів для не небезпечних відходів), які приймають в день більше 100 т відходів встановити сортувальну лінію для відокремлення біовідходів та досягнення зменшення захоронення біовідходів на 25% до 2030 року.</w:t>
      </w:r>
    </w:p>
    <w:p w14:paraId="5B35D6AE" w14:textId="77777777" w:rsidR="002F6961" w:rsidRDefault="002F6961" w:rsidP="002F6961">
      <w:pPr>
        <w:rPr>
          <w:lang w:eastAsia="uk-UA"/>
        </w:rPr>
      </w:pPr>
      <w:r>
        <w:rPr>
          <w:lang w:eastAsia="uk-UA"/>
        </w:rPr>
        <w:t>Відокремлені біовідходи мають піддаватися іншим, крім захоронення операціям, наприклад – компостування, анаеробне розкладання та інші.</w:t>
      </w:r>
    </w:p>
    <w:p w14:paraId="3B79B949" w14:textId="77777777" w:rsidR="002F6961" w:rsidRDefault="002F6961" w:rsidP="003466DC">
      <w:pPr>
        <w:pStyle w:val="a7"/>
        <w:numPr>
          <w:ilvl w:val="0"/>
          <w:numId w:val="28"/>
        </w:numPr>
        <w:rPr>
          <w:lang w:eastAsia="uk-UA"/>
        </w:rPr>
      </w:pPr>
      <w:r w:rsidRPr="006E439A">
        <w:rPr>
          <w:lang w:eastAsia="uk-UA"/>
        </w:rPr>
        <w:t>До 2033 року захоронення побутових відходів, що біологічно розкладаються, необхідно зменшити до 50% від загальної маси побутових відходів, що біологічно розкладаються, утворених у 2016 року;</w:t>
      </w:r>
    </w:p>
    <w:p w14:paraId="47C60AD3" w14:textId="5659EE3B" w:rsidR="002F6961" w:rsidRPr="00E74A7D" w:rsidRDefault="002F6961" w:rsidP="002F6961">
      <w:pPr>
        <w:rPr>
          <w:lang w:eastAsia="uk-UA"/>
        </w:rPr>
      </w:pPr>
      <w:r w:rsidRPr="00E74A7D">
        <w:rPr>
          <w:b/>
          <w:bCs/>
          <w:lang w:eastAsia="uk-UA"/>
        </w:rPr>
        <w:t xml:space="preserve">Заходи, передбачені </w:t>
      </w:r>
      <w:r w:rsidR="002D1300">
        <w:rPr>
          <w:b/>
          <w:bCs/>
          <w:lang w:eastAsia="uk-UA"/>
        </w:rPr>
        <w:t>НПЗЗБ</w:t>
      </w:r>
      <w:r w:rsidRPr="00E74A7D">
        <w:rPr>
          <w:b/>
          <w:bCs/>
          <w:lang w:eastAsia="uk-UA"/>
        </w:rPr>
        <w:t xml:space="preserve"> для досягнення цілей </w:t>
      </w:r>
      <w:r w:rsidR="002D1300">
        <w:rPr>
          <w:b/>
          <w:bCs/>
          <w:lang w:eastAsia="uk-UA"/>
        </w:rPr>
        <w:t xml:space="preserve">зменшення </w:t>
      </w:r>
      <w:r w:rsidR="003B420F" w:rsidRPr="003B420F">
        <w:rPr>
          <w:b/>
          <w:bCs/>
          <w:lang w:eastAsia="uk-UA"/>
        </w:rPr>
        <w:t xml:space="preserve">обсягів </w:t>
      </w:r>
      <w:r>
        <w:rPr>
          <w:lang w:eastAsia="uk-UA"/>
        </w:rPr>
        <w:t xml:space="preserve">захоронення </w:t>
      </w:r>
      <w:r w:rsidRPr="00E74A7D">
        <w:rPr>
          <w:lang w:eastAsia="uk-UA"/>
        </w:rPr>
        <w:t xml:space="preserve">відходів, що біологічно розкладаються, відповідно до Директиви 1999/31/ЄС </w:t>
      </w:r>
      <w:r w:rsidR="002D1300">
        <w:rPr>
          <w:lang w:eastAsia="uk-UA"/>
        </w:rPr>
        <w:t>дозволять</w:t>
      </w:r>
      <w:r w:rsidRPr="00E74A7D">
        <w:rPr>
          <w:lang w:eastAsia="uk-UA"/>
        </w:rPr>
        <w:t>:</w:t>
      </w:r>
    </w:p>
    <w:p w14:paraId="139A0A4F" w14:textId="53151F41" w:rsidR="002F6961" w:rsidRPr="00E74A7D" w:rsidRDefault="002F6961" w:rsidP="002F6961">
      <w:pPr>
        <w:pStyle w:val="BulletRED"/>
        <w:ind w:left="924" w:hanging="357"/>
        <w:rPr>
          <w:lang w:eastAsia="uk-UA"/>
        </w:rPr>
      </w:pPr>
      <w:r w:rsidRPr="00E74A7D">
        <w:rPr>
          <w:lang w:eastAsia="uk-UA"/>
        </w:rPr>
        <w:t xml:space="preserve">збирання та компостування «зелених» відходів – зменшення </w:t>
      </w:r>
      <w:r w:rsidR="00556E04" w:rsidRPr="00556E04">
        <w:rPr>
          <w:lang w:eastAsia="uk-UA"/>
        </w:rPr>
        <w:t>відходів, що біологічно розкладаються</w:t>
      </w:r>
      <w:r w:rsidRPr="00E74A7D">
        <w:rPr>
          <w:lang w:eastAsia="uk-UA"/>
        </w:rPr>
        <w:t xml:space="preserve"> приблизно на 5%  на рік;</w:t>
      </w:r>
    </w:p>
    <w:p w14:paraId="178A4162" w14:textId="6C5CE7F0" w:rsidR="002F6961" w:rsidRPr="00E74A7D" w:rsidRDefault="002F6961" w:rsidP="002F6961">
      <w:pPr>
        <w:pStyle w:val="BulletRED"/>
        <w:ind w:left="924" w:hanging="357"/>
        <w:rPr>
          <w:lang w:eastAsia="uk-UA"/>
        </w:rPr>
      </w:pPr>
      <w:r w:rsidRPr="00E74A7D">
        <w:rPr>
          <w:lang w:eastAsia="uk-UA"/>
        </w:rPr>
        <w:t xml:space="preserve">домашнє компостування – стабілізація поточних нижніх рівнів генерації </w:t>
      </w:r>
      <w:r w:rsidR="002D1300" w:rsidRPr="002D1300">
        <w:rPr>
          <w:lang w:eastAsia="uk-UA"/>
        </w:rPr>
        <w:t>відходів, що біологічно розкладаються</w:t>
      </w:r>
      <w:r w:rsidRPr="00E74A7D">
        <w:rPr>
          <w:lang w:eastAsia="uk-UA"/>
        </w:rPr>
        <w:t xml:space="preserve"> в сільській місцевості;</w:t>
      </w:r>
    </w:p>
    <w:p w14:paraId="2DFB076C" w14:textId="622B959A" w:rsidR="002F6961" w:rsidRPr="00E74A7D" w:rsidRDefault="002F6961" w:rsidP="002F6961">
      <w:pPr>
        <w:pStyle w:val="BulletRED"/>
        <w:ind w:left="924" w:hanging="357"/>
        <w:rPr>
          <w:lang w:eastAsia="uk-UA"/>
        </w:rPr>
      </w:pPr>
      <w:r w:rsidRPr="00E74A7D">
        <w:rPr>
          <w:lang w:eastAsia="uk-UA"/>
        </w:rPr>
        <w:t xml:space="preserve">збирання та оброблення відходів, що біологічно розкладаються з домогосподарств, ресторанів, інших джерел та будівництво установок для </w:t>
      </w:r>
      <w:r w:rsidR="002D1300" w:rsidRPr="00E74A7D">
        <w:rPr>
          <w:lang w:eastAsia="uk-UA"/>
        </w:rPr>
        <w:t>аеробно</w:t>
      </w:r>
      <w:r w:rsidR="002D1300">
        <w:rPr>
          <w:lang w:eastAsia="uk-UA"/>
        </w:rPr>
        <w:t>го</w:t>
      </w:r>
      <w:r w:rsidR="002D1300" w:rsidRPr="00E74A7D">
        <w:rPr>
          <w:lang w:eastAsia="uk-UA"/>
        </w:rPr>
        <w:t xml:space="preserve"> </w:t>
      </w:r>
      <w:r w:rsidRPr="00E74A7D">
        <w:rPr>
          <w:lang w:eastAsia="uk-UA"/>
        </w:rPr>
        <w:t xml:space="preserve">або </w:t>
      </w:r>
      <w:r w:rsidR="002D1300" w:rsidRPr="00E74A7D">
        <w:rPr>
          <w:lang w:eastAsia="uk-UA"/>
        </w:rPr>
        <w:t>анаеробно</w:t>
      </w:r>
      <w:r w:rsidR="002D1300">
        <w:rPr>
          <w:lang w:eastAsia="uk-UA"/>
        </w:rPr>
        <w:t>го</w:t>
      </w:r>
      <w:r w:rsidR="002D1300" w:rsidRPr="00E74A7D">
        <w:rPr>
          <w:lang w:eastAsia="uk-UA"/>
        </w:rPr>
        <w:t xml:space="preserve"> </w:t>
      </w:r>
      <w:r w:rsidRPr="00E74A7D">
        <w:rPr>
          <w:lang w:eastAsia="uk-UA"/>
        </w:rPr>
        <w:t xml:space="preserve">оброблення з виробництвом компосту або біогазу </w:t>
      </w:r>
      <w:r w:rsidR="005C73E5">
        <w:rPr>
          <w:lang w:eastAsia="uk-UA"/>
        </w:rPr>
        <w:t>–</w:t>
      </w:r>
      <w:r w:rsidRPr="00E74A7D">
        <w:rPr>
          <w:lang w:eastAsia="uk-UA"/>
        </w:rPr>
        <w:t xml:space="preserve"> зменшення</w:t>
      </w:r>
      <w:r w:rsidR="005C73E5">
        <w:rPr>
          <w:lang w:eastAsia="uk-UA"/>
        </w:rPr>
        <w:t xml:space="preserve"> захоронення</w:t>
      </w:r>
      <w:r w:rsidRPr="00E74A7D">
        <w:rPr>
          <w:lang w:eastAsia="uk-UA"/>
        </w:rPr>
        <w:t xml:space="preserve"> відходів, що біологічно розкладаються приблизно на 7% на рік;</w:t>
      </w:r>
    </w:p>
    <w:p w14:paraId="12588444" w14:textId="77777777" w:rsidR="002F6961" w:rsidRPr="00E74A7D" w:rsidRDefault="002F6961" w:rsidP="002F6961">
      <w:pPr>
        <w:pStyle w:val="BulletRED"/>
        <w:ind w:left="924" w:hanging="357"/>
        <w:rPr>
          <w:lang w:eastAsia="uk-UA"/>
        </w:rPr>
      </w:pPr>
      <w:r w:rsidRPr="00E74A7D">
        <w:rPr>
          <w:lang w:eastAsia="uk-UA"/>
        </w:rPr>
        <w:t>створення фінансово-економічних стимулів для зниження частки видалення на полігон відходів та збільшення рециклінгу побутових відходів, що біологічно розкладаються;</w:t>
      </w:r>
    </w:p>
    <w:p w14:paraId="68D6E9DC" w14:textId="77777777" w:rsidR="002F6961" w:rsidRPr="00E74A7D" w:rsidRDefault="002F6961" w:rsidP="002F6961">
      <w:pPr>
        <w:pStyle w:val="BulletRED"/>
        <w:ind w:left="924" w:hanging="357"/>
        <w:rPr>
          <w:lang w:eastAsia="uk-UA"/>
        </w:rPr>
      </w:pPr>
      <w:r w:rsidRPr="00E74A7D">
        <w:rPr>
          <w:lang w:eastAsia="uk-UA"/>
        </w:rPr>
        <w:t>підвищення екологічної свідомості населення та адміністративного потенціалу ОМС для управління відходами, що біологічно розкладаються.</w:t>
      </w:r>
    </w:p>
    <w:p w14:paraId="1D59DD31" w14:textId="77777777" w:rsidR="002F6961" w:rsidRPr="00E74A7D" w:rsidRDefault="002F6961" w:rsidP="002F6961">
      <w:pPr>
        <w:rPr>
          <w:lang w:eastAsia="uk-UA"/>
        </w:rPr>
      </w:pPr>
      <w:r w:rsidRPr="00E74A7D">
        <w:rPr>
          <w:lang w:eastAsia="uk-UA"/>
        </w:rPr>
        <w:t xml:space="preserve">Зменшення </w:t>
      </w:r>
      <w:r>
        <w:rPr>
          <w:lang w:eastAsia="uk-UA"/>
        </w:rPr>
        <w:t>захоронення</w:t>
      </w:r>
      <w:r w:rsidRPr="00E74A7D">
        <w:rPr>
          <w:lang w:eastAsia="uk-UA"/>
        </w:rPr>
        <w:t xml:space="preserve"> відходів, що біологічно розкладаються, відбуватиметься, зокрема, через:</w:t>
      </w:r>
      <w:r>
        <w:rPr>
          <w:lang w:eastAsia="uk-UA"/>
        </w:rPr>
        <w:t xml:space="preserve"> </w:t>
      </w:r>
      <w:r w:rsidRPr="00E74A7D">
        <w:rPr>
          <w:lang w:eastAsia="uk-UA"/>
        </w:rPr>
        <w:t>рециклінг;</w:t>
      </w:r>
      <w:r>
        <w:rPr>
          <w:lang w:eastAsia="uk-UA"/>
        </w:rPr>
        <w:t xml:space="preserve"> </w:t>
      </w:r>
      <w:r w:rsidRPr="00E74A7D">
        <w:rPr>
          <w:lang w:eastAsia="uk-UA"/>
        </w:rPr>
        <w:t>компостування;</w:t>
      </w:r>
      <w:r>
        <w:rPr>
          <w:lang w:eastAsia="uk-UA"/>
        </w:rPr>
        <w:t xml:space="preserve"> </w:t>
      </w:r>
      <w:r w:rsidRPr="00E74A7D">
        <w:rPr>
          <w:lang w:eastAsia="uk-UA"/>
        </w:rPr>
        <w:t>виробництво біогазу;</w:t>
      </w:r>
      <w:r>
        <w:rPr>
          <w:lang w:eastAsia="uk-UA"/>
        </w:rPr>
        <w:t xml:space="preserve"> </w:t>
      </w:r>
      <w:r w:rsidRPr="00E74A7D">
        <w:rPr>
          <w:lang w:eastAsia="uk-UA"/>
        </w:rPr>
        <w:t xml:space="preserve">відновлення. </w:t>
      </w:r>
    </w:p>
    <w:p w14:paraId="1B87545B" w14:textId="59AA7509" w:rsidR="002F6961" w:rsidRPr="00E74A7D" w:rsidRDefault="002F6961" w:rsidP="002F6961">
      <w:pPr>
        <w:rPr>
          <w:lang w:eastAsia="uk-UA"/>
        </w:rPr>
      </w:pPr>
      <w:r w:rsidRPr="00E74A7D">
        <w:rPr>
          <w:lang w:eastAsia="uk-UA"/>
        </w:rPr>
        <w:t xml:space="preserve">Варіанти управління </w:t>
      </w:r>
      <w:r w:rsidR="00B45664" w:rsidRPr="00B45664">
        <w:rPr>
          <w:lang w:eastAsia="uk-UA"/>
        </w:rPr>
        <w:t>відход</w:t>
      </w:r>
      <w:r w:rsidR="00B45664">
        <w:rPr>
          <w:lang w:eastAsia="uk-UA"/>
        </w:rPr>
        <w:t>ами</w:t>
      </w:r>
      <w:r w:rsidR="00B45664" w:rsidRPr="00B45664">
        <w:rPr>
          <w:lang w:eastAsia="uk-UA"/>
        </w:rPr>
        <w:t>, що біологічно розкладаються</w:t>
      </w:r>
      <w:r w:rsidR="00B45664" w:rsidRPr="00B45664" w:rsidDel="00B45664">
        <w:rPr>
          <w:lang w:eastAsia="uk-UA"/>
        </w:rPr>
        <w:t xml:space="preserve"> </w:t>
      </w:r>
      <w:r w:rsidRPr="00E74A7D">
        <w:rPr>
          <w:lang w:eastAsia="uk-UA"/>
        </w:rPr>
        <w:t>ключають, за винятком запобігання утворенню відходів, збирання (окремо або змішано</w:t>
      </w:r>
      <w:r w:rsidR="002A76A3">
        <w:rPr>
          <w:lang w:eastAsia="uk-UA"/>
        </w:rPr>
        <w:t xml:space="preserve"> в наступним сортуванням</w:t>
      </w:r>
      <w:r w:rsidRPr="00E74A7D">
        <w:rPr>
          <w:lang w:eastAsia="uk-UA"/>
        </w:rPr>
        <w:t xml:space="preserve"> відходів</w:t>
      </w:r>
      <w:r w:rsidR="002A76A3">
        <w:rPr>
          <w:lang w:eastAsia="uk-UA"/>
        </w:rPr>
        <w:t>,</w:t>
      </w:r>
      <w:r w:rsidR="00195535">
        <w:t xml:space="preserve"> </w:t>
      </w:r>
      <w:r w:rsidR="00195535" w:rsidRPr="00195535">
        <w:rPr>
          <w:lang w:eastAsia="uk-UA"/>
        </w:rPr>
        <w:t>що біологічно розкладаються</w:t>
      </w:r>
      <w:r w:rsidRPr="00E74A7D">
        <w:rPr>
          <w:lang w:eastAsia="uk-UA"/>
        </w:rPr>
        <w:t xml:space="preserve">), </w:t>
      </w:r>
      <w:r w:rsidR="00195535" w:rsidRPr="00E74A7D">
        <w:rPr>
          <w:lang w:eastAsia="uk-UA"/>
        </w:rPr>
        <w:t>анаеробн</w:t>
      </w:r>
      <w:r w:rsidR="00195535">
        <w:rPr>
          <w:lang w:eastAsia="uk-UA"/>
        </w:rPr>
        <w:t>е</w:t>
      </w:r>
      <w:r w:rsidR="00195535" w:rsidRPr="00E74A7D">
        <w:rPr>
          <w:lang w:eastAsia="uk-UA"/>
        </w:rPr>
        <w:t xml:space="preserve"> </w:t>
      </w:r>
      <w:r w:rsidRPr="00E74A7D">
        <w:rPr>
          <w:lang w:eastAsia="uk-UA"/>
        </w:rPr>
        <w:t>зброджування та компостування, спалювання та захоронення. Ефективність різних методів значною мірою залежить від місцевих умов, таких як щільність населення, інфраструктури, а також доступності ринків для тих, хто бере участь у цьому процесі для продуктів (енергія та компост).</w:t>
      </w:r>
    </w:p>
    <w:p w14:paraId="3C98CBAC" w14:textId="77777777" w:rsidR="003C49C9" w:rsidRPr="00F724CB" w:rsidRDefault="003C49C9" w:rsidP="00F33914">
      <w:pPr>
        <w:pStyle w:val="30"/>
        <w:rPr>
          <w:lang w:eastAsia="uk-UA"/>
        </w:rPr>
      </w:pPr>
      <w:bookmarkStart w:id="58" w:name="_Toc149851521"/>
      <w:bookmarkStart w:id="59" w:name="_Toc151583278"/>
      <w:r w:rsidRPr="00F724CB">
        <w:rPr>
          <w:lang w:eastAsia="uk-UA"/>
        </w:rPr>
        <w:t xml:space="preserve">Управління </w:t>
      </w:r>
      <w:r>
        <w:rPr>
          <w:lang w:val="bg-BG" w:eastAsia="uk-UA"/>
        </w:rPr>
        <w:t xml:space="preserve">побутовими </w:t>
      </w:r>
      <w:r w:rsidRPr="00F724CB">
        <w:rPr>
          <w:lang w:eastAsia="uk-UA"/>
        </w:rPr>
        <w:t>відходами, що біологічно розкладаються</w:t>
      </w:r>
      <w:bookmarkEnd w:id="58"/>
      <w:bookmarkEnd w:id="59"/>
    </w:p>
    <w:p w14:paraId="4CCA4DF1" w14:textId="77777777" w:rsidR="003C49C9" w:rsidRPr="00F724CB" w:rsidRDefault="003C49C9" w:rsidP="00F33914">
      <w:pPr>
        <w:pStyle w:val="Heading4boldRED"/>
        <w:rPr>
          <w:lang w:eastAsia="uk-UA"/>
        </w:rPr>
      </w:pPr>
      <w:bookmarkStart w:id="60" w:name="_Toc149851522"/>
      <w:r w:rsidRPr="00F724CB">
        <w:rPr>
          <w:lang w:eastAsia="uk-UA"/>
        </w:rPr>
        <w:t>Роздільне збирання відходів, що біологічно розкладаються від домогосподарств та харчової промисловості</w:t>
      </w:r>
      <w:bookmarkEnd w:id="60"/>
    </w:p>
    <w:p w14:paraId="081CE2D5" w14:textId="77777777" w:rsidR="003C49C9" w:rsidRPr="00E74A7D" w:rsidRDefault="003C49C9" w:rsidP="003C49C9">
      <w:pPr>
        <w:rPr>
          <w:lang w:eastAsia="uk-UA"/>
        </w:rPr>
      </w:pPr>
      <w:r w:rsidRPr="00E74A7D">
        <w:rPr>
          <w:lang w:eastAsia="uk-UA"/>
        </w:rPr>
        <w:t>Роздільне збирання побутових відходів, що біологічно розкладаються, придатних для компостування здійснюється ОМС. В територіальних громадах, де побудовані компостерні установки, в процесі роздільного збирання беруть участь:</w:t>
      </w:r>
    </w:p>
    <w:p w14:paraId="5736B568" w14:textId="77777777" w:rsidR="003C49C9" w:rsidRPr="00E74A7D" w:rsidRDefault="003C49C9" w:rsidP="003C49C9">
      <w:pPr>
        <w:pStyle w:val="BulletRED"/>
        <w:ind w:left="924" w:hanging="357"/>
        <w:rPr>
          <w:lang w:eastAsia="uk-UA"/>
        </w:rPr>
      </w:pPr>
      <w:r w:rsidRPr="00E74A7D">
        <w:rPr>
          <w:lang w:eastAsia="uk-UA"/>
        </w:rPr>
        <w:t>населення;</w:t>
      </w:r>
    </w:p>
    <w:p w14:paraId="68DA412D" w14:textId="77777777" w:rsidR="003C49C9" w:rsidRPr="00E74A7D" w:rsidRDefault="003C49C9" w:rsidP="003C49C9">
      <w:pPr>
        <w:pStyle w:val="BulletRED"/>
        <w:ind w:left="924" w:hanging="357"/>
        <w:rPr>
          <w:lang w:eastAsia="uk-UA"/>
        </w:rPr>
      </w:pPr>
      <w:r w:rsidRPr="00E74A7D">
        <w:rPr>
          <w:lang w:eastAsia="uk-UA"/>
        </w:rPr>
        <w:t>власники магазинів, ресторанів, ринків тощо, які  зобов'язані розділяти побутові відходи, придатні для компостування (тільки рослини) і збирати їх у контейнери, надані ОМС для окремого збирання;</w:t>
      </w:r>
    </w:p>
    <w:p w14:paraId="180358DB" w14:textId="77777777" w:rsidR="003C49C9" w:rsidRPr="00E74A7D" w:rsidRDefault="003C49C9" w:rsidP="003C49C9">
      <w:pPr>
        <w:pStyle w:val="BulletRED"/>
        <w:ind w:left="924" w:hanging="357"/>
        <w:rPr>
          <w:lang w:eastAsia="uk-UA"/>
        </w:rPr>
      </w:pPr>
      <w:r w:rsidRPr="00E74A7D">
        <w:rPr>
          <w:lang w:eastAsia="uk-UA"/>
        </w:rPr>
        <w:t>компанії харчової промисловості, які генерують відходи, придатні для компостування, необхідно збирати окремо.</w:t>
      </w:r>
    </w:p>
    <w:p w14:paraId="5374868D" w14:textId="77777777" w:rsidR="003C49C9" w:rsidRPr="00E74A7D" w:rsidRDefault="003C49C9" w:rsidP="003C49C9">
      <w:pPr>
        <w:rPr>
          <w:lang w:eastAsia="uk-UA"/>
        </w:rPr>
      </w:pPr>
      <w:r w:rsidRPr="00E74A7D">
        <w:rPr>
          <w:lang w:eastAsia="uk-UA"/>
        </w:rPr>
        <w:t xml:space="preserve">Роздільне збирання ВБР здійснюється по-різному в залежності від типу території: </w:t>
      </w:r>
    </w:p>
    <w:p w14:paraId="385AA385" w14:textId="77777777" w:rsidR="003C49C9" w:rsidRPr="00E74A7D" w:rsidRDefault="003C49C9" w:rsidP="003C49C9">
      <w:pPr>
        <w:rPr>
          <w:b/>
          <w:bCs/>
          <w:lang w:eastAsia="uk-UA"/>
        </w:rPr>
      </w:pPr>
      <w:r w:rsidRPr="00E74A7D">
        <w:rPr>
          <w:b/>
          <w:bCs/>
          <w:lang w:eastAsia="uk-UA"/>
        </w:rPr>
        <w:t>Території типу А</w:t>
      </w:r>
    </w:p>
    <w:p w14:paraId="083FE60F" w14:textId="77777777" w:rsidR="003C49C9" w:rsidRPr="00E74A7D" w:rsidRDefault="003C49C9" w:rsidP="003C49C9">
      <w:pPr>
        <w:rPr>
          <w:lang w:eastAsia="uk-UA"/>
        </w:rPr>
      </w:pPr>
      <w:r w:rsidRPr="00E74A7D">
        <w:rPr>
          <w:lang w:eastAsia="uk-UA"/>
        </w:rPr>
        <w:t>Збиранню побутових відходів, що піддаються біологічному розкладанню, у районах типу А з населенням понад 25 тисячам жителів заважає слабка можливість контролювати «чистоту» відходів і з цієї причини впровадження роздільного збирання фракції,</w:t>
      </w:r>
      <w:r w:rsidRPr="00E74A7D">
        <w:t xml:space="preserve"> що біологічно розкладаються</w:t>
      </w:r>
      <w:r w:rsidRPr="00E74A7D">
        <w:rPr>
          <w:lang w:eastAsia="uk-UA"/>
        </w:rPr>
        <w:t xml:space="preserve"> має занадто малий ефект. Загальні контейнери використовуються для центральних районів міста та для околиці.</w:t>
      </w:r>
    </w:p>
    <w:p w14:paraId="16697E88" w14:textId="77777777" w:rsidR="003C49C9" w:rsidRPr="00E74A7D" w:rsidRDefault="003C49C9" w:rsidP="003C49C9">
      <w:pPr>
        <w:rPr>
          <w:lang w:eastAsia="uk-UA"/>
        </w:rPr>
      </w:pPr>
      <w:r w:rsidRPr="00E74A7D">
        <w:rPr>
          <w:lang w:eastAsia="uk-UA"/>
        </w:rPr>
        <w:t>Для територій типу А ОМС організовують роздільні системи збирання відходів,</w:t>
      </w:r>
      <w:r w:rsidRPr="00E74A7D">
        <w:t xml:space="preserve"> </w:t>
      </w:r>
      <w:r w:rsidRPr="00E74A7D">
        <w:rPr>
          <w:lang w:eastAsia="uk-UA"/>
        </w:rPr>
        <w:t>що біологічно розкладаються з продуктових магазинів, ринків і ресторанів, в яких з одного з одного боку, утворюється велика кількість «чистих» відходів, що біологічно розкладаються, а з іншого боку, можна контролювати їх змішування з іншими потоками відходів. Побутові відходи,</w:t>
      </w:r>
      <w:r w:rsidRPr="00E74A7D">
        <w:t xml:space="preserve"> </w:t>
      </w:r>
      <w:r w:rsidRPr="00E74A7D">
        <w:rPr>
          <w:lang w:eastAsia="uk-UA"/>
        </w:rPr>
        <w:t>що біологічно розкладаються з великих торговельних установ необхідно збирати в окремі контейнери, які відрізняються за кольором від контейнерів для побутових відходів або контейнерів для упаковки (наприклад, коричневий).</w:t>
      </w:r>
    </w:p>
    <w:p w14:paraId="6827D9E8" w14:textId="77777777" w:rsidR="003C49C9" w:rsidRPr="00E74A7D" w:rsidRDefault="003C49C9" w:rsidP="003C49C9">
      <w:pPr>
        <w:rPr>
          <w:lang w:eastAsia="uk-UA"/>
        </w:rPr>
      </w:pPr>
      <w:r w:rsidRPr="00E74A7D">
        <w:rPr>
          <w:lang w:eastAsia="uk-UA"/>
        </w:rPr>
        <w:t>Для територій типу А ОМС організовують системи роздільного збирання відходів від парків і скверів.</w:t>
      </w:r>
    </w:p>
    <w:p w14:paraId="5BDF8374" w14:textId="77777777" w:rsidR="003C49C9" w:rsidRPr="00E74A7D" w:rsidRDefault="003C49C9" w:rsidP="003C49C9">
      <w:pPr>
        <w:rPr>
          <w:b/>
          <w:bCs/>
          <w:lang w:eastAsia="uk-UA"/>
        </w:rPr>
      </w:pPr>
      <w:r w:rsidRPr="00E74A7D">
        <w:rPr>
          <w:b/>
          <w:bCs/>
          <w:lang w:eastAsia="uk-UA"/>
        </w:rPr>
        <w:t>Території типу Б</w:t>
      </w:r>
    </w:p>
    <w:p w14:paraId="28C2E1BE" w14:textId="77777777" w:rsidR="003C49C9" w:rsidRPr="00E74A7D" w:rsidRDefault="003C49C9" w:rsidP="003C49C9">
      <w:pPr>
        <w:rPr>
          <w:lang w:eastAsia="uk-UA"/>
        </w:rPr>
      </w:pPr>
      <w:r w:rsidRPr="00E74A7D">
        <w:rPr>
          <w:lang w:eastAsia="uk-UA"/>
        </w:rPr>
        <w:t>Території типу Б з населенням від 25 000 жителів придатні для впровадження роздільного збирання побутових відходів, що біологічно розкладаються, оскільки в цих районах є індивідуальні контейнери для збирання відходів, що є обов’язковою умовою для здійснення належного контролю з боку населення та контролюючих органів при впровадженні системи роздільного збирання. ОМС організовують системи роздільного збирання побутових відходів,</w:t>
      </w:r>
      <w:r w:rsidRPr="00E74A7D">
        <w:t xml:space="preserve"> </w:t>
      </w:r>
      <w:r w:rsidRPr="00E74A7D">
        <w:rPr>
          <w:lang w:eastAsia="uk-UA"/>
        </w:rPr>
        <w:t>що біологічно розкладаються з домогосподарств, поставивши поруч коричневий контейнер біля контейнера для побутових відходів.</w:t>
      </w:r>
    </w:p>
    <w:p w14:paraId="575AFF61" w14:textId="77777777" w:rsidR="003C49C9" w:rsidRPr="00E74A7D" w:rsidRDefault="003C49C9" w:rsidP="003C49C9">
      <w:pPr>
        <w:rPr>
          <w:lang w:eastAsia="uk-UA"/>
        </w:rPr>
      </w:pPr>
      <w:r w:rsidRPr="00E74A7D">
        <w:rPr>
          <w:lang w:eastAsia="uk-UA"/>
        </w:rPr>
        <w:t>Для територій типу B ОМС також організовують системи роздільного збирання відходів від парків і скверів.</w:t>
      </w:r>
    </w:p>
    <w:p w14:paraId="5903FF68" w14:textId="77777777" w:rsidR="003C49C9" w:rsidRPr="00E74A7D" w:rsidRDefault="003C49C9" w:rsidP="003C49C9">
      <w:pPr>
        <w:rPr>
          <w:b/>
          <w:bCs/>
          <w:lang w:eastAsia="uk-UA"/>
        </w:rPr>
      </w:pPr>
      <w:r w:rsidRPr="00E74A7D">
        <w:rPr>
          <w:b/>
          <w:bCs/>
          <w:lang w:eastAsia="uk-UA"/>
        </w:rPr>
        <w:t>Території типу В</w:t>
      </w:r>
    </w:p>
    <w:p w14:paraId="096A2A73" w14:textId="77777777" w:rsidR="003C49C9" w:rsidRPr="00E74A7D" w:rsidRDefault="003C49C9" w:rsidP="003C49C9">
      <w:pPr>
        <w:rPr>
          <w:lang w:eastAsia="uk-UA"/>
        </w:rPr>
      </w:pPr>
      <w:r w:rsidRPr="00E74A7D">
        <w:rPr>
          <w:lang w:eastAsia="uk-UA"/>
        </w:rPr>
        <w:t xml:space="preserve">У регіонах типу В (сільські населені пункти) частка біовідходів, яка потрапляє до контейнерів, невелика через наявні традиційні практики компостування та інші заходи з видалення відходів у сільській місцевості. Окрім того, що впровадження роздільного збирання біовідходів буде економічно неефективним, воно не матиме істотного (або не матиме) жодного впливу на подальше зниження обсягів ВБР і зменшить мотивацію для домашнього компостування. Тому на цих територіях немає необхідності створювати систему роздільного збирання біовідходів. </w:t>
      </w:r>
    </w:p>
    <w:p w14:paraId="48EB464F" w14:textId="77777777" w:rsidR="003C49C9" w:rsidRPr="00E74A7D" w:rsidRDefault="003C49C9" w:rsidP="003C49C9">
      <w:pPr>
        <w:rPr>
          <w:lang w:eastAsia="uk-UA"/>
        </w:rPr>
      </w:pPr>
      <w:r w:rsidRPr="00E74A7D">
        <w:rPr>
          <w:lang w:eastAsia="uk-UA"/>
        </w:rPr>
        <w:t>Одна з головних проблем організації системи роздільного збирання побутових відходів, що біологічно розкладаються - забезпечити «чисту» фракцію відходів, оскільки часто потрапляють фракції з інших потоків відходів. При змішуванні інших відходів з біовідходами погіршується якість компосту, який не може бути використаний і підлягає видаленню. Крім того, сторонні домішки можуть пошкодити компостне обладнання, а наявність небезпечних відходів - розвиток мікроорганізмів, а отже, і процес компостування.</w:t>
      </w:r>
    </w:p>
    <w:p w14:paraId="04F517F3" w14:textId="77777777" w:rsidR="003C49C9" w:rsidRPr="00E74A7D" w:rsidRDefault="003C49C9" w:rsidP="003C49C9">
      <w:pPr>
        <w:rPr>
          <w:lang w:eastAsia="uk-UA"/>
        </w:rPr>
      </w:pPr>
      <w:r w:rsidRPr="00E74A7D">
        <w:rPr>
          <w:lang w:eastAsia="uk-UA"/>
        </w:rPr>
        <w:t>Досвід різних країн компостування змішаних побутових відходів з подальшим відокремленням органічної фракції від решти відходів показує, що незалежно від технічного прогресу для очищення/просіювання виробленого компосту, повне розділення усіх забруднюючих речовин неможливе, концентрація важких металів у кінцевому продукті є високою і використання такого компосту погіршує якості ґрунту.</w:t>
      </w:r>
    </w:p>
    <w:p w14:paraId="49A4712F" w14:textId="77777777" w:rsidR="003C49C9" w:rsidRPr="00E74A7D" w:rsidRDefault="003C49C9" w:rsidP="003C49C9">
      <w:pPr>
        <w:rPr>
          <w:lang w:eastAsia="uk-UA"/>
        </w:rPr>
      </w:pPr>
      <w:r w:rsidRPr="00E74A7D">
        <w:rPr>
          <w:lang w:eastAsia="uk-UA"/>
        </w:rPr>
        <w:t>Окреме збирання садових і харчових відходів - єдиний надійний спосіб отримати «чистий» компост. У багатьох країнах успішно працюють схеми роздільного збирання, особливо для зелених відходів з парків і садів. Кухонні відходи іноді збирають і переробляють у складі змішаних побутових відходів.</w:t>
      </w:r>
    </w:p>
    <w:p w14:paraId="449702D9" w14:textId="77777777" w:rsidR="003C49C9" w:rsidRDefault="003C49C9" w:rsidP="003C49C9">
      <w:pPr>
        <w:rPr>
          <w:lang w:eastAsia="uk-UA"/>
        </w:rPr>
      </w:pPr>
      <w:r w:rsidRPr="00E74A7D">
        <w:rPr>
          <w:lang w:eastAsia="uk-UA"/>
        </w:rPr>
        <w:t>Впровадження системи роздільного збирання біовідходів є вдалий варіант управління ними.</w:t>
      </w:r>
    </w:p>
    <w:p w14:paraId="70551273" w14:textId="77777777" w:rsidR="003C49C9" w:rsidRPr="00E74A7D" w:rsidRDefault="003C49C9" w:rsidP="003C49C9">
      <w:pPr>
        <w:rPr>
          <w:lang w:eastAsia="uk-UA"/>
        </w:rPr>
      </w:pPr>
    </w:p>
    <w:p w14:paraId="0AB1BAE5" w14:textId="77777777" w:rsidR="003C49C9" w:rsidRPr="00F724CB" w:rsidRDefault="003C49C9" w:rsidP="00F33914">
      <w:pPr>
        <w:pStyle w:val="Heading4boldRED"/>
        <w:rPr>
          <w:lang w:eastAsia="uk-UA"/>
        </w:rPr>
      </w:pPr>
      <w:bookmarkStart w:id="61" w:name="_Toc149851523"/>
      <w:r w:rsidRPr="00F724CB">
        <w:rPr>
          <w:lang w:eastAsia="uk-UA"/>
        </w:rPr>
        <w:t>Рециклінг побутових відходів, що біологічно розкладаються</w:t>
      </w:r>
      <w:bookmarkEnd w:id="61"/>
    </w:p>
    <w:p w14:paraId="5F5B9312" w14:textId="77777777" w:rsidR="003C49C9" w:rsidRPr="00E74A7D" w:rsidRDefault="003C49C9" w:rsidP="003C49C9">
      <w:pPr>
        <w:rPr>
          <w:lang w:eastAsia="uk-UA"/>
        </w:rPr>
      </w:pPr>
      <w:r w:rsidRPr="00E74A7D">
        <w:rPr>
          <w:lang w:eastAsia="uk-UA"/>
        </w:rPr>
        <w:t>Рециклінг та відновлення все частіше застосовуються, але ці види діяльності охоплюють лише обмежену кількість і тип відходів. ЗУ «Про управління відходами» встановлює ціль для збільшення показників рециклінгу побутових відходів, для чого необхідне попереднє оброблення окремих потоків відходів і активувати політику зменшення впливу на навколишнє середовище шляхом запровадження розділення потоків відходів.</w:t>
      </w:r>
    </w:p>
    <w:p w14:paraId="5725F600" w14:textId="77777777" w:rsidR="003C49C9" w:rsidRPr="00E74A7D" w:rsidRDefault="003C49C9" w:rsidP="003C49C9">
      <w:pPr>
        <w:rPr>
          <w:lang w:eastAsia="uk-UA"/>
        </w:rPr>
      </w:pPr>
      <w:r w:rsidRPr="00E74A7D">
        <w:rPr>
          <w:lang w:eastAsia="uk-UA"/>
        </w:rPr>
        <w:t xml:space="preserve">Рециклінг побутових відходів, що біологічно розкладаються в основному стосується паперу і картону. Компостування побутових відходів, що біологічно розкладаються та анаеробне зброджування можна класифікувати як рециклінг, коли компост (або залишок розкладання) використовуються для удобрення землі або формування середовища для вирощування. Якщо це використання за іншим призначенням, його слід класифікувати як попереднє оброблення перед видаленням або спалюванням. </w:t>
      </w:r>
    </w:p>
    <w:p w14:paraId="554EBB35" w14:textId="14D592A5" w:rsidR="003C49C9" w:rsidRDefault="003C49C9" w:rsidP="00F33914">
      <w:pPr>
        <w:rPr>
          <w:lang w:eastAsia="uk-UA"/>
        </w:rPr>
      </w:pPr>
      <w:r w:rsidRPr="00E74A7D">
        <w:rPr>
          <w:lang w:eastAsia="uk-UA"/>
        </w:rPr>
        <w:t>Відповідно до вимог ЗУ «Про управління відходами», кількісні цілі щодо повторного використання та рециклінгу побутових відходів є практичним заходом для стимулювання процесів відновлення побутових відходів, що біологічно розкладаються.</w:t>
      </w:r>
    </w:p>
    <w:p w14:paraId="7D4E8AAD" w14:textId="77777777" w:rsidR="00F33914" w:rsidRPr="00F724CB" w:rsidRDefault="00F33914" w:rsidP="00F33914">
      <w:pPr>
        <w:rPr>
          <w:lang w:eastAsia="uk-UA"/>
        </w:rPr>
      </w:pPr>
    </w:p>
    <w:p w14:paraId="4870BB97" w14:textId="77777777" w:rsidR="003C49C9" w:rsidRPr="00F724CB" w:rsidRDefault="003C49C9" w:rsidP="00F33914">
      <w:pPr>
        <w:pStyle w:val="Heading4boldRED"/>
        <w:rPr>
          <w:lang w:eastAsia="uk-UA"/>
        </w:rPr>
      </w:pPr>
      <w:bookmarkStart w:id="62" w:name="_Toc149851524"/>
      <w:r w:rsidRPr="00F724CB">
        <w:rPr>
          <w:lang w:eastAsia="uk-UA"/>
        </w:rPr>
        <w:t>Компостування побутових відходів, що біологічно розкладаються</w:t>
      </w:r>
      <w:bookmarkEnd w:id="62"/>
    </w:p>
    <w:p w14:paraId="27D979CE" w14:textId="77777777" w:rsidR="003C49C9" w:rsidRPr="00B27065" w:rsidRDefault="003C49C9" w:rsidP="003C49C9">
      <w:pPr>
        <w:rPr>
          <w:lang w:eastAsia="uk-UA"/>
        </w:rPr>
      </w:pPr>
      <w:r w:rsidRPr="00B27065">
        <w:rPr>
          <w:lang w:eastAsia="uk-UA"/>
        </w:rPr>
        <w:t>Компостування є найбільш поширеним варіантом біологічного оброблення, яке найкраще підходить для зелених відходів із парків і садів. Технічно компостування зелених відходів з парків і скверів не складне і не потребує великих коштів.</w:t>
      </w:r>
    </w:p>
    <w:p w14:paraId="5D22A788" w14:textId="77777777" w:rsidR="003C49C9" w:rsidRPr="00B27065" w:rsidRDefault="003C49C9" w:rsidP="003C49C9">
      <w:pPr>
        <w:rPr>
          <w:lang w:eastAsia="uk-UA"/>
        </w:rPr>
      </w:pPr>
      <w:r w:rsidRPr="00B27065">
        <w:rPr>
          <w:lang w:eastAsia="uk-UA"/>
        </w:rPr>
        <w:t>Існують різні методи: відкриті або криті майданчики для компостування, наприклад «закриті методи» дорожчі, але вимагають менше місця і часу і дають можливість більш суворого контролю за викидами від цього процесу (запахи, біоаерозолі тощо).</w:t>
      </w:r>
    </w:p>
    <w:p w14:paraId="1581E221" w14:textId="77777777" w:rsidR="003C49C9" w:rsidRPr="00B27065" w:rsidRDefault="003C49C9" w:rsidP="003C49C9">
      <w:pPr>
        <w:rPr>
          <w:b/>
          <w:bCs/>
          <w:lang w:eastAsia="uk-UA"/>
        </w:rPr>
      </w:pPr>
      <w:r w:rsidRPr="00B27065">
        <w:rPr>
          <w:b/>
          <w:bCs/>
          <w:lang w:eastAsia="uk-UA"/>
        </w:rPr>
        <w:t>Основний метод, обраний для управління побутовими відходами, що біологічно розкладаються в Україні – це компостування.</w:t>
      </w:r>
    </w:p>
    <w:p w14:paraId="32CCB7AC" w14:textId="77777777" w:rsidR="003C49C9" w:rsidRPr="00B27065" w:rsidRDefault="003C49C9" w:rsidP="003C49C9">
      <w:pPr>
        <w:rPr>
          <w:lang w:eastAsia="uk-UA"/>
        </w:rPr>
      </w:pPr>
      <w:r w:rsidRPr="00B27065">
        <w:rPr>
          <w:lang w:eastAsia="uk-UA"/>
        </w:rPr>
        <w:t>Компостування є дешевшим методом і є ефективним, коли є великий потік відходів та здійснюється в установках потужністю до 20 000 т/рік.</w:t>
      </w:r>
    </w:p>
    <w:p w14:paraId="72AF1759" w14:textId="77777777" w:rsidR="003C49C9" w:rsidRPr="00B27065" w:rsidRDefault="003C49C9" w:rsidP="003C49C9">
      <w:pPr>
        <w:rPr>
          <w:lang w:eastAsia="uk-UA"/>
        </w:rPr>
      </w:pPr>
      <w:r w:rsidRPr="00B27065">
        <w:rPr>
          <w:lang w:eastAsia="uk-UA"/>
        </w:rPr>
        <w:t xml:space="preserve">Основною проблемою у управлінні відходами, що біологічно розкладаються є усунення неприємних запахів, які виділяються під час їх компостування. На практиці при використанні установки потужністю понад 20 тис. т/рік. процес компостування (або принаймні інтенсивна його фаза) відбувається в закритих приміщеннях, з можливістю відбирання і вилучення неприємних запахів. </w:t>
      </w:r>
    </w:p>
    <w:p w14:paraId="421FB7AE" w14:textId="77777777" w:rsidR="003C49C9" w:rsidRPr="00B27065" w:rsidRDefault="003C49C9" w:rsidP="003C49C9">
      <w:pPr>
        <w:rPr>
          <w:lang w:eastAsia="uk-UA"/>
        </w:rPr>
      </w:pPr>
      <w:r w:rsidRPr="00B27065">
        <w:rPr>
          <w:lang w:eastAsia="uk-UA"/>
        </w:rPr>
        <w:t>Майданчик для компостування зелених відходів з парків і садів та установка для компостування відходів</w:t>
      </w:r>
      <w:r>
        <w:rPr>
          <w:lang w:eastAsia="uk-UA"/>
        </w:rPr>
        <w:t xml:space="preserve">, </w:t>
      </w:r>
      <w:r w:rsidRPr="002B25C1">
        <w:rPr>
          <w:lang w:eastAsia="uk-UA"/>
        </w:rPr>
        <w:t>захоронення</w:t>
      </w:r>
      <w:r w:rsidRPr="00B27065">
        <w:rPr>
          <w:lang w:eastAsia="uk-UA"/>
        </w:rPr>
        <w:t xml:space="preserve"> повинна відповідати санітарно-гігієнічним вимогам для місць розміщення об’єктів управління відходами та до споруд та установок для біологічного очищення відходів, що біологічно розкладаються і вимог до будівництва та експлуатації установок для оброблення відходів.</w:t>
      </w:r>
    </w:p>
    <w:p w14:paraId="55D65BE9" w14:textId="77777777" w:rsidR="003C49C9" w:rsidRPr="00B27065" w:rsidRDefault="003C49C9" w:rsidP="003C49C9">
      <w:pPr>
        <w:rPr>
          <w:lang w:eastAsia="uk-UA"/>
        </w:rPr>
      </w:pPr>
      <w:r w:rsidRPr="00B27065">
        <w:rPr>
          <w:lang w:eastAsia="uk-UA"/>
        </w:rPr>
        <w:t>Компостні установки бувають двох типів: відкриті та закриті установки:</w:t>
      </w:r>
    </w:p>
    <w:p w14:paraId="1B90E159" w14:textId="77777777" w:rsidR="003C49C9" w:rsidRPr="00B27065" w:rsidRDefault="003C49C9" w:rsidP="003C49C9">
      <w:pPr>
        <w:pStyle w:val="BulletRED"/>
        <w:ind w:left="924" w:hanging="357"/>
        <w:rPr>
          <w:lang w:eastAsia="uk-UA"/>
        </w:rPr>
      </w:pPr>
      <w:r w:rsidRPr="00B27065">
        <w:rPr>
          <w:lang w:eastAsia="uk-UA"/>
        </w:rPr>
        <w:t>для компостування тільки зелених відходів з парків і садів - компостування здійснюється на відкритому повітрі;</w:t>
      </w:r>
    </w:p>
    <w:p w14:paraId="2021D5CC" w14:textId="77777777" w:rsidR="003C49C9" w:rsidRPr="00B27065" w:rsidRDefault="003C49C9" w:rsidP="003C49C9">
      <w:pPr>
        <w:pStyle w:val="BulletRED"/>
        <w:ind w:left="924" w:hanging="357"/>
        <w:rPr>
          <w:lang w:eastAsia="uk-UA"/>
        </w:rPr>
      </w:pPr>
      <w:r w:rsidRPr="00B27065">
        <w:rPr>
          <w:lang w:eastAsia="uk-UA"/>
        </w:rPr>
        <w:t>для компостування побутових відходів</w:t>
      </w:r>
      <w:r>
        <w:rPr>
          <w:lang w:eastAsia="uk-UA"/>
        </w:rPr>
        <w:t xml:space="preserve">, </w:t>
      </w:r>
      <w:r w:rsidRPr="002B25C1">
        <w:rPr>
          <w:lang w:eastAsia="uk-UA"/>
        </w:rPr>
        <w:t>захоронення</w:t>
      </w:r>
      <w:r w:rsidRPr="00B27065">
        <w:rPr>
          <w:lang w:eastAsia="uk-UA"/>
        </w:rPr>
        <w:t xml:space="preserve"> - у посудинах і тунелях.</w:t>
      </w:r>
    </w:p>
    <w:p w14:paraId="4D13AB01" w14:textId="77777777" w:rsidR="003C49C9" w:rsidRPr="00B27065" w:rsidRDefault="003C49C9" w:rsidP="003C49C9">
      <w:pPr>
        <w:spacing w:before="240"/>
        <w:rPr>
          <w:lang w:eastAsia="uk-UA"/>
        </w:rPr>
      </w:pPr>
      <w:r w:rsidRPr="00B27065">
        <w:rPr>
          <w:lang w:eastAsia="uk-UA"/>
        </w:rPr>
        <w:t>У другому типі установок для компостування, відходи, що біологічно розкладаються, компостуватимуться (з домогосподарств - кухня, з ресторанів, закладів громадського харчування та комерційних закладів, текстильні  та хутрові відходи.</w:t>
      </w:r>
    </w:p>
    <w:p w14:paraId="0694328A" w14:textId="77777777" w:rsidR="003C49C9" w:rsidRPr="00F724CB" w:rsidRDefault="003C49C9" w:rsidP="003C49C9">
      <w:pPr>
        <w:rPr>
          <w:color w:val="202124"/>
          <w:lang w:eastAsia="uk-UA"/>
        </w:rPr>
      </w:pPr>
    </w:p>
    <w:p w14:paraId="7E637E31" w14:textId="77777777" w:rsidR="003C49C9" w:rsidRPr="00F724CB" w:rsidRDefault="003C49C9" w:rsidP="00F33914">
      <w:pPr>
        <w:pStyle w:val="Heading4boldRED"/>
        <w:rPr>
          <w:lang w:eastAsia="uk-UA"/>
        </w:rPr>
      </w:pPr>
      <w:bookmarkStart w:id="63" w:name="_Toc149851525"/>
      <w:r w:rsidRPr="00F724CB">
        <w:rPr>
          <w:lang w:eastAsia="uk-UA"/>
        </w:rPr>
        <w:t>Домашнє компостування</w:t>
      </w:r>
      <w:bookmarkEnd w:id="63"/>
    </w:p>
    <w:p w14:paraId="49ED287E" w14:textId="77777777" w:rsidR="003C49C9" w:rsidRPr="00B27065" w:rsidRDefault="003C49C9" w:rsidP="003C49C9">
      <w:pPr>
        <w:rPr>
          <w:lang w:eastAsia="uk-UA"/>
        </w:rPr>
      </w:pPr>
      <w:r w:rsidRPr="00B27065">
        <w:rPr>
          <w:lang w:eastAsia="uk-UA"/>
        </w:rPr>
        <w:t>Найбільшою мірою домашнє компостування підходить для територій типу «В» і меншою мірою для територій типу «Б».</w:t>
      </w:r>
    </w:p>
    <w:p w14:paraId="2A374C02" w14:textId="77777777" w:rsidR="003C49C9" w:rsidRPr="00B27065" w:rsidRDefault="003C49C9" w:rsidP="003C49C9">
      <w:pPr>
        <w:rPr>
          <w:lang w:eastAsia="uk-UA"/>
        </w:rPr>
      </w:pPr>
      <w:r w:rsidRPr="00B27065">
        <w:rPr>
          <w:lang w:eastAsia="uk-UA"/>
        </w:rPr>
        <w:t>Домогосподарства в цих районах часто мають власні присадибні ділянки, тому вони краще поінформовані про властивості ґрунту, рослини та добрива, що робить їх більш відкритими до ідеї збирання та компостування відходів, що біологічно розкладаються.</w:t>
      </w:r>
    </w:p>
    <w:p w14:paraId="266BA139" w14:textId="77777777" w:rsidR="003C49C9" w:rsidRPr="00B27065" w:rsidRDefault="003C49C9" w:rsidP="003C49C9">
      <w:pPr>
        <w:rPr>
          <w:lang w:eastAsia="uk-UA"/>
        </w:rPr>
      </w:pPr>
      <w:r w:rsidRPr="00B27065">
        <w:rPr>
          <w:lang w:eastAsia="uk-UA"/>
        </w:rPr>
        <w:t xml:space="preserve">Загалом </w:t>
      </w:r>
      <w:r w:rsidRPr="00B27065">
        <w:rPr>
          <w:rFonts w:eastAsia="Calibri"/>
          <w:b/>
          <w:bCs/>
        </w:rPr>
        <w:t>2,6 мільйона домогосподарств</w:t>
      </w:r>
      <w:r w:rsidRPr="00B27065">
        <w:rPr>
          <w:b/>
          <w:bCs/>
          <w:lang w:eastAsia="uk-UA"/>
        </w:rPr>
        <w:t xml:space="preserve"> повинні бути охоплені </w:t>
      </w:r>
      <w:r w:rsidRPr="00B27065">
        <w:rPr>
          <w:lang w:eastAsia="uk-UA"/>
        </w:rPr>
        <w:t>домашніми системами компостування домогосподарств до 2035 р. Охоплення все більшої кількості сімей домашніми системами компостування можливо шляхом постійного інформування населення про можливості відновлення відходів, що біологічно розкладаються та надання контейнерів для компостування для сімей, які хочуть компостувати свої відходи.</w:t>
      </w:r>
    </w:p>
    <w:p w14:paraId="0A14DFE7" w14:textId="77777777" w:rsidR="003C49C9" w:rsidRPr="00B27065" w:rsidRDefault="003C49C9" w:rsidP="003C49C9">
      <w:pPr>
        <w:rPr>
          <w:lang w:eastAsia="uk-UA"/>
        </w:rPr>
      </w:pPr>
      <w:r w:rsidRPr="00B27065">
        <w:rPr>
          <w:lang w:eastAsia="uk-UA"/>
        </w:rPr>
        <w:t>За відсутності коштів такі контейнери домогосподарства можуть виготовити самостійно.</w:t>
      </w:r>
    </w:p>
    <w:p w14:paraId="5DDE4C60" w14:textId="77777777" w:rsidR="003C49C9" w:rsidRPr="00B27065" w:rsidRDefault="003C49C9" w:rsidP="003C49C9">
      <w:pPr>
        <w:rPr>
          <w:lang w:eastAsia="uk-UA"/>
        </w:rPr>
      </w:pPr>
      <w:r w:rsidRPr="00B27065">
        <w:rPr>
          <w:lang w:eastAsia="uk-UA"/>
        </w:rPr>
        <w:t>Для врахування ефекту від цього заходу необхідне забезпечення компостерами окремих домогосподарств. ОМС зобов'язані своєчасно подавати інформацію про досягнуті рівні скорочення відходів, що біологічно розкладаються.</w:t>
      </w:r>
    </w:p>
    <w:p w14:paraId="06A01EE1" w14:textId="77777777" w:rsidR="003C49C9" w:rsidRPr="00F724CB" w:rsidRDefault="003C49C9" w:rsidP="003C49C9">
      <w:pPr>
        <w:rPr>
          <w:b/>
          <w:bCs/>
          <w:color w:val="202124"/>
          <w:lang w:eastAsia="uk-UA"/>
        </w:rPr>
      </w:pPr>
      <w:r w:rsidRPr="00F724CB">
        <w:rPr>
          <w:b/>
          <w:bCs/>
          <w:color w:val="202124"/>
          <w:lang w:eastAsia="uk-UA"/>
        </w:rPr>
        <w:t>Можливості використання компосту</w:t>
      </w:r>
    </w:p>
    <w:p w14:paraId="47CD43E0" w14:textId="77777777" w:rsidR="003C49C9" w:rsidRPr="00B27065" w:rsidRDefault="003C49C9" w:rsidP="00C2057E">
      <w:pPr>
        <w:pStyle w:val="a7"/>
        <w:numPr>
          <w:ilvl w:val="0"/>
          <w:numId w:val="67"/>
        </w:numPr>
        <w:rPr>
          <w:lang w:eastAsia="uk-UA"/>
        </w:rPr>
      </w:pPr>
      <w:r w:rsidRPr="00B27065">
        <w:rPr>
          <w:lang w:eastAsia="uk-UA"/>
        </w:rPr>
        <w:t>Можливості використання отриманого компосту, коли він доброї якості та  не містить хімічних і механічних забруднень дуже різноманітні, в тому числі:</w:t>
      </w:r>
    </w:p>
    <w:p w14:paraId="28B1D3AD" w14:textId="77777777" w:rsidR="003C49C9" w:rsidRPr="00C2057E" w:rsidRDefault="003C49C9" w:rsidP="00C2057E">
      <w:pPr>
        <w:pStyle w:val="a1"/>
        <w:numPr>
          <w:ilvl w:val="0"/>
          <w:numId w:val="67"/>
        </w:numPr>
        <w:rPr>
          <w:color w:val="auto"/>
          <w:lang w:eastAsia="uk-UA"/>
        </w:rPr>
      </w:pPr>
      <w:r w:rsidRPr="00C2057E">
        <w:rPr>
          <w:color w:val="auto"/>
          <w:lang w:eastAsia="uk-UA"/>
        </w:rPr>
        <w:t>рекультивація - на газонах навколо вуличних провулків, порушених місцевостях від шахтної діяльності та старих промислових районів, болотистих місць тощо.</w:t>
      </w:r>
    </w:p>
    <w:p w14:paraId="49124B85" w14:textId="77777777" w:rsidR="003C49C9" w:rsidRPr="00B27065" w:rsidRDefault="003C49C9" w:rsidP="00C2057E">
      <w:pPr>
        <w:pStyle w:val="a1"/>
        <w:numPr>
          <w:ilvl w:val="0"/>
          <w:numId w:val="67"/>
        </w:numPr>
        <w:rPr>
          <w:color w:val="auto"/>
          <w:lang w:eastAsia="uk-UA"/>
        </w:rPr>
      </w:pPr>
      <w:r w:rsidRPr="00B27065">
        <w:rPr>
          <w:color w:val="auto"/>
          <w:lang w:eastAsia="uk-UA"/>
        </w:rPr>
        <w:t>сільське господарство - органічне та традиційне, сади та виноградники, кормові культури. Для підвищення родючості ґрунту зменшуються вимоги до зрошення, зменшується  використання штучних добрив та покращується  структура грунту.</w:t>
      </w:r>
    </w:p>
    <w:p w14:paraId="5DE80595" w14:textId="77777777" w:rsidR="003C49C9" w:rsidRPr="00B27065" w:rsidRDefault="003C49C9" w:rsidP="00C2057E">
      <w:pPr>
        <w:pStyle w:val="a1"/>
        <w:numPr>
          <w:ilvl w:val="0"/>
          <w:numId w:val="67"/>
        </w:numPr>
        <w:rPr>
          <w:color w:val="auto"/>
          <w:lang w:eastAsia="uk-UA"/>
        </w:rPr>
      </w:pPr>
      <w:r w:rsidRPr="00B27065">
        <w:rPr>
          <w:color w:val="auto"/>
          <w:lang w:eastAsia="uk-UA"/>
        </w:rPr>
        <w:t>горщикові та городні суміші - доступно багато різних сумішей для підвищення родючих якостей, органіки, pH ґрунту та інших  його компонентів.</w:t>
      </w:r>
    </w:p>
    <w:p w14:paraId="292AFDEC" w14:textId="77777777" w:rsidR="003C49C9" w:rsidRPr="00B27065" w:rsidRDefault="003C49C9" w:rsidP="00C2057E">
      <w:pPr>
        <w:pStyle w:val="a1"/>
        <w:numPr>
          <w:ilvl w:val="0"/>
          <w:numId w:val="67"/>
        </w:numPr>
        <w:rPr>
          <w:color w:val="auto"/>
          <w:lang w:eastAsia="uk-UA"/>
        </w:rPr>
      </w:pPr>
      <w:r w:rsidRPr="00B27065">
        <w:rPr>
          <w:color w:val="auto"/>
          <w:lang w:eastAsia="uk-UA"/>
        </w:rPr>
        <w:t>розсадники/лісові культури – для вирощування новорічних ялинок тощо.</w:t>
      </w:r>
    </w:p>
    <w:p w14:paraId="715C0393" w14:textId="080E3F1B" w:rsidR="003C49C9" w:rsidRPr="00B27065" w:rsidRDefault="003C49C9" w:rsidP="00C2057E">
      <w:pPr>
        <w:pStyle w:val="a1"/>
        <w:numPr>
          <w:ilvl w:val="0"/>
          <w:numId w:val="67"/>
        </w:numPr>
        <w:rPr>
          <w:color w:val="auto"/>
          <w:lang w:eastAsia="uk-UA"/>
        </w:rPr>
      </w:pPr>
      <w:r w:rsidRPr="00B27065">
        <w:rPr>
          <w:color w:val="auto"/>
          <w:lang w:eastAsia="uk-UA"/>
        </w:rPr>
        <w:t>швидкозростаючі культури. Компост може підтримувати родючість ґрунту та замінювати матеріал, який втрачається, коли рослини викорчовуються.</w:t>
      </w:r>
    </w:p>
    <w:p w14:paraId="72020B1F" w14:textId="77777777" w:rsidR="003C49C9" w:rsidRPr="00B27065" w:rsidRDefault="003C49C9" w:rsidP="00C2057E">
      <w:pPr>
        <w:pStyle w:val="a1"/>
        <w:numPr>
          <w:ilvl w:val="0"/>
          <w:numId w:val="67"/>
        </w:numPr>
        <w:rPr>
          <w:color w:val="auto"/>
          <w:lang w:eastAsia="uk-UA"/>
        </w:rPr>
      </w:pPr>
      <w:r w:rsidRPr="00B27065">
        <w:rPr>
          <w:color w:val="auto"/>
          <w:lang w:eastAsia="uk-UA"/>
        </w:rPr>
        <w:t>теплиці - в теплицях необхідно використовувати якісний компост, особливо для чутливих молодих рослин. Використання компосту зменшує потреби в поливі, підвищує ріст і стійкість кореневої системи рослин і забезпечує захист від деяких хвороб.</w:t>
      </w:r>
    </w:p>
    <w:p w14:paraId="537193AE" w14:textId="77777777" w:rsidR="003C49C9" w:rsidRPr="00B27065" w:rsidRDefault="003C49C9" w:rsidP="00C2057E">
      <w:pPr>
        <w:pStyle w:val="a1"/>
        <w:numPr>
          <w:ilvl w:val="0"/>
          <w:numId w:val="67"/>
        </w:numPr>
        <w:rPr>
          <w:color w:val="auto"/>
          <w:lang w:eastAsia="uk-UA"/>
        </w:rPr>
      </w:pPr>
      <w:r w:rsidRPr="00B27065">
        <w:rPr>
          <w:color w:val="auto"/>
          <w:lang w:eastAsia="uk-UA"/>
        </w:rPr>
        <w:t>газони - спортивні майданчики, громадські парки для формування здорової кореневої системи,  підвищує стійкість до посухи та покращує дренаж вод. Для покриття газону з цільовим призначенням використовують дрібно просіяний компост для підживлення та аерації.</w:t>
      </w:r>
    </w:p>
    <w:p w14:paraId="473B57F2" w14:textId="77777777" w:rsidR="003C49C9" w:rsidRPr="00B27065" w:rsidRDefault="003C49C9" w:rsidP="00C2057E">
      <w:pPr>
        <w:pStyle w:val="a1"/>
        <w:numPr>
          <w:ilvl w:val="0"/>
          <w:numId w:val="67"/>
        </w:numPr>
        <w:rPr>
          <w:color w:val="auto"/>
          <w:lang w:eastAsia="uk-UA"/>
        </w:rPr>
      </w:pPr>
      <w:r w:rsidRPr="00B27065">
        <w:rPr>
          <w:color w:val="auto"/>
          <w:lang w:eastAsia="uk-UA"/>
        </w:rPr>
        <w:t xml:space="preserve">відновлювальні роботи на будівельних майданчиках – газони навколо вулиць,  провулків, озеленення після будівництва. Компост бере участь у боротьбі з ерозією та швидкому створення нового рослинного покриву. </w:t>
      </w:r>
    </w:p>
    <w:p w14:paraId="4AA9C1AB" w14:textId="77777777" w:rsidR="003C49C9" w:rsidRPr="00B27065" w:rsidRDefault="003C49C9" w:rsidP="00C2057E">
      <w:pPr>
        <w:pStyle w:val="a1"/>
        <w:numPr>
          <w:ilvl w:val="0"/>
          <w:numId w:val="67"/>
        </w:numPr>
        <w:rPr>
          <w:color w:val="auto"/>
          <w:lang w:eastAsia="uk-UA"/>
        </w:rPr>
      </w:pPr>
      <w:r w:rsidRPr="00B27065">
        <w:rPr>
          <w:color w:val="auto"/>
          <w:lang w:eastAsia="uk-UA"/>
        </w:rPr>
        <w:t xml:space="preserve">компост, який використовується для мульчі, сприяє збереженню вологи в ґрунті та пригнічує ріст бур’янів. </w:t>
      </w:r>
    </w:p>
    <w:p w14:paraId="6D77A665" w14:textId="77777777" w:rsidR="003C49C9" w:rsidRPr="00B27065" w:rsidRDefault="003C49C9" w:rsidP="00C2057E">
      <w:pPr>
        <w:pStyle w:val="a1"/>
        <w:numPr>
          <w:ilvl w:val="0"/>
          <w:numId w:val="67"/>
        </w:numPr>
        <w:rPr>
          <w:color w:val="auto"/>
          <w:lang w:eastAsia="uk-UA"/>
        </w:rPr>
      </w:pPr>
      <w:r w:rsidRPr="00B27065">
        <w:rPr>
          <w:color w:val="auto"/>
          <w:lang w:eastAsia="uk-UA"/>
        </w:rPr>
        <w:t>заповнення полігонів - при щоденному засипанні компост має ефект біофільтру, зменшує виділення газів з неприємним запахом і метану. Компост, входить до складу верхнього теплоізоляційного екрану, прискорює появу нової рослинності і запобігає вітровій і водній ерозії.</w:t>
      </w:r>
    </w:p>
    <w:p w14:paraId="22375266" w14:textId="77777777" w:rsidR="003C49C9" w:rsidRPr="00B27065" w:rsidRDefault="003C49C9" w:rsidP="00C2057E">
      <w:pPr>
        <w:pStyle w:val="a1"/>
        <w:numPr>
          <w:ilvl w:val="0"/>
          <w:numId w:val="67"/>
        </w:numPr>
        <w:rPr>
          <w:color w:val="auto"/>
          <w:lang w:eastAsia="uk-UA"/>
        </w:rPr>
      </w:pPr>
      <w:r w:rsidRPr="00B27065">
        <w:rPr>
          <w:color w:val="auto"/>
          <w:lang w:eastAsia="uk-UA"/>
        </w:rPr>
        <w:t>біофільтрація - виробництва, які потребують очищення повітря, можуть використовувати біофільтр, виготовлений з активного компосту, який у багатьох випадках є ефективним, низькотехнологічним  і відносно дешевим рішенням</w:t>
      </w:r>
    </w:p>
    <w:p w14:paraId="3F60E780" w14:textId="77777777" w:rsidR="003C49C9" w:rsidRPr="00B27065" w:rsidRDefault="003C49C9" w:rsidP="00C2057E">
      <w:pPr>
        <w:pStyle w:val="a1"/>
        <w:numPr>
          <w:ilvl w:val="0"/>
          <w:numId w:val="67"/>
        </w:numPr>
        <w:rPr>
          <w:color w:val="auto"/>
          <w:lang w:eastAsia="uk-UA"/>
        </w:rPr>
      </w:pPr>
      <w:r w:rsidRPr="00B27065">
        <w:rPr>
          <w:color w:val="auto"/>
          <w:lang w:eastAsia="uk-UA"/>
        </w:rPr>
        <w:t>поля для гольфу - для вирощування здорового газону, зменшення потреби в зрошенні та покращення посухостійкості трави.</w:t>
      </w:r>
    </w:p>
    <w:p w14:paraId="039DE82E" w14:textId="77777777" w:rsidR="003C49C9" w:rsidRPr="00B27065" w:rsidRDefault="003C49C9" w:rsidP="003C49C9">
      <w:pPr>
        <w:rPr>
          <w:lang w:eastAsia="uk-UA"/>
        </w:rPr>
      </w:pPr>
    </w:p>
    <w:p w14:paraId="5BE0D58C" w14:textId="77777777" w:rsidR="003C49C9" w:rsidRPr="00F724CB" w:rsidRDefault="003C49C9" w:rsidP="00F33914">
      <w:pPr>
        <w:pStyle w:val="Heading4boldRED"/>
        <w:rPr>
          <w:lang w:eastAsia="uk-UA"/>
        </w:rPr>
      </w:pPr>
      <w:bookmarkStart w:id="64" w:name="_Toc149851526"/>
      <w:r w:rsidRPr="00F724CB">
        <w:rPr>
          <w:lang w:eastAsia="uk-UA"/>
        </w:rPr>
        <w:t>Анаеробне зброджування побутових відходів, що біологічно розкладаються</w:t>
      </w:r>
      <w:bookmarkEnd w:id="64"/>
    </w:p>
    <w:p w14:paraId="5B6D3579" w14:textId="77777777" w:rsidR="003C49C9" w:rsidRPr="00F724CB" w:rsidRDefault="003C49C9" w:rsidP="003C49C9">
      <w:pPr>
        <w:rPr>
          <w:color w:val="202124"/>
          <w:lang w:eastAsia="uk-UA"/>
        </w:rPr>
      </w:pPr>
      <w:r w:rsidRPr="00F724CB">
        <w:rPr>
          <w:color w:val="202124"/>
          <w:lang w:eastAsia="uk-UA"/>
        </w:rPr>
        <w:t>Анаеробне зброджування особливо підходить для оброблення вологих відходів, зброджування, включаючи жир (наприклад, з кухонних відходів). В процесі розкладання утворюється суміш газів (переважно метан — від 50 до 75 %, а також двоокис вуглецю) у реакторах з регульованим виробництвом біогазу.</w:t>
      </w:r>
    </w:p>
    <w:p w14:paraId="07A94617" w14:textId="77777777" w:rsidR="003C49C9" w:rsidRPr="00F724CB" w:rsidRDefault="003C49C9" w:rsidP="003C49C9">
      <w:pPr>
        <w:rPr>
          <w:color w:val="202124"/>
          <w:lang w:eastAsia="uk-UA"/>
        </w:rPr>
      </w:pPr>
      <w:r w:rsidRPr="00F724CB">
        <w:rPr>
          <w:color w:val="202124"/>
          <w:lang w:eastAsia="uk-UA"/>
        </w:rPr>
        <w:t>Внесок біогазу в скорочення викидів парникових газів найбільший, якщо використовується як біопаливо для транспортних потреб або безпосередньо впорскується в розподільну мережу природного газу. Використовуючи його як біопаливо можна значно скоротити викиди парникових газів, що є певною перевагою в порівнянні з іншими видами палива.</w:t>
      </w:r>
    </w:p>
    <w:p w14:paraId="03F29FC0" w14:textId="77777777" w:rsidR="003C49C9" w:rsidRPr="00F724CB" w:rsidRDefault="003C49C9" w:rsidP="003C49C9">
      <w:pPr>
        <w:rPr>
          <w:color w:val="202124"/>
          <w:lang w:eastAsia="uk-UA"/>
        </w:rPr>
      </w:pPr>
      <w:r w:rsidRPr="00F724CB">
        <w:rPr>
          <w:color w:val="202124"/>
          <w:lang w:eastAsia="uk-UA"/>
        </w:rPr>
        <w:t>Анаеробне зброджування відходів характеризується виділенням енергії з біогазу та використанням відходів від процесу біологічної обробки для виробництво компосту. Цей метод дозволяє зменшити викиди парникових газів, покращити якість ґрунту завдяки компосту та використання енергії біогазу.</w:t>
      </w:r>
    </w:p>
    <w:p w14:paraId="0DE72F7E" w14:textId="77777777" w:rsidR="003C49C9" w:rsidRPr="00F724CB" w:rsidRDefault="003C49C9" w:rsidP="003C49C9">
      <w:pPr>
        <w:rPr>
          <w:color w:val="202124"/>
          <w:lang w:eastAsia="uk-UA"/>
        </w:rPr>
      </w:pPr>
    </w:p>
    <w:p w14:paraId="7915A4B9" w14:textId="77777777" w:rsidR="003C49C9" w:rsidRPr="00F724CB" w:rsidRDefault="003C49C9" w:rsidP="00F33914">
      <w:pPr>
        <w:pStyle w:val="Heading4boldRED"/>
        <w:rPr>
          <w:lang w:eastAsia="uk-UA"/>
        </w:rPr>
      </w:pPr>
      <w:bookmarkStart w:id="65" w:name="_Toc149851527"/>
      <w:r w:rsidRPr="00F724CB">
        <w:rPr>
          <w:lang w:eastAsia="uk-UA"/>
        </w:rPr>
        <w:t>Механіко-біологічне оброблення відходів, що біологічно розкладаються</w:t>
      </w:r>
      <w:bookmarkEnd w:id="65"/>
    </w:p>
    <w:p w14:paraId="4E5D5700" w14:textId="77777777" w:rsidR="003C49C9" w:rsidRPr="002445B9" w:rsidRDefault="003C49C9" w:rsidP="003C49C9">
      <w:pPr>
        <w:rPr>
          <w:lang w:eastAsia="uk-UA"/>
        </w:rPr>
      </w:pPr>
      <w:r w:rsidRPr="002445B9">
        <w:rPr>
          <w:lang w:eastAsia="uk-UA"/>
        </w:rPr>
        <w:t>Механіко-біологічне оброблення включає методи, що поєднують біологічне оброблення з механічним обробленням (сортуванням), а точніше попереднім оброблення змішаних відходів з метою виробництва або більш стабільної фракції відходів для полігонів, або продукту з покращеними характеристиками палива. Але оскільки при механіко-біологічному обробленні, яке використовує анаеробне зброджування, утворюються біогаз, це можна характеризувати як процес відновлення енергії з відходів. Горючі відходи, відсортовані в процесі механіко-біологічного оброблення, згодом можуть бути спалені, тобто використаний їхній енергетичний потенціал.</w:t>
      </w:r>
    </w:p>
    <w:p w14:paraId="6DDF7656" w14:textId="77777777" w:rsidR="003C49C9" w:rsidRPr="002445B9" w:rsidRDefault="003C49C9" w:rsidP="003C49C9">
      <w:pPr>
        <w:rPr>
          <w:lang w:eastAsia="uk-UA"/>
        </w:rPr>
      </w:pPr>
      <w:r w:rsidRPr="002445B9">
        <w:rPr>
          <w:lang w:eastAsia="uk-UA"/>
        </w:rPr>
        <w:t>Протягом останнього десятиліття механіко-біологічне оброблення використовувалось у всьому Європейському Союзі як попереднє оброблення з метою відповідності критеріям для допуску відходів до полігонів або підвищення теплотворної здатності, у випадках спалювання відходів. Із 80 великих установок загальною потужністю понад 8,5 млн тонн, більшість розташована в Німеччині, Іспанії та Італії.</w:t>
      </w:r>
    </w:p>
    <w:p w14:paraId="30CBAB31" w14:textId="77777777" w:rsidR="003C49C9" w:rsidRPr="002445B9" w:rsidRDefault="003C49C9" w:rsidP="003C49C9">
      <w:pPr>
        <w:rPr>
          <w:lang w:eastAsia="uk-UA"/>
        </w:rPr>
      </w:pPr>
      <w:r w:rsidRPr="002445B9">
        <w:rPr>
          <w:lang w:eastAsia="uk-UA"/>
        </w:rPr>
        <w:t>Існує два основних варіанти цієї технології:</w:t>
      </w:r>
    </w:p>
    <w:p w14:paraId="10734AA6" w14:textId="77777777" w:rsidR="003C49C9" w:rsidRPr="002445B9" w:rsidRDefault="003C49C9" w:rsidP="003C49C9">
      <w:pPr>
        <w:pStyle w:val="BulletRED"/>
        <w:ind w:left="924" w:hanging="357"/>
        <w:rPr>
          <w:lang w:eastAsia="uk-UA"/>
        </w:rPr>
      </w:pPr>
      <w:r w:rsidRPr="002445B9">
        <w:rPr>
          <w:lang w:eastAsia="uk-UA"/>
        </w:rPr>
        <w:t>класичні методи механіко-біологічного оброблення використовуються після відділення металу та фракції енергетичних матеріалів;</w:t>
      </w:r>
    </w:p>
    <w:p w14:paraId="32037F99" w14:textId="77777777" w:rsidR="003C49C9" w:rsidRPr="002445B9" w:rsidRDefault="003C49C9" w:rsidP="003C49C9">
      <w:pPr>
        <w:pStyle w:val="BulletRED"/>
        <w:ind w:left="924" w:hanging="357"/>
        <w:rPr>
          <w:lang w:eastAsia="uk-UA"/>
        </w:rPr>
      </w:pPr>
      <w:r w:rsidRPr="002445B9">
        <w:rPr>
          <w:lang w:eastAsia="uk-UA"/>
        </w:rPr>
        <w:t>методи зі стабілізацією, при яких не відбирається нічого або дуже мала частина - виробляється альтернативне паливо. Відходи, що залишилися, висушуються в процесі теплової реакції для подальшого оброблення. Висушені відходи поділяють на придатні для використання фракції (альтернативне паливо, метали тощо).</w:t>
      </w:r>
    </w:p>
    <w:p w14:paraId="4B42DA63" w14:textId="77777777" w:rsidR="003C49C9" w:rsidRPr="002445B9" w:rsidRDefault="003C49C9" w:rsidP="003C49C9">
      <w:pPr>
        <w:rPr>
          <w:lang w:eastAsia="uk-UA"/>
        </w:rPr>
      </w:pPr>
      <w:r w:rsidRPr="002445B9">
        <w:rPr>
          <w:lang w:eastAsia="uk-UA"/>
        </w:rPr>
        <w:t>Обидва способи вимагають наявності вільних потужностей для спільного спалювання промисловістю, де використовуватимуться високоенергетичні фракції/альтернативне пальне.</w:t>
      </w:r>
    </w:p>
    <w:p w14:paraId="5EC0DE95" w14:textId="77777777" w:rsidR="003C49C9" w:rsidRPr="002445B9" w:rsidRDefault="003C49C9" w:rsidP="003C49C9">
      <w:pPr>
        <w:rPr>
          <w:lang w:eastAsia="uk-UA"/>
        </w:rPr>
      </w:pPr>
      <w:r w:rsidRPr="002445B9">
        <w:rPr>
          <w:lang w:eastAsia="uk-UA"/>
        </w:rPr>
        <w:t>Такі фракції, як метал, пластик, папір, картон і текстиль, спочатку відокремлюються методом просіювання та ручного сортування, а збагачена органікою фракція, яка також містить інертні матеріали, направляється на біологічне оброблення - компостування або анаеробне зброджування. При цьому методі оброблення біологічна активність відходів зменшується до 5 % порівняно з вихідним матеріалом, і продукт може бути видалений на полігон без подальшого негативного впливу на навколишнє середовище.</w:t>
      </w:r>
    </w:p>
    <w:p w14:paraId="2827D312" w14:textId="42217FCA" w:rsidR="003C49C9" w:rsidRPr="002445B9" w:rsidRDefault="003C49C9" w:rsidP="003C49C9">
      <w:pPr>
        <w:rPr>
          <w:lang w:eastAsia="uk-UA"/>
        </w:rPr>
      </w:pPr>
      <w:r w:rsidRPr="002445B9">
        <w:rPr>
          <w:lang w:eastAsia="uk-UA"/>
        </w:rPr>
        <w:t xml:space="preserve">Основним завданням </w:t>
      </w:r>
      <w:r w:rsidR="007B0DB8">
        <w:rPr>
          <w:lang w:eastAsia="uk-UA"/>
        </w:rPr>
        <w:t>м</w:t>
      </w:r>
      <w:r w:rsidR="007B0DB8" w:rsidRPr="007B0DB8">
        <w:rPr>
          <w:lang w:eastAsia="uk-UA"/>
        </w:rPr>
        <w:t>еханіко-біологічн</w:t>
      </w:r>
      <w:r w:rsidR="007B0DB8">
        <w:rPr>
          <w:lang w:eastAsia="uk-UA"/>
        </w:rPr>
        <w:t>ого</w:t>
      </w:r>
      <w:r w:rsidR="007B0DB8" w:rsidRPr="007B0DB8">
        <w:rPr>
          <w:lang w:eastAsia="uk-UA"/>
        </w:rPr>
        <w:t xml:space="preserve"> оброблення </w:t>
      </w:r>
      <w:r w:rsidR="007B0DB8">
        <w:rPr>
          <w:lang w:eastAsia="uk-UA"/>
        </w:rPr>
        <w:t>(</w:t>
      </w:r>
      <w:r w:rsidRPr="002445B9">
        <w:rPr>
          <w:lang w:eastAsia="uk-UA"/>
        </w:rPr>
        <w:t>МБО</w:t>
      </w:r>
      <w:r w:rsidR="007B0DB8">
        <w:rPr>
          <w:lang w:eastAsia="uk-UA"/>
        </w:rPr>
        <w:t>)</w:t>
      </w:r>
      <w:r w:rsidRPr="002445B9">
        <w:rPr>
          <w:lang w:eastAsia="uk-UA"/>
        </w:rPr>
        <w:t xml:space="preserve"> є стабілізація фракції у відходах, що біологічно розкладається, оскільки при анаеробному розкладанні в тілі полігону саме з цієї фракції формуються парникові гази, які, якщо не вловлюються, викидаються в атмосферу та фільтрат, який без очищення забруднює поверхню та </w:t>
      </w:r>
      <w:r w:rsidRPr="002445B9">
        <w:rPr>
          <w:rFonts w:cs="Times New Roman"/>
          <w:lang w:eastAsia="uk-UA"/>
        </w:rPr>
        <w:t>ґ</w:t>
      </w:r>
      <w:r w:rsidRPr="002445B9">
        <w:rPr>
          <w:lang w:eastAsia="uk-UA"/>
        </w:rPr>
        <w:t>рунтові води.</w:t>
      </w:r>
    </w:p>
    <w:p w14:paraId="1AD92452" w14:textId="77777777" w:rsidR="003C49C9" w:rsidRPr="002445B9" w:rsidRDefault="003C49C9" w:rsidP="003C49C9">
      <w:pPr>
        <w:rPr>
          <w:lang w:eastAsia="uk-UA"/>
        </w:rPr>
      </w:pPr>
      <w:r w:rsidRPr="002445B9">
        <w:rPr>
          <w:lang w:eastAsia="uk-UA"/>
        </w:rPr>
        <w:t>При використанні МБО від 50 до 80% зменшуються обсяги захоронення відходів, а в деяких випадках і більше, залежно від технологічного рішення та виду відходів, a залишкова фракція, призначена для видалення, краще ущільнюється, ніж необроблені відходи.</w:t>
      </w:r>
    </w:p>
    <w:p w14:paraId="17531BE8" w14:textId="144204DC" w:rsidR="003C49C9" w:rsidRPr="002445B9" w:rsidRDefault="003C49C9" w:rsidP="003C49C9">
      <w:pPr>
        <w:rPr>
          <w:lang w:eastAsia="uk-UA"/>
        </w:rPr>
      </w:pPr>
      <w:r w:rsidRPr="002445B9">
        <w:rPr>
          <w:lang w:eastAsia="uk-UA"/>
        </w:rPr>
        <w:t xml:space="preserve">З MBО можна поєднати переваги термічного оброблення відходів для відновлення енергії та біологічного розкладання низькокалорійної фракції (фракція з високим вмістом води). Переваги MБО перед спалюванням - можливість застосування до </w:t>
      </w:r>
      <w:r w:rsidR="00E92260" w:rsidRPr="002445B9">
        <w:rPr>
          <w:lang w:eastAsia="uk-UA"/>
        </w:rPr>
        <w:t>невелик</w:t>
      </w:r>
      <w:r w:rsidR="00E92260">
        <w:rPr>
          <w:lang w:eastAsia="uk-UA"/>
        </w:rPr>
        <w:t>их</w:t>
      </w:r>
      <w:r w:rsidR="00E92260" w:rsidRPr="00E92260">
        <w:t xml:space="preserve"> </w:t>
      </w:r>
      <w:r w:rsidR="00E92260" w:rsidRPr="00E92260">
        <w:rPr>
          <w:lang w:eastAsia="uk-UA"/>
        </w:rPr>
        <w:t>обсягів</w:t>
      </w:r>
      <w:r w:rsidR="00E92260" w:rsidRPr="002445B9">
        <w:rPr>
          <w:lang w:eastAsia="uk-UA"/>
        </w:rPr>
        <w:t xml:space="preserve"> </w:t>
      </w:r>
      <w:r w:rsidRPr="002445B9">
        <w:rPr>
          <w:lang w:eastAsia="uk-UA"/>
        </w:rPr>
        <w:t xml:space="preserve">відходів (25 000 – 50 000 тонн/рік), або для районів з населенням близько 150 000 жителів, а також для великих </w:t>
      </w:r>
      <w:r w:rsidR="00E92260" w:rsidRPr="00E92260">
        <w:rPr>
          <w:lang w:eastAsia="uk-UA"/>
        </w:rPr>
        <w:t>обсягів</w:t>
      </w:r>
      <w:r w:rsidRPr="002445B9">
        <w:rPr>
          <w:lang w:eastAsia="uk-UA"/>
        </w:rPr>
        <w:t xml:space="preserve"> відходи 200 000-300 000 т/рік.</w:t>
      </w:r>
    </w:p>
    <w:p w14:paraId="6A625D02" w14:textId="43C128B1" w:rsidR="003C49C9" w:rsidRPr="002445B9" w:rsidRDefault="003C49C9" w:rsidP="003C49C9">
      <w:pPr>
        <w:rPr>
          <w:lang w:eastAsia="uk-UA"/>
        </w:rPr>
      </w:pPr>
      <w:r w:rsidRPr="002445B9">
        <w:rPr>
          <w:lang w:eastAsia="uk-UA"/>
        </w:rPr>
        <w:t xml:space="preserve">У такому комбінованому підході різні фази оброблення відходів можуть виконуватися в різних місцях. Зазвичай установки MBО будуються близькість до полігонів. Здатність виконувати різні дії в різних місцях робить систему  гнучкою щодо зміни складу та </w:t>
      </w:r>
      <w:r w:rsidR="00B12CE3" w:rsidRPr="00B12CE3">
        <w:rPr>
          <w:lang w:eastAsia="uk-UA"/>
        </w:rPr>
        <w:t>обсягів</w:t>
      </w:r>
      <w:r w:rsidRPr="002445B9">
        <w:rPr>
          <w:lang w:eastAsia="uk-UA"/>
        </w:rPr>
        <w:t xml:space="preserve"> відходів.</w:t>
      </w:r>
    </w:p>
    <w:p w14:paraId="5A970BBD" w14:textId="77777777" w:rsidR="003C49C9" w:rsidRPr="002445B9" w:rsidRDefault="003C49C9" w:rsidP="003C49C9">
      <w:pPr>
        <w:rPr>
          <w:lang w:eastAsia="uk-UA"/>
        </w:rPr>
      </w:pPr>
      <w:r w:rsidRPr="002445B9">
        <w:rPr>
          <w:lang w:eastAsia="uk-UA"/>
        </w:rPr>
        <w:t>Установки MБО не передбачають впровадження роздільного збирання біовідходів у випадку, якщо ОМС на більш пізньому етапі вирішить виробляти компост із хорошої якості. Більшість заводів MБО допускають оброблення змішаних відходів, що біологічно розкладаються на одному конвеєрі, окремо зібрані - на іншому. Таким чином одна і та ж установка може використовуватися для входів різного складу та походження матеріалів.</w:t>
      </w:r>
    </w:p>
    <w:p w14:paraId="6FAA2EB8" w14:textId="77777777" w:rsidR="003C49C9" w:rsidRPr="00F724CB" w:rsidRDefault="003C49C9" w:rsidP="003C49C9">
      <w:pPr>
        <w:rPr>
          <w:color w:val="202124"/>
          <w:lang w:eastAsia="uk-UA"/>
        </w:rPr>
      </w:pPr>
    </w:p>
    <w:p w14:paraId="6ECF399C" w14:textId="77777777" w:rsidR="003C49C9" w:rsidRPr="00F724CB" w:rsidRDefault="003C49C9" w:rsidP="00F33914">
      <w:pPr>
        <w:pStyle w:val="Heading4boldRED"/>
        <w:rPr>
          <w:lang w:eastAsia="uk-UA"/>
        </w:rPr>
      </w:pPr>
      <w:bookmarkStart w:id="66" w:name="_Toc149851528"/>
      <w:r w:rsidRPr="00F724CB">
        <w:rPr>
          <w:lang w:eastAsia="uk-UA"/>
        </w:rPr>
        <w:t>Спалювання</w:t>
      </w:r>
      <w:bookmarkEnd w:id="66"/>
    </w:p>
    <w:p w14:paraId="1EE1FDC0" w14:textId="77777777" w:rsidR="003C49C9" w:rsidRPr="002445B9" w:rsidRDefault="003C49C9" w:rsidP="003C49C9">
      <w:pPr>
        <w:rPr>
          <w:lang w:eastAsia="uk-UA"/>
        </w:rPr>
      </w:pPr>
      <w:r w:rsidRPr="002445B9">
        <w:rPr>
          <w:lang w:eastAsia="uk-UA"/>
        </w:rPr>
        <w:t>Спалювання можна розглядати як відновлення із виробництвом енергії або як видалення відходів, залежно від коефіцієнта енергоефективності цього процесу. Оскільки вологість відходів</w:t>
      </w:r>
      <w:r>
        <w:rPr>
          <w:lang w:eastAsia="uk-UA"/>
        </w:rPr>
        <w:t>, що біологічно розкладаються</w:t>
      </w:r>
      <w:r w:rsidRPr="002445B9">
        <w:rPr>
          <w:lang w:eastAsia="uk-UA"/>
        </w:rPr>
        <w:t xml:space="preserve"> зменшує коефіцієнт корисної дії при їх спалюванні, доцільним буде виділення відходів</w:t>
      </w:r>
      <w:r>
        <w:rPr>
          <w:lang w:eastAsia="uk-UA"/>
        </w:rPr>
        <w:t xml:space="preserve">, </w:t>
      </w:r>
      <w:r w:rsidRPr="002B25C1">
        <w:rPr>
          <w:lang w:eastAsia="uk-UA"/>
        </w:rPr>
        <w:t>що біологічно розкладаються</w:t>
      </w:r>
      <w:r w:rsidRPr="002445B9">
        <w:rPr>
          <w:lang w:eastAsia="uk-UA"/>
        </w:rPr>
        <w:t xml:space="preserve"> з побутових відходів. З іншого боку, при спалювані відходи</w:t>
      </w:r>
      <w:r>
        <w:rPr>
          <w:lang w:eastAsia="uk-UA"/>
        </w:rPr>
        <w:t xml:space="preserve">, </w:t>
      </w:r>
      <w:r w:rsidRPr="002B25C1">
        <w:rPr>
          <w:lang w:eastAsia="uk-UA"/>
        </w:rPr>
        <w:t>що біологічно розкладаються</w:t>
      </w:r>
      <w:r w:rsidRPr="002445B9">
        <w:rPr>
          <w:lang w:eastAsia="uk-UA"/>
        </w:rPr>
        <w:t xml:space="preserve"> вважаються «відновлюваним» паливом – біомаса, яка не виробляє вуглець, у розумінні Директиви про сприяння використанню енергії з відновлюваних джерел 2009/28(EC). Здійснюється спалювання відходів, </w:t>
      </w:r>
      <w:r w:rsidRPr="002B25C1">
        <w:rPr>
          <w:lang w:eastAsia="uk-UA"/>
        </w:rPr>
        <w:t xml:space="preserve">що біологічно розкладаються </w:t>
      </w:r>
      <w:r w:rsidRPr="002445B9">
        <w:rPr>
          <w:lang w:eastAsia="uk-UA"/>
        </w:rPr>
        <w:t>які не збираються окремо, шляхом комбінованого виробництва тепла та електроенергії, конденсації водяної пари з димових газів, що призводить до високого ККД і високого рівня відновлення енергії.</w:t>
      </w:r>
    </w:p>
    <w:p w14:paraId="5ED06DC3" w14:textId="77777777" w:rsidR="003C49C9" w:rsidRPr="002445B9" w:rsidRDefault="003C49C9" w:rsidP="003C49C9">
      <w:pPr>
        <w:rPr>
          <w:lang w:eastAsia="uk-UA"/>
        </w:rPr>
      </w:pPr>
      <w:r w:rsidRPr="002445B9">
        <w:rPr>
          <w:lang w:eastAsia="uk-UA"/>
        </w:rPr>
        <w:t>Термічне оброблення здійснюється на сміттєспалювальних заводах. У цих установках біологічні відходи спалюються в міру доставки з приймального бункеру. Вироблена енергія використовується для виробництва пари та електрики. Після використання енергії димових газів і їх охолодження вони очищаються в системі газоочищення і викидаються в атмосферу через димохід. Тверді залишки — шлак і зола. Шлак (якщо він не містить важких металів) можна використовувати як інертний матеріал, наприклад у будівництві доріг, або вивозити на міські полігони. Зола – це залишки газоочисної системи. Зола сильно забруднена важкими металами, і з нею слід поводитися як з небезпечними відходами.</w:t>
      </w:r>
    </w:p>
    <w:p w14:paraId="7D0FC8D3" w14:textId="77777777" w:rsidR="003C49C9" w:rsidRPr="002445B9" w:rsidRDefault="003C49C9" w:rsidP="003C49C9">
      <w:pPr>
        <w:rPr>
          <w:lang w:eastAsia="uk-UA"/>
        </w:rPr>
      </w:pPr>
      <w:r w:rsidRPr="002445B9">
        <w:rPr>
          <w:lang w:eastAsia="uk-UA"/>
        </w:rPr>
        <w:t xml:space="preserve">Завдяки високій вологості природні органічні відходи зменшують тепло від горіння. Під час спалювання фракція, що біологічно розкладається повністю руйнується, а отриманий попіл не має подальшого негативного впливу на навколишнє середовище. </w:t>
      </w:r>
    </w:p>
    <w:p w14:paraId="61983193" w14:textId="77777777" w:rsidR="003C49C9" w:rsidRDefault="003C49C9" w:rsidP="003C49C9">
      <w:pPr>
        <w:rPr>
          <w:lang w:val="bg-BG" w:eastAsia="uk-UA"/>
        </w:rPr>
      </w:pPr>
    </w:p>
    <w:p w14:paraId="08D6015C" w14:textId="77777777" w:rsidR="006135D9" w:rsidRDefault="006135D9" w:rsidP="004C5ACC">
      <w:pPr>
        <w:pStyle w:val="30"/>
        <w:rPr>
          <w:lang w:val="bg-BG" w:eastAsia="uk-UA"/>
        </w:rPr>
      </w:pPr>
      <w:bookmarkStart w:id="67" w:name="_Toc149851529"/>
      <w:bookmarkStart w:id="68" w:name="_Toc151583279"/>
      <w:r>
        <w:rPr>
          <w:lang w:val="bg-BG" w:eastAsia="uk-UA"/>
        </w:rPr>
        <w:t xml:space="preserve">Управління </w:t>
      </w:r>
      <w:r w:rsidRPr="00BA11F2">
        <w:rPr>
          <w:lang w:val="bg-BG" w:eastAsia="uk-UA"/>
        </w:rPr>
        <w:t>відходами</w:t>
      </w:r>
      <w:r>
        <w:rPr>
          <w:lang w:val="bg-BG" w:eastAsia="uk-UA"/>
        </w:rPr>
        <w:t xml:space="preserve"> </w:t>
      </w:r>
      <w:r w:rsidRPr="00BA11F2">
        <w:rPr>
          <w:bCs/>
          <w:lang w:eastAsia="uk-UA"/>
        </w:rPr>
        <w:t>сільського</w:t>
      </w:r>
      <w:r>
        <w:rPr>
          <w:bCs/>
          <w:lang w:val="bg-BG" w:eastAsia="uk-UA"/>
        </w:rPr>
        <w:t xml:space="preserve"> го</w:t>
      </w:r>
      <w:r w:rsidRPr="00BA11F2">
        <w:rPr>
          <w:bCs/>
          <w:lang w:eastAsia="uk-UA"/>
        </w:rPr>
        <w:t>сподарс</w:t>
      </w:r>
      <w:r>
        <w:rPr>
          <w:bCs/>
          <w:lang w:val="bg-BG" w:eastAsia="uk-UA"/>
        </w:rPr>
        <w:t xml:space="preserve">тва, </w:t>
      </w:r>
      <w:r w:rsidRPr="00F724CB">
        <w:rPr>
          <w:lang w:eastAsia="uk-UA"/>
        </w:rPr>
        <w:t>що біологічно розкладаються</w:t>
      </w:r>
      <w:bookmarkEnd w:id="67"/>
      <w:bookmarkEnd w:id="68"/>
    </w:p>
    <w:p w14:paraId="14FEEECE" w14:textId="77777777" w:rsidR="006135D9" w:rsidRPr="00FC54DB" w:rsidRDefault="006135D9" w:rsidP="004C5ACC">
      <w:pPr>
        <w:pStyle w:val="Heading4boldRED"/>
        <w:rPr>
          <w:lang w:val="ru-RU" w:eastAsia="da-DK"/>
        </w:rPr>
      </w:pPr>
      <w:bookmarkStart w:id="69" w:name="_Toc149851530"/>
      <w:bookmarkStart w:id="70" w:name="_Toc487909740"/>
      <w:r w:rsidRPr="00FC54DB">
        <w:rPr>
          <w:lang w:eastAsia="da-DK"/>
        </w:rPr>
        <w:t xml:space="preserve">Поточна ситуація щодо </w:t>
      </w:r>
      <w:r>
        <w:rPr>
          <w:lang w:eastAsia="da-DK"/>
        </w:rPr>
        <w:t>управління</w:t>
      </w:r>
      <w:r w:rsidRPr="00FC54DB">
        <w:rPr>
          <w:lang w:eastAsia="da-DK"/>
        </w:rPr>
        <w:t>м з сільськогосподарськими відходами</w:t>
      </w:r>
      <w:bookmarkEnd w:id="69"/>
      <w:r w:rsidRPr="00FC54DB">
        <w:rPr>
          <w:lang w:eastAsia="da-DK"/>
        </w:rPr>
        <w:t xml:space="preserve"> </w:t>
      </w:r>
      <w:bookmarkEnd w:id="70"/>
    </w:p>
    <w:p w14:paraId="131C1A26" w14:textId="6442E4B1"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Інтенсифікація сільськогосподарського виробництва та розширення сільськогосподарських угідь призвели до збільшення </w:t>
      </w:r>
      <w:r w:rsidR="00B12CE3" w:rsidRPr="00B12CE3">
        <w:rPr>
          <w:rFonts w:eastAsia="Times New Roman" w:cs="Times New Roman"/>
          <w:szCs w:val="24"/>
          <w:shd w:val="clear" w:color="auto" w:fill="FFFFFF"/>
          <w:lang w:eastAsia="ru-RU"/>
        </w:rPr>
        <w:t>обсягів</w:t>
      </w:r>
      <w:r w:rsidRPr="00BA11F2">
        <w:rPr>
          <w:rFonts w:eastAsia="Times New Roman" w:cs="Times New Roman"/>
          <w:szCs w:val="24"/>
          <w:shd w:val="clear" w:color="auto" w:fill="FFFFFF"/>
          <w:lang w:eastAsia="ru-RU"/>
        </w:rPr>
        <w:t xml:space="preserve"> відходів та зростання їх впливу на навколишнє природне середовище. Сільськогосподарські відходи</w:t>
      </w:r>
      <w:r>
        <w:rPr>
          <w:rFonts w:eastAsia="Times New Roman" w:cs="Times New Roman"/>
          <w:szCs w:val="24"/>
          <w:shd w:val="clear" w:color="auto" w:fill="FFFFFF"/>
          <w:lang w:val="bg-BG" w:eastAsia="ru-RU"/>
        </w:rPr>
        <w:t xml:space="preserve">, </w:t>
      </w:r>
      <w:r w:rsidRPr="00BA11F2">
        <w:rPr>
          <w:rFonts w:eastAsia="Times New Roman" w:cs="Times New Roman"/>
          <w:szCs w:val="24"/>
          <w:shd w:val="clear" w:color="auto" w:fill="FFFFFF"/>
          <w:lang w:eastAsia="ru-RU"/>
        </w:rPr>
        <w:t xml:space="preserve"> – це відходи, що утворюються в результаті діяльності сільського </w:t>
      </w:r>
      <w:r w:rsidRPr="006E439A">
        <w:rPr>
          <w:rFonts w:eastAsia="Times New Roman" w:cs="Times New Roman"/>
          <w:szCs w:val="24"/>
          <w:shd w:val="clear" w:color="auto" w:fill="FFFFFF"/>
          <w:lang w:eastAsia="ru-RU"/>
        </w:rPr>
        <w:t>господарства. Сільськогосподарські відходи</w:t>
      </w:r>
      <w:r w:rsidRPr="006E439A">
        <w:rPr>
          <w:rFonts w:eastAsia="Times New Roman" w:cs="Times New Roman"/>
          <w:szCs w:val="24"/>
          <w:shd w:val="clear" w:color="auto" w:fill="FFFFFF"/>
          <w:lang w:val="bg-BG" w:eastAsia="ru-RU"/>
        </w:rPr>
        <w:t>,</w:t>
      </w:r>
      <w:r w:rsidRPr="006E439A">
        <w:rPr>
          <w:rFonts w:eastAsia="Times New Roman" w:cs="Times New Roman"/>
          <w:szCs w:val="24"/>
          <w:shd w:val="clear" w:color="auto" w:fill="FFFFFF"/>
          <w:lang w:eastAsia="ru-RU"/>
        </w:rPr>
        <w:t xml:space="preserve"> </w:t>
      </w:r>
      <w:r w:rsidRPr="006E439A">
        <w:rPr>
          <w:lang w:eastAsia="uk-UA"/>
        </w:rPr>
        <w:t>що біологічно розкладаються</w:t>
      </w:r>
      <w:r w:rsidRPr="006E439A">
        <w:rPr>
          <w:rFonts w:eastAsia="Times New Roman" w:cs="Times New Roman"/>
          <w:szCs w:val="24"/>
          <w:shd w:val="clear" w:color="auto" w:fill="FFFFFF"/>
          <w:lang w:eastAsia="ru-RU"/>
        </w:rPr>
        <w:t xml:space="preserve"> включають органічні </w:t>
      </w:r>
      <w:r w:rsidRPr="006E439A">
        <w:rPr>
          <w:rFonts w:eastAsia="Times New Roman" w:cs="Times New Roman"/>
          <w:szCs w:val="24"/>
          <w:shd w:val="clear" w:color="auto" w:fill="FFFFFF"/>
          <w:lang w:val="bg-BG" w:eastAsia="ru-RU"/>
        </w:rPr>
        <w:t xml:space="preserve">рослинні </w:t>
      </w:r>
      <w:r w:rsidRPr="006E439A">
        <w:rPr>
          <w:rFonts w:eastAsia="Times New Roman" w:cs="Times New Roman"/>
          <w:szCs w:val="24"/>
          <w:shd w:val="clear" w:color="auto" w:fill="FFFFFF"/>
          <w:lang w:eastAsia="ru-RU"/>
        </w:rPr>
        <w:t>відходи</w:t>
      </w:r>
      <w:r w:rsidRPr="006E439A">
        <w:rPr>
          <w:rFonts w:eastAsia="Times New Roman" w:cs="Times New Roman"/>
          <w:szCs w:val="24"/>
          <w:shd w:val="clear" w:color="auto" w:fill="FFFFFF"/>
          <w:lang w:val="bg-BG" w:eastAsia="ru-RU"/>
        </w:rPr>
        <w:t xml:space="preserve">, </w:t>
      </w:r>
      <w:r w:rsidRPr="006E439A">
        <w:rPr>
          <w:rFonts w:eastAsia="Times New Roman" w:cs="Times New Roman"/>
          <w:szCs w:val="24"/>
          <w:shd w:val="clear" w:color="auto" w:fill="FFFFFF"/>
          <w:lang w:eastAsia="ru-RU"/>
        </w:rPr>
        <w:t>відходи тварин та птиці</w:t>
      </w:r>
      <w:r w:rsidRPr="006E439A">
        <w:rPr>
          <w:rFonts w:eastAsia="Times New Roman" w:cs="Times New Roman"/>
          <w:szCs w:val="24"/>
          <w:shd w:val="clear" w:color="auto" w:fill="FFFFFF"/>
          <w:lang w:val="bg-BG" w:eastAsia="ru-RU"/>
        </w:rPr>
        <w:t>,</w:t>
      </w:r>
      <w:r w:rsidRPr="006E439A">
        <w:rPr>
          <w:rFonts w:eastAsia="Times New Roman" w:cs="Times New Roman"/>
          <w:szCs w:val="24"/>
          <w:shd w:val="clear" w:color="auto" w:fill="FFFFFF"/>
          <w:lang w:eastAsia="ru-RU"/>
        </w:rPr>
        <w:t xml:space="preserve"> тваринні екскременти та інші відходи, що утворюються</w:t>
      </w:r>
      <w:r w:rsidRPr="00BA11F2">
        <w:rPr>
          <w:rFonts w:eastAsia="Times New Roman" w:cs="Times New Roman"/>
          <w:szCs w:val="24"/>
          <w:shd w:val="clear" w:color="auto" w:fill="FFFFFF"/>
          <w:lang w:eastAsia="ru-RU"/>
        </w:rPr>
        <w:t xml:space="preserve"> на фермах, птахофабриках та бійн</w:t>
      </w:r>
      <w:r>
        <w:rPr>
          <w:rFonts w:eastAsia="Times New Roman" w:cs="Times New Roman"/>
          <w:szCs w:val="24"/>
          <w:shd w:val="clear" w:color="auto" w:fill="FFFFFF"/>
          <w:lang w:eastAsia="ru-RU"/>
        </w:rPr>
        <w:t xml:space="preserve">ях, </w:t>
      </w:r>
      <w:r w:rsidRPr="00BA11F2">
        <w:rPr>
          <w:rFonts w:eastAsia="Times New Roman" w:cs="Times New Roman"/>
          <w:szCs w:val="24"/>
          <w:shd w:val="clear" w:color="auto" w:fill="FFFFFF"/>
          <w:lang w:eastAsia="ru-RU"/>
        </w:rPr>
        <w:t>органічні відходів з садів,</w:t>
      </w:r>
      <w:r>
        <w:rPr>
          <w:rFonts w:eastAsia="Times New Roman" w:cs="Times New Roman"/>
          <w:szCs w:val="24"/>
          <w:shd w:val="clear" w:color="auto" w:fill="FFFFFF"/>
          <w:lang w:val="bg-BG" w:eastAsia="ru-RU"/>
        </w:rPr>
        <w:t xml:space="preserve"> </w:t>
      </w:r>
      <w:r>
        <w:rPr>
          <w:rFonts w:eastAsia="Times New Roman" w:cs="Times New Roman"/>
          <w:szCs w:val="24"/>
          <w:shd w:val="clear" w:color="auto" w:fill="FFFFFF"/>
          <w:lang w:eastAsia="ru-RU"/>
        </w:rPr>
        <w:t>відходи від збирання врожаю</w:t>
      </w:r>
      <w:r w:rsidRPr="00BA11F2">
        <w:rPr>
          <w:rFonts w:eastAsia="Times New Roman" w:cs="Times New Roman"/>
          <w:szCs w:val="24"/>
          <w:shd w:val="clear" w:color="auto" w:fill="FFFFFF"/>
          <w:lang w:eastAsia="ru-RU"/>
        </w:rPr>
        <w:t>.</w:t>
      </w:r>
    </w:p>
    <w:p w14:paraId="3823D7F5"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Pr>
          <w:rFonts w:eastAsia="Times New Roman" w:cs="Times New Roman"/>
          <w:szCs w:val="24"/>
          <w:shd w:val="clear" w:color="auto" w:fill="FFFFFF"/>
          <w:lang w:val="bg-BG" w:eastAsia="ru-RU"/>
        </w:rPr>
        <w:t>Наприклад, в</w:t>
      </w:r>
      <w:r w:rsidRPr="00BA11F2">
        <w:rPr>
          <w:rFonts w:eastAsia="Times New Roman" w:cs="Times New Roman"/>
          <w:szCs w:val="24"/>
          <w:shd w:val="clear" w:color="auto" w:fill="FFFFFF"/>
          <w:lang w:eastAsia="ru-RU"/>
        </w:rPr>
        <w:t xml:space="preserve"> Україні загальна кількість худоби складає близько 13 мільйонів голів. Якщо одна тварина дає в середньому 20 кг екскрементів в день, то за цілий рік поголів’я худоби може виробити до 100 млн. тонн екскрементів. Півмільйона курей продукує понад 100 тонн екскрементів на день. У цілому Україна щорічно виробляє близько 500 тис. тон птиці. Крім того, відходи утворюються через</w:t>
      </w:r>
      <w:r>
        <w:rPr>
          <w:rFonts w:eastAsia="Times New Roman" w:cs="Times New Roman"/>
          <w:szCs w:val="24"/>
          <w:shd w:val="clear" w:color="auto" w:fill="FFFFFF"/>
          <w:lang w:eastAsia="ru-RU"/>
        </w:rPr>
        <w:t xml:space="preserve"> забій</w:t>
      </w:r>
      <w:r w:rsidRPr="00BA11F2">
        <w:rPr>
          <w:rFonts w:eastAsia="Times New Roman" w:cs="Times New Roman"/>
          <w:szCs w:val="24"/>
          <w:shd w:val="clear" w:color="auto" w:fill="FFFFFF"/>
          <w:lang w:eastAsia="ru-RU"/>
        </w:rPr>
        <w:t xml:space="preserve"> та загибель птиці. Відповідно до регламентів смертність може становити 3,5% на рік від зальної кількості поголів’я, тобто при середній вазі однієї птиці 500 грам, кількість утворюваних біологічних відходів може досягати 3570 тонн, за вирахуванням біологічних відходів, що утворилися в результаті забою птиці.   </w:t>
      </w:r>
    </w:p>
    <w:p w14:paraId="522095AA"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Лісові відходи / відходи від лісозаготівлі: для цієї стратегії передбачається, що протягом наступних років відходи лісового господарства складуть 500,000 тонн або 1,5 млн. м3 на рік.</w:t>
      </w:r>
    </w:p>
    <w:p w14:paraId="471A756C" w14:textId="77777777" w:rsidR="006135D9" w:rsidRPr="00BA11F2" w:rsidRDefault="006135D9" w:rsidP="004C5ACC">
      <w:pPr>
        <w:pStyle w:val="Heading4boldRED"/>
        <w:rPr>
          <w:shd w:val="clear" w:color="auto" w:fill="FFFFFF"/>
          <w:lang w:eastAsia="ru-RU"/>
        </w:rPr>
      </w:pPr>
      <w:bookmarkStart w:id="71" w:name="_Toc149851531"/>
      <w:bookmarkStart w:id="72" w:name="_Toc487909741"/>
      <w:r w:rsidRPr="00BA11F2">
        <w:rPr>
          <w:shd w:val="clear" w:color="auto" w:fill="FFFFFF"/>
          <w:lang w:eastAsia="ru-RU"/>
        </w:rPr>
        <w:t>Основні проблеми, що підлягають вирішенню:</w:t>
      </w:r>
      <w:bookmarkEnd w:id="71"/>
    </w:p>
    <w:p w14:paraId="5D1781D4" w14:textId="77777777" w:rsidR="006135D9" w:rsidRPr="00BA11F2" w:rsidRDefault="006135D9" w:rsidP="003466DC">
      <w:pPr>
        <w:numPr>
          <w:ilvl w:val="0"/>
          <w:numId w:val="31"/>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неналежне виконання та забезпечення відповідності вимогам законодавства є головною проблемою аграрного сектору. Прогалини в законодавства призводять до різного тлумачення його положень і тим самим ускладнюють виконання його вимог; </w:t>
      </w:r>
    </w:p>
    <w:p w14:paraId="69DC9ACC" w14:textId="77777777" w:rsidR="006135D9" w:rsidRPr="00BA11F2" w:rsidRDefault="006135D9" w:rsidP="003466DC">
      <w:pPr>
        <w:numPr>
          <w:ilvl w:val="0"/>
          <w:numId w:val="31"/>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згідно принципу "забруднювач платить", утворювачі відходів несуть відповідальність за відшкодування витрат по належному поводженню з ними, включаючи їх зберігання, перевезення, знешкодження та безпечне видалення. Цей принцип повинен бути повністю впроваджений в Україні;</w:t>
      </w:r>
    </w:p>
    <w:p w14:paraId="4F2B7CD1" w14:textId="77777777" w:rsidR="006135D9" w:rsidRPr="00BA11F2" w:rsidRDefault="006135D9" w:rsidP="003466DC">
      <w:pPr>
        <w:numPr>
          <w:ilvl w:val="0"/>
          <w:numId w:val="31"/>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недостатність обізнаності та знань щодо можливостей та переваг оброблення або повторного використання сільськогосподарських відходів, ролі біоенергетики від лісового та сільського господарства, впливу біопалива на ринок сільськогосподарської продукції та використання земель, відсутність зацікавленості потенційних інвесторів у потенційному виробництві нових продуктів з сільськогосподарських відходів; </w:t>
      </w:r>
    </w:p>
    <w:p w14:paraId="52604FAB" w14:textId="77777777" w:rsidR="006135D9" w:rsidRPr="00BA11F2" w:rsidRDefault="006135D9" w:rsidP="003466DC">
      <w:pPr>
        <w:numPr>
          <w:ilvl w:val="0"/>
          <w:numId w:val="31"/>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невідповідні сільськогосподарські практики та землекористування, які негативно впливають на природні ресурси, що призводить до забруднення ґрунту, води та повітря, фрагментація місць існування флори та фауни з дикої природи.</w:t>
      </w:r>
    </w:p>
    <w:bookmarkEnd w:id="72"/>
    <w:p w14:paraId="53DD229E" w14:textId="77777777" w:rsidR="006135D9" w:rsidRPr="00BA11F2" w:rsidRDefault="006135D9" w:rsidP="006135D9">
      <w:pPr>
        <w:tabs>
          <w:tab w:val="clear" w:pos="284"/>
          <w:tab w:val="clear" w:pos="1985"/>
        </w:tabs>
        <w:spacing w:before="60" w:after="60" w:line="240" w:lineRule="auto"/>
        <w:rPr>
          <w:rFonts w:eastAsia="Calibri" w:cs="Times New Roman"/>
          <w:szCs w:val="24"/>
          <w:lang w:eastAsia="ru-RU"/>
        </w:rPr>
      </w:pPr>
    </w:p>
    <w:p w14:paraId="6585FCE2" w14:textId="77777777" w:rsidR="006135D9" w:rsidRPr="00BA11F2" w:rsidRDefault="006135D9" w:rsidP="004C5ACC">
      <w:pPr>
        <w:pStyle w:val="Heading4boldRED"/>
        <w:rPr>
          <w:lang w:eastAsia="ru-RU"/>
        </w:rPr>
      </w:pPr>
      <w:bookmarkStart w:id="73" w:name="_1t3h5sf" w:colFirst="0" w:colLast="0"/>
      <w:bookmarkStart w:id="74" w:name="_Toc149851532"/>
      <w:bookmarkEnd w:id="73"/>
      <w:r w:rsidRPr="00BA11F2">
        <w:rPr>
          <w:lang w:eastAsia="ru-RU"/>
        </w:rPr>
        <w:t xml:space="preserve">Принципи реформування системи </w:t>
      </w:r>
      <w:r>
        <w:rPr>
          <w:lang w:eastAsia="ru-RU"/>
        </w:rPr>
        <w:t>управління</w:t>
      </w:r>
      <w:r w:rsidRPr="00BA11F2">
        <w:rPr>
          <w:lang w:eastAsia="ru-RU"/>
        </w:rPr>
        <w:t xml:space="preserve"> з відходами сільського</w:t>
      </w:r>
      <w:r>
        <w:rPr>
          <w:lang w:eastAsia="ru-RU"/>
        </w:rPr>
        <w:t xml:space="preserve"> го</w:t>
      </w:r>
      <w:r w:rsidRPr="00BA11F2">
        <w:rPr>
          <w:lang w:eastAsia="ru-RU"/>
        </w:rPr>
        <w:t>спода</w:t>
      </w:r>
      <w:r>
        <w:rPr>
          <w:lang w:eastAsia="ru-RU"/>
        </w:rPr>
        <w:t>рства</w:t>
      </w:r>
      <w:bookmarkEnd w:id="74"/>
    </w:p>
    <w:p w14:paraId="6043631C" w14:textId="77777777" w:rsidR="006135D9" w:rsidRPr="006E439A"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val="bg-BG" w:eastAsia="ru-RU"/>
        </w:rPr>
      </w:pP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має базуватися на загальних принципах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відходами, включаючи ієрархію відходів, що має сприяти оптимальному використанню відходів як ресурсу; впровадженні принципу "забруднювач платить", який покладає відповідальність за витрати на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відходами на утворювачів сільськогосподарських відходів; реалізації принципів самодостатності та близькості, які встановлюють  необхідність створення інтегрованої та достатньої мережі для видалення  відходів у відповідності з найкращими доступними технологіями тощо. Забезпечення сталого розвитку є ще одним важливим керівним принципом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w:t>
      </w:r>
      <w:r w:rsidRPr="006E439A">
        <w:rPr>
          <w:rFonts w:eastAsia="Times New Roman" w:cs="Times New Roman"/>
          <w:szCs w:val="24"/>
          <w:shd w:val="clear" w:color="auto" w:fill="FFFFFF"/>
          <w:lang w:eastAsia="ru-RU"/>
        </w:rPr>
        <w:t xml:space="preserve">сільськогосподарськими відходами, що сприяє розвитку та відповідає сучасним потребам, не погіршуючи здатність майбутніх поколінь задовольняти власні потреби, беручи до уваги всі економічні, соціальні та екологічні аспекти. </w:t>
      </w:r>
    </w:p>
    <w:p w14:paraId="143E106D" w14:textId="77777777" w:rsidR="006135D9" w:rsidRPr="006E439A"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6E439A">
        <w:rPr>
          <w:rFonts w:eastAsia="Times New Roman" w:cs="Times New Roman"/>
          <w:szCs w:val="24"/>
          <w:shd w:val="clear" w:color="auto" w:fill="FFFFFF"/>
          <w:lang w:eastAsia="ru-RU"/>
        </w:rPr>
        <w:t>Забезпечення реалізації заходів Національної програми запобігання утворенню відходів та реалізація державної політики у сфері управління відходами належить до повноважень обласних державних адміністрацій. Відповідальність за контроль розподіляється між Державною екологічною інспекцією та Держпродспоживслужбою.</w:t>
      </w:r>
    </w:p>
    <w:p w14:paraId="2C08E49D"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6E439A">
        <w:rPr>
          <w:rFonts w:eastAsia="Times New Roman" w:cs="Times New Roman"/>
          <w:szCs w:val="24"/>
          <w:shd w:val="clear" w:color="auto" w:fill="FFFFFF"/>
          <w:lang w:eastAsia="ru-RU"/>
        </w:rPr>
        <w:t>Має бути чітко описані обов'язки, компетенції та повноваження обласних та місцевих державних адміністрацій, Державної екологічної інспекції та Держпродспоживслужби</w:t>
      </w:r>
      <w:r w:rsidRPr="00BA11F2">
        <w:rPr>
          <w:rFonts w:eastAsia="Times New Roman" w:cs="Times New Roman"/>
          <w:szCs w:val="24"/>
          <w:shd w:val="clear" w:color="auto" w:fill="FFFFFF"/>
          <w:lang w:eastAsia="ru-RU"/>
        </w:rPr>
        <w:t xml:space="preserve"> у сфері контролю та дотримання законодавства щодо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утворювачів відходів, перевізників та об'єктів видалення. Дублювання повноважень буде зведено до мінімуму, а якщо воно буде виявлено, має бути  призначена керівну установу яка несе основну відповідальність; а також</w:t>
      </w:r>
    </w:p>
    <w:p w14:paraId="6C372BA8" w14:textId="77777777" w:rsidR="006135D9"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val="bg-BG" w:eastAsia="ru-RU"/>
        </w:rPr>
      </w:pPr>
      <w:r w:rsidRPr="00BA11F2">
        <w:rPr>
          <w:rFonts w:eastAsia="Times New Roman" w:cs="Times New Roman"/>
          <w:szCs w:val="24"/>
          <w:shd w:val="clear" w:color="auto" w:fill="FFFFFF"/>
          <w:lang w:eastAsia="ru-RU"/>
        </w:rPr>
        <w:t xml:space="preserve">Адміністративна спроможність обласних та місцевих державних адміністрацій, Державної екологічної інспекції та </w:t>
      </w:r>
      <w:r w:rsidRPr="00A923FE">
        <w:rPr>
          <w:rFonts w:eastAsia="Times New Roman" w:cs="Times New Roman"/>
          <w:szCs w:val="24"/>
          <w:shd w:val="clear" w:color="auto" w:fill="FFFFFF"/>
          <w:lang w:eastAsia="ru-RU"/>
        </w:rPr>
        <w:t xml:space="preserve">Держпродспоживслужби </w:t>
      </w:r>
      <w:r w:rsidRPr="00BA11F2">
        <w:rPr>
          <w:rFonts w:eastAsia="Times New Roman" w:cs="Times New Roman"/>
          <w:szCs w:val="24"/>
          <w:shd w:val="clear" w:color="auto" w:fill="FFFFFF"/>
          <w:lang w:eastAsia="ru-RU"/>
        </w:rPr>
        <w:t xml:space="preserve">має бути підвищена з метою здійснення дієвого і ефективного контролю та нагляд за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м з сільськогосподарськими відходами.</w:t>
      </w:r>
    </w:p>
    <w:p w14:paraId="1B92B6F5" w14:textId="77777777" w:rsidR="006135D9" w:rsidRPr="00BA11F2" w:rsidRDefault="006135D9" w:rsidP="004C5ACC">
      <w:pPr>
        <w:pStyle w:val="Heading4boldRED"/>
        <w:rPr>
          <w:lang w:val="bg-BG" w:eastAsia="ru-RU"/>
        </w:rPr>
      </w:pPr>
      <w:bookmarkStart w:id="75" w:name="_Toc149851533"/>
      <w:r w:rsidRPr="00BA11F2">
        <w:rPr>
          <w:lang w:eastAsia="ru-RU"/>
        </w:rPr>
        <w:t>Потенційні можливості для оброблення сільськогосподарських відходів</w:t>
      </w:r>
      <w:bookmarkEnd w:id="75"/>
      <w:r w:rsidRPr="00BA11F2">
        <w:rPr>
          <w:lang w:eastAsia="ru-RU"/>
        </w:rPr>
        <w:t xml:space="preserve"> </w:t>
      </w:r>
    </w:p>
    <w:p w14:paraId="66819045"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Сільськогосподарські відходи можуть бути рідкими, у вигляді суспензії, напівтвердими або твердими. Відходи таких різноманітних форм та  типів потребують різних технологій для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та спеціального обладнання для оброблення. Основними технологіями оброблення сільськогосподарських відходів є:</w:t>
      </w:r>
    </w:p>
    <w:p w14:paraId="13889AE9"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Спалювання: пряме спалювання біомаси для виробництва електроенергії - це зріла та комерційно доступна технологія, яка може застосовуватися у широкому діапазоні від декількох МВт до 100 МВт і більше і є найбільш поширеною технологією для виробництва енергії з біомаси.</w:t>
      </w:r>
    </w:p>
    <w:p w14:paraId="7AAB8913"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Газифікація: часткове спалювання біомаси в умовах низького вмісту кисню, що призводить до виходу газоподібного продукту (виробничого газу або синтетичного газу), який може використовуватися в двигунах внутрішнього згоряння, мікротурбінах, паливних елементах або газотурбінних установках. Незважаючи на те, що такі гази вже виробляються, потрібно зробити ще більше для їх широкого комерційного використання. На цьому етапі газифікація не розглядається як доцільна технологія для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в Україні, але технологічні розробки можуть це змінити.</w:t>
      </w:r>
    </w:p>
    <w:p w14:paraId="21B69318"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Піроліз: при піролізі, суб-формі  газифікації, часткове згоряння зупиняється при більш низькій температурі (від 450°C до 600°C), внаслідок чого утворюється рідка біо-олива, а також газоподібні та тверді продукти.  На цьому етапі піроліз не розглядається як прийнятна технологія для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в Україні, але розвиток технологій може це змінити. </w:t>
      </w:r>
    </w:p>
    <w:p w14:paraId="7435B67D"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Анаеробне розкладення: перетворення відходів у біогаз та стабільні продукти бродіння є підходящою технологією для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відходами овочів та тваринними екскрементами, до яких також можуть бути додані відходи деревообробної промисловості у вигляді тирси. Зважаючи на законодавство ЄС, анаеробне розкладення не буде частиною стратегії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w:t>
      </w:r>
    </w:p>
    <w:p w14:paraId="4BA6D125"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Ферментація: ферментація біомаси для виробництва біоетанолу, який може використовуватися в їжі та напоях, або в якості палива, є перевіреною технологією при використанні сировини, що містить цукор, таких як цукрова тростина. В даний час виробництво етанолу з сільськогосподарських відходів не розглядається як варіант в Україні.</w:t>
      </w:r>
    </w:p>
    <w:p w14:paraId="59B25C78"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Сільськогосподарська біомаса як джерело сировини: перероблення сільськогосподарських рослинних відходів у сировину або неенергетичні продукти, такі як шпагат, текстиль, паперова продукція, оббивка та упаковка, корм та постільна білизна, ізолятори та панелі.</w:t>
      </w:r>
    </w:p>
    <w:p w14:paraId="2A92543E"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Компостування: аеробне розкладання органічних речовин мікроорганізмами в контрольованих умовах. Методи включають в себе: i) компостування у валках; іi) компостування в статичних купах з аерацією; ііі) тунельне компостування.</w:t>
      </w:r>
    </w:p>
    <w:p w14:paraId="4AB69089"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Удобрювання ґрунту: застосування як джерела поживних речовин від тваринних екскрементів та /або рослинних відходів;</w:t>
      </w:r>
    </w:p>
    <w:p w14:paraId="58D3B295"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Рендерінг (витоплювання жиру: процес, який перетворює тканини з відходів тварин на стабільні матеріали з доданою вартістю. Цей процес дозволяє отримувати жир з сировини (жовтий жир, вибірково білий жир, твердий жир та ін.) та білкової їжі (м'ясна та кісткова мука, суб-продукти птиці та ін.).</w:t>
      </w:r>
    </w:p>
    <w:p w14:paraId="4C76DDA9"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Полігони та могильники: використовуються для видалення сільськогосподарських відходів за відсутності альтернативних рішень. Мертві тварини можуть бути захороненні на полігоні, якщо дозвіл на негайне захоронення було отримано від компетентного органу. Спеціалізовані могильники слід використовувати лише тоді, коли всі інші варіанти виявилися непрактичними. Створення нових могильників буде заборонено.</w:t>
      </w:r>
    </w:p>
    <w:p w14:paraId="07228CF1" w14:textId="77777777" w:rsidR="006135D9" w:rsidRPr="00BA11F2" w:rsidRDefault="006135D9" w:rsidP="006135D9">
      <w:pPr>
        <w:tabs>
          <w:tab w:val="clear" w:pos="284"/>
          <w:tab w:val="clear" w:pos="1985"/>
        </w:tabs>
        <w:spacing w:before="60" w:after="60" w:line="240" w:lineRule="auto"/>
        <w:rPr>
          <w:rFonts w:eastAsia="Times New Roman" w:cs="Times New Roman"/>
          <w:szCs w:val="24"/>
          <w:shd w:val="clear" w:color="auto" w:fill="FFFFFF"/>
          <w:lang w:val="ru-RU" w:eastAsia="ru-RU"/>
        </w:rPr>
      </w:pPr>
    </w:p>
    <w:p w14:paraId="5385A648" w14:textId="77777777" w:rsidR="006135D9" w:rsidRPr="00BA11F2" w:rsidRDefault="006135D9" w:rsidP="006135D9">
      <w:pPr>
        <w:pStyle w:val="REDBoldonly"/>
        <w:rPr>
          <w:rFonts w:cs="Times New Roman"/>
          <w:szCs w:val="24"/>
          <w:lang w:eastAsia="ru-RU"/>
        </w:rPr>
      </w:pPr>
      <w:r w:rsidRPr="00BA11F2">
        <w:rPr>
          <w:rFonts w:cs="Times New Roman"/>
          <w:szCs w:val="24"/>
          <w:lang w:eastAsia="ru-RU"/>
        </w:rPr>
        <w:t xml:space="preserve">Програмні цілі для реформування системи </w:t>
      </w:r>
      <w:r>
        <w:rPr>
          <w:rFonts w:cs="Times New Roman"/>
          <w:szCs w:val="24"/>
          <w:lang w:eastAsia="ru-RU"/>
        </w:rPr>
        <w:t>управління</w:t>
      </w:r>
      <w:r w:rsidRPr="00BA11F2">
        <w:rPr>
          <w:rFonts w:cs="Times New Roman"/>
          <w:szCs w:val="24"/>
          <w:lang w:eastAsia="ru-RU"/>
        </w:rPr>
        <w:t xml:space="preserve"> з сільськогосподарськими відходами </w:t>
      </w:r>
    </w:p>
    <w:p w14:paraId="494902DB" w14:textId="77777777" w:rsidR="006135D9" w:rsidRPr="00BA11F2" w:rsidRDefault="006135D9" w:rsidP="006135D9">
      <w:pPr>
        <w:rPr>
          <w:lang w:val="bg-BG" w:eastAsia="ru-RU"/>
        </w:rPr>
      </w:pPr>
      <w:bookmarkStart w:id="76" w:name="_Toc487909748"/>
      <w:r w:rsidRPr="00BA11F2">
        <w:rPr>
          <w:rFonts w:eastAsia="Times New Roman" w:cs="Times New Roman"/>
          <w:szCs w:val="24"/>
          <w:shd w:val="clear" w:color="auto" w:fill="FFFFFF"/>
          <w:lang w:eastAsia="ru-RU"/>
        </w:rPr>
        <w:t>Програмні цілі</w:t>
      </w:r>
      <w:r>
        <w:rPr>
          <w:rFonts w:cs="Times New Roman"/>
          <w:szCs w:val="24"/>
          <w:shd w:val="clear" w:color="auto" w:fill="FFFFFF"/>
          <w:lang w:val="bg-BG" w:eastAsia="ru-RU"/>
        </w:rPr>
        <w:t>:</w:t>
      </w:r>
    </w:p>
    <w:p w14:paraId="10FF5837" w14:textId="77777777" w:rsidR="006135D9" w:rsidRPr="0058214A"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організація належного </w:t>
      </w:r>
      <w:r w:rsidRPr="0058214A">
        <w:rPr>
          <w:rFonts w:eastAsia="Times New Roman" w:cs="Times New Roman"/>
          <w:szCs w:val="24"/>
          <w:shd w:val="clear" w:color="auto" w:fill="FFFFFF"/>
          <w:lang w:eastAsia="ru-RU"/>
        </w:rPr>
        <w:t>управління з відходами на великих підприємствах тваринництва, фермах, птахофабриках та бійнях;</w:t>
      </w:r>
    </w:p>
    <w:p w14:paraId="2EE7E27D" w14:textId="77777777" w:rsidR="006135D9" w:rsidRPr="00BA11F2"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58214A">
        <w:rPr>
          <w:rFonts w:eastAsia="Times New Roman" w:cs="Times New Roman"/>
          <w:szCs w:val="24"/>
          <w:shd w:val="clear" w:color="auto" w:fill="FFFFFF"/>
          <w:lang w:eastAsia="ru-RU"/>
        </w:rPr>
        <w:t>встановлення вимог щодо управління з сільськогосподарськими відходами в сільськогосподарських громадах та приватних</w:t>
      </w:r>
      <w:r w:rsidRPr="00BA11F2">
        <w:rPr>
          <w:rFonts w:eastAsia="Times New Roman" w:cs="Times New Roman"/>
          <w:szCs w:val="24"/>
          <w:shd w:val="clear" w:color="auto" w:fill="FFFFFF"/>
          <w:lang w:eastAsia="ru-RU"/>
        </w:rPr>
        <w:t xml:space="preserve"> господарствах;</w:t>
      </w:r>
    </w:p>
    <w:p w14:paraId="10E8AB35" w14:textId="77777777" w:rsidR="006135D9" w:rsidRPr="00BA11F2"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створення можливостей для використання біомаси сільськогосподарських відходів для виробництва енергії;</w:t>
      </w:r>
    </w:p>
    <w:p w14:paraId="48FCC2E8" w14:textId="77777777" w:rsidR="006135D9" w:rsidRPr="00BA11F2"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встановлення технічних вимог до зберігання та оброблення різних категорій сільськогосподарських відходів </w:t>
      </w:r>
    </w:p>
    <w:p w14:paraId="23CE1008" w14:textId="77777777" w:rsidR="006135D9" w:rsidRPr="00BA11F2"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чітке визначення та розподіл повноважень між відповідними зацікавленими сторонами - учасниками системи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w:t>
      </w:r>
    </w:p>
    <w:p w14:paraId="3349BCE7" w14:textId="77777777" w:rsidR="006135D9" w:rsidRPr="00BA11F2"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визначення ефективних механізмів контролю та забезпечення відповідності вимогам законодавства;</w:t>
      </w:r>
    </w:p>
    <w:p w14:paraId="2EE0B406" w14:textId="77777777" w:rsidR="006135D9" w:rsidRPr="00BA11F2" w:rsidRDefault="006135D9" w:rsidP="003466DC">
      <w:pPr>
        <w:numPr>
          <w:ilvl w:val="0"/>
          <w:numId w:val="33"/>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підвищення обізнаності зацікавлених сторін у сфері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w:t>
      </w:r>
    </w:p>
    <w:p w14:paraId="7D67164E" w14:textId="77777777" w:rsidR="006135D9" w:rsidRPr="00BA11F2" w:rsidRDefault="006135D9" w:rsidP="006135D9">
      <w:pPr>
        <w:tabs>
          <w:tab w:val="clear" w:pos="284"/>
          <w:tab w:val="clear" w:pos="1985"/>
        </w:tabs>
        <w:spacing w:before="60" w:after="60" w:line="240" w:lineRule="auto"/>
        <w:ind w:firstLine="567"/>
        <w:rPr>
          <w:rFonts w:eastAsia="Times New Roman" w:cs="Times New Roman"/>
          <w:szCs w:val="24"/>
          <w:shd w:val="clear" w:color="auto" w:fill="FFFFFF"/>
          <w:lang w:eastAsia="ru-RU"/>
        </w:rPr>
      </w:pPr>
      <w:r>
        <w:rPr>
          <w:rFonts w:eastAsia="Times New Roman" w:cs="Times New Roman"/>
          <w:szCs w:val="24"/>
          <w:shd w:val="clear" w:color="auto" w:fill="FFFFFF"/>
          <w:lang w:val="bg-BG" w:eastAsia="ru-RU"/>
        </w:rPr>
        <w:t>Заходи</w:t>
      </w:r>
      <w:r w:rsidRPr="00BA11F2">
        <w:rPr>
          <w:rFonts w:eastAsia="Times New Roman" w:cs="Times New Roman"/>
          <w:szCs w:val="24"/>
          <w:shd w:val="clear" w:color="auto" w:fill="FFFFFF"/>
          <w:lang w:eastAsia="ru-RU"/>
        </w:rPr>
        <w:t xml:space="preserve"> для реформування системи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включають:</w:t>
      </w:r>
    </w:p>
    <w:p w14:paraId="76CF9D27" w14:textId="77777777" w:rsidR="006135D9" w:rsidRPr="00BA11F2" w:rsidRDefault="006135D9" w:rsidP="003466DC">
      <w:pPr>
        <w:numPr>
          <w:ilvl w:val="0"/>
          <w:numId w:val="29"/>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Прийняття законодавчих актів, необхідних для реформування системи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спеціально для цієї сфери регулювання та спрямованих на:</w:t>
      </w:r>
    </w:p>
    <w:p w14:paraId="15CCD3E3"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встановлення відповідності у визначенні класифікаційних параметрів відходів між національним законодавством та законодавством ЄС;</w:t>
      </w:r>
    </w:p>
    <w:p w14:paraId="6DE96289"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встановлення технічних вимог для зберігання та оброблення різних категорій сільськогосподарських відходів; </w:t>
      </w:r>
    </w:p>
    <w:p w14:paraId="2D760F04"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встановлення технічних вимог для зберігання небезпечних сільськогосподарських відходів; </w:t>
      </w:r>
    </w:p>
    <w:p w14:paraId="252AE000"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встановлення вимог для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у фермерських спільнотах та на приватних фермах;  </w:t>
      </w:r>
    </w:p>
    <w:p w14:paraId="78E027C7"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створення можливостей для використання біомаси сільськогосподарських відходів для виробництва енергії;  </w:t>
      </w:r>
    </w:p>
    <w:p w14:paraId="4A62FDF2"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впровадження ефективних заходів контролю над дотриманням законодавства щодо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w:t>
      </w:r>
    </w:p>
    <w:p w14:paraId="52B5021B"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законодавство щодо спалювання тваринних тканин має бути гармонізовано з відповідним законодавством ЄС у визначені терміни та розроблена програма щодо його впровадження у практику;  </w:t>
      </w:r>
    </w:p>
    <w:p w14:paraId="051EB3CF"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запровадження комплексної системи видачі дозвільної документації на сільськогосподарську діяльність, включаючи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Необхідно розрізняти діяльність, яка потребує дозволу Міжнародної конвенції захисту рослин (IPPC), діяльність, яка потребує екологічного дозволу, та діяльність, яка потребує екологічного дозволу з певного порогу;</w:t>
      </w:r>
    </w:p>
    <w:p w14:paraId="05E4B231"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прийняття стандартів та стандартних операційних процедур для сільськогосподарської діяльності яка викликає вплив на навколишнє природне середовище, але не потребує дозвільної документації;  </w:t>
      </w:r>
    </w:p>
    <w:p w14:paraId="3194B8CD" w14:textId="77777777" w:rsidR="006135D9" w:rsidRPr="00BA11F2" w:rsidRDefault="006135D9" w:rsidP="003466DC">
      <w:pPr>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забезпечення дотримання дозвільних та загальних правил і регламентів шляхом проведення регулярних перевірок фермерських господарств та компаній, що здійснюють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w:t>
      </w:r>
    </w:p>
    <w:p w14:paraId="31825063" w14:textId="77777777" w:rsidR="006135D9" w:rsidRPr="00BA11F2" w:rsidRDefault="006135D9" w:rsidP="003466DC">
      <w:pPr>
        <w:pStyle w:val="a7"/>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визначення вимог до звітності та потоків відходів, для яких звітність повинна базуватися на документації по перевезенню відходів. Формат документа для перевезення відходів буде розроблено;</w:t>
      </w:r>
    </w:p>
    <w:p w14:paraId="6F52BD7B" w14:textId="77777777" w:rsidR="006135D9" w:rsidRPr="00BA11F2" w:rsidRDefault="006135D9" w:rsidP="003466DC">
      <w:pPr>
        <w:pStyle w:val="a7"/>
        <w:numPr>
          <w:ilvl w:val="0"/>
          <w:numId w:val="32"/>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створення бази даних сільськогосподарських відходів; сукупні дані будуть публікуватися щорічно.</w:t>
      </w:r>
    </w:p>
    <w:p w14:paraId="543BF784" w14:textId="77777777" w:rsidR="006135D9" w:rsidRPr="00BA11F2" w:rsidRDefault="006135D9" w:rsidP="003466DC">
      <w:pPr>
        <w:numPr>
          <w:ilvl w:val="0"/>
          <w:numId w:val="29"/>
        </w:numPr>
        <w:tabs>
          <w:tab w:val="clear" w:pos="284"/>
          <w:tab w:val="clear" w:pos="1985"/>
        </w:tabs>
        <w:spacing w:before="60" w:after="60" w:line="240" w:lineRule="auto"/>
        <w:rPr>
          <w:rFonts w:eastAsia="Times New Roman" w:cs="Times New Roman"/>
          <w:szCs w:val="24"/>
          <w:shd w:val="clear" w:color="auto" w:fill="FFFFFF"/>
          <w:lang w:eastAsia="ru-RU"/>
        </w:rPr>
      </w:pPr>
      <w:bookmarkStart w:id="77" w:name="_Toc487909746"/>
      <w:r w:rsidRPr="00BA11F2">
        <w:rPr>
          <w:rFonts w:eastAsia="Times New Roman" w:cs="Times New Roman"/>
          <w:szCs w:val="24"/>
          <w:shd w:val="clear" w:color="auto" w:fill="FFFFFF"/>
          <w:lang w:eastAsia="ru-RU"/>
        </w:rPr>
        <w:t xml:space="preserve">Створення умов для правильного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в місцях вирощування рослин: </w:t>
      </w:r>
      <w:bookmarkEnd w:id="77"/>
    </w:p>
    <w:p w14:paraId="1B936915" w14:textId="77777777" w:rsidR="006135D9" w:rsidRPr="00BA11F2" w:rsidRDefault="006135D9" w:rsidP="003466DC">
      <w:pPr>
        <w:numPr>
          <w:ilvl w:val="0"/>
          <w:numId w:val="34"/>
        </w:numPr>
        <w:tabs>
          <w:tab w:val="clear" w:pos="284"/>
          <w:tab w:val="clear" w:pos="1985"/>
        </w:tabs>
        <w:spacing w:before="60" w:after="60" w:line="240" w:lineRule="auto"/>
        <w:rPr>
          <w:rFonts w:eastAsia="Times New Roman" w:cs="Times New Roman"/>
          <w:szCs w:val="24"/>
          <w:shd w:val="clear" w:color="auto" w:fill="FFFFFF"/>
          <w:lang w:eastAsia="ru-RU"/>
        </w:rPr>
      </w:pPr>
      <w:bookmarkStart w:id="78" w:name="_36ei31r"/>
      <w:bookmarkStart w:id="79" w:name="_Toc487909747"/>
      <w:bookmarkEnd w:id="78"/>
      <w:r w:rsidRPr="00BA11F2">
        <w:rPr>
          <w:rFonts w:eastAsia="Times New Roman" w:cs="Times New Roman"/>
          <w:szCs w:val="24"/>
          <w:shd w:val="clear" w:color="auto" w:fill="FFFFFF"/>
          <w:lang w:eastAsia="ru-RU"/>
        </w:rPr>
        <w:t xml:space="preserve">Варіанти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рослинними, у порядку доцільності, включають в себе: 1) використання в якості джерела енергії; 2) використання як джерело сировини; 3) використання як корм і підстилку для тварин; 4) компостування; 5) удобрювання ґрунту; 6) видалення.</w:t>
      </w:r>
    </w:p>
    <w:p w14:paraId="01331436" w14:textId="77777777" w:rsidR="006135D9" w:rsidRPr="00BA11F2" w:rsidRDefault="006135D9" w:rsidP="003466DC">
      <w:pPr>
        <w:numPr>
          <w:ilvl w:val="0"/>
          <w:numId w:val="35"/>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Використання біомаси для виробництва енергії:</w:t>
      </w:r>
      <w:bookmarkEnd w:id="79"/>
    </w:p>
    <w:p w14:paraId="1F9B1D55"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заборона відкритого спалювання сільськогосподарських відходів, включаючи спалення сухої рослинності, спалювання на установках, не обладнаних системами газоочистки, а також на об'єктах, що не призначені для відновлення енергії;</w:t>
      </w:r>
    </w:p>
    <w:p w14:paraId="1CC104D3"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розробка та впровадження правових інструментів, що сприяють збиранню, перевезенню та використанню сільськогосподарських відходів рослинного походження в якості сировини для спалювання разом з вугіллям на теплових електростанціях;</w:t>
      </w:r>
    </w:p>
    <w:p w14:paraId="33E2C172"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проведення досліджень щодо можливості впровадження комбінованих процесів виробництва тепла та електроенергії з використанням тільки відходів рослинного походження у якості сировини;</w:t>
      </w:r>
    </w:p>
    <w:p w14:paraId="1D2409BF"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створення умов для впровадження процесу анаеробного розкладання відходів рослинного походження на сільськогосподарських підприємствах;</w:t>
      </w:r>
    </w:p>
    <w:p w14:paraId="0A969F9F"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підтримка електростанцій що використовують установки анаеробного розкладення відходів рослинного походження шляхом запровадження мінімальних гарантованих тарифів для електроенергії, виробленої такими електростанціями, яка постачається в електричну мережу ("зелений тариф").</w:t>
      </w:r>
    </w:p>
    <w:p w14:paraId="4F764D92"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доцільність експлуатації теплових електростанцій (ТЕЦ), що використовують в якості сировини виключно біомасу, буде досліджуватися та підтримуватися, якщо буде доведено, що вона є стійкою</w:t>
      </w:r>
    </w:p>
    <w:p w14:paraId="088AC215"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установка на фермах обладнання для анаеробного розкладання рослин буде полегшена шляхом запровадження спрощених дозвільних процедур;</w:t>
      </w:r>
    </w:p>
    <w:p w14:paraId="4E4447F1"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підтримка вироблення енергії з анаеробного розкладення рослин на постачання електричної енергії до електромережі буде досліджена разом з можливістю перетворення біо-газу на біо-метан та його введення в газорозподільну мережу.   </w:t>
      </w:r>
    </w:p>
    <w:p w14:paraId="2C88B7C0"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На додаток до існуючих когенераційних установок, існуючі та запроектовані електростанції можуть бути адаптовані для спільного спалювання біомаси.  Необхідні інвестиції будуть покриватись енергетичною компанією і не потребують бюджетних коштів. </w:t>
      </w:r>
    </w:p>
    <w:p w14:paraId="13FE1A5E"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установки анаеробного розкладення призначаються для великих сільськогосподарських підприємств для оброблення утворюваних ними сільськогосподарських відходів. Для цих об'єктів не передбачується державне фінансування. Крім того, на обласному рівні повинні бути створені об'єкти анаеробного розкладення для забезпечення  оброблення сільськогосподарських відходів з невеликих господарств, включаючи приватні.</w:t>
      </w:r>
    </w:p>
    <w:p w14:paraId="164644EB" w14:textId="77777777" w:rsidR="006135D9" w:rsidRPr="00BA11F2" w:rsidRDefault="006135D9" w:rsidP="003466DC">
      <w:pPr>
        <w:numPr>
          <w:ilvl w:val="0"/>
          <w:numId w:val="36"/>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Використання сільськогосподарських відходів рослинного походження для виробництва для виробництва кормів та матеріалів: </w:t>
      </w:r>
      <w:bookmarkEnd w:id="76"/>
    </w:p>
    <w:p w14:paraId="20CEAAC3"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розроблення та впровадження механізмів надання дотацій на збирання та транспортування сільськогосподарських відходів рослинного походження, придатних для виробництва кормів для відгодівлі тварин; </w:t>
      </w:r>
    </w:p>
    <w:p w14:paraId="3379C7F1"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проведення досліджень щодо доцільності створення мережі регіональних підприємств для виробництва паперу і матеріалів з сільськогосподарських відходів рослинного походження.</w:t>
      </w:r>
    </w:p>
    <w:p w14:paraId="61F83EDE" w14:textId="77777777" w:rsidR="006135D9" w:rsidRPr="00BA11F2" w:rsidRDefault="006135D9" w:rsidP="003466DC">
      <w:pPr>
        <w:numPr>
          <w:ilvl w:val="0"/>
          <w:numId w:val="37"/>
        </w:numPr>
        <w:tabs>
          <w:tab w:val="clear" w:pos="284"/>
          <w:tab w:val="clear" w:pos="1985"/>
        </w:tabs>
        <w:spacing w:before="60" w:after="60" w:line="240" w:lineRule="auto"/>
        <w:rPr>
          <w:rFonts w:eastAsia="Times New Roman" w:cs="Times New Roman"/>
          <w:szCs w:val="24"/>
          <w:shd w:val="clear" w:color="auto" w:fill="FFFFFF"/>
          <w:lang w:eastAsia="ru-RU"/>
        </w:rPr>
      </w:pPr>
      <w:bookmarkStart w:id="80" w:name="_Toc487909749"/>
      <w:r w:rsidRPr="00BA11F2">
        <w:rPr>
          <w:rFonts w:eastAsia="Times New Roman" w:cs="Times New Roman"/>
          <w:szCs w:val="24"/>
          <w:shd w:val="clear" w:color="auto" w:fill="FFFFFF"/>
          <w:lang w:eastAsia="ru-RU"/>
        </w:rPr>
        <w:t>Компостування відходів рослинного походження:</w:t>
      </w:r>
      <w:bookmarkEnd w:id="80"/>
    </w:p>
    <w:p w14:paraId="0B90AE15"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сприяння впровадженню компостування відходів, що утворюються у невеликих сільських господарствах і сільських населених пунктах;</w:t>
      </w:r>
    </w:p>
    <w:p w14:paraId="48731087"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розроблення стандартів, що стосуються якості компосту і сировинних матеріалів для компостування; </w:t>
      </w:r>
    </w:p>
    <w:p w14:paraId="014DEE07"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розроблення нормативних документів з метою встановлення вимог щодо додавання компосту до ґрунту, включаючи вимоги до контролю якості ґрунтів. </w:t>
      </w:r>
    </w:p>
    <w:p w14:paraId="25B133FF" w14:textId="77777777" w:rsidR="006135D9" w:rsidRPr="00BA11F2" w:rsidRDefault="006135D9" w:rsidP="003466DC">
      <w:pPr>
        <w:numPr>
          <w:ilvl w:val="0"/>
          <w:numId w:val="38"/>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Розподілення на земельній ділянці відходів від виробництва рослинної продукції дозволятиметься у випадках, коли інші методи оброблення неможливі чи  фінансово невигідні. Вимоги до розповсюдження відходів  застосовуватимуться, включаючи: </w:t>
      </w:r>
    </w:p>
    <w:p w14:paraId="1A2492FC"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усі рослинні відходи повинні рівномірно розподілятись по полю достатньо тонким шаром, щоб забезпечити аерацію внутрішніх шарів ґрунту;</w:t>
      </w:r>
    </w:p>
    <w:p w14:paraId="08278842"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рослинні відходи не повинні складатись у купи</w:t>
      </w:r>
      <w:r w:rsidRPr="00BA11F2">
        <w:rPr>
          <w:rFonts w:eastAsia="Times New Roman" w:cs="Times New Roman"/>
          <w:szCs w:val="24"/>
          <w:shd w:val="clear" w:color="auto" w:fill="FFFFFF"/>
          <w:lang w:val="ru-RU" w:eastAsia="ru-RU"/>
        </w:rPr>
        <w:t xml:space="preserve">; </w:t>
      </w:r>
    </w:p>
    <w:p w14:paraId="6FA2F85E"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за можливості, рослинні відходи повинні бути розорані після їх розподілення на земельних ділянках</w:t>
      </w:r>
      <w:r w:rsidRPr="00BA11F2">
        <w:rPr>
          <w:rFonts w:eastAsia="Times New Roman" w:cs="Times New Roman"/>
          <w:szCs w:val="24"/>
          <w:shd w:val="clear" w:color="auto" w:fill="FFFFFF"/>
          <w:lang w:val="ru-RU" w:eastAsia="ru-RU"/>
        </w:rPr>
        <w:t xml:space="preserve">; </w:t>
      </w:r>
    </w:p>
    <w:p w14:paraId="5A1F3308"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земельні ділянки, які підпадають під розповсюдження на них відходів рослинного походження, повинні знаходитись на відстані щонайменше 150 м від будь-якої житлової оселі, у якій проживають особи, інші ніж ті, що є власниками та/чи видаляють відходи рослинного походження. Розподілення не дозволяється в межах 15 м від краю  водного шляху, д</w:t>
      </w:r>
      <w:r>
        <w:rPr>
          <w:rFonts w:eastAsia="Times New Roman" w:cs="Times New Roman"/>
          <w:szCs w:val="24"/>
          <w:shd w:val="clear" w:color="auto" w:fill="FFFFFF"/>
          <w:lang w:eastAsia="ru-RU"/>
        </w:rPr>
        <w:t xml:space="preserve">оріг загального користування </w:t>
      </w:r>
      <w:r w:rsidRPr="00BA11F2">
        <w:rPr>
          <w:rFonts w:eastAsia="Times New Roman" w:cs="Times New Roman"/>
          <w:szCs w:val="24"/>
          <w:shd w:val="clear" w:color="auto" w:fill="FFFFFF"/>
          <w:lang w:eastAsia="ru-RU"/>
        </w:rPr>
        <w:t>чи полоси відведення дороги (вулична зона).</w:t>
      </w:r>
      <w:r w:rsidRPr="00BA11F2">
        <w:rPr>
          <w:rFonts w:eastAsia="Times New Roman" w:cs="Times New Roman"/>
          <w:szCs w:val="24"/>
          <w:highlight w:val="yellow"/>
          <w:shd w:val="clear" w:color="auto" w:fill="FFFFFF"/>
          <w:lang w:val="ru-RU" w:eastAsia="ru-RU"/>
        </w:rPr>
        <w:t xml:space="preserve"> </w:t>
      </w:r>
    </w:p>
    <w:p w14:paraId="79F5AC52" w14:textId="77777777" w:rsidR="006135D9" w:rsidRPr="00BA11F2" w:rsidRDefault="006135D9" w:rsidP="003466DC">
      <w:pPr>
        <w:numPr>
          <w:ilvl w:val="0"/>
          <w:numId w:val="39"/>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Захоронення рослинних відходів є найменш бажаним варіантом, а також визначатимуться законодавчі критерії до його застосування.  </w:t>
      </w:r>
    </w:p>
    <w:p w14:paraId="60E0ADA3" w14:textId="77777777" w:rsidR="006135D9" w:rsidRPr="00BA11F2" w:rsidRDefault="006135D9" w:rsidP="003466DC">
      <w:pPr>
        <w:numPr>
          <w:ilvl w:val="0"/>
          <w:numId w:val="29"/>
        </w:numPr>
        <w:tabs>
          <w:tab w:val="clear" w:pos="284"/>
          <w:tab w:val="clear" w:pos="1985"/>
        </w:tabs>
        <w:spacing w:before="60" w:after="60" w:line="240" w:lineRule="auto"/>
        <w:rPr>
          <w:rFonts w:eastAsia="Times New Roman" w:cs="Times New Roman"/>
          <w:szCs w:val="24"/>
          <w:lang w:val="ru-RU" w:eastAsia="ru-RU"/>
        </w:rPr>
      </w:pPr>
      <w:bookmarkStart w:id="81" w:name="_Toc487909752"/>
      <w:r w:rsidRPr="00BA11F2">
        <w:rPr>
          <w:rFonts w:eastAsia="Times New Roman" w:cs="Times New Roman"/>
          <w:szCs w:val="24"/>
          <w:lang w:eastAsia="ru-RU"/>
        </w:rPr>
        <w:t xml:space="preserve">Створення умов належного </w:t>
      </w:r>
      <w:r>
        <w:rPr>
          <w:rFonts w:eastAsia="Times New Roman" w:cs="Times New Roman"/>
          <w:szCs w:val="24"/>
          <w:lang w:eastAsia="ru-RU"/>
        </w:rPr>
        <w:t>управління</w:t>
      </w:r>
      <w:r w:rsidRPr="00BA11F2">
        <w:rPr>
          <w:rFonts w:eastAsia="Times New Roman" w:cs="Times New Roman"/>
          <w:szCs w:val="24"/>
          <w:lang w:eastAsia="ru-RU"/>
        </w:rPr>
        <w:t xml:space="preserve"> з відходами тваринного походження</w:t>
      </w:r>
      <w:r w:rsidRPr="00BA11F2">
        <w:rPr>
          <w:rFonts w:eastAsia="Times New Roman" w:cs="Times New Roman"/>
          <w:szCs w:val="24"/>
          <w:lang w:val="ru-RU" w:eastAsia="ru-RU"/>
        </w:rPr>
        <w:t>:</w:t>
      </w:r>
      <w:bookmarkEnd w:id="81"/>
    </w:p>
    <w:p w14:paraId="26723D21" w14:textId="77777777" w:rsidR="006135D9" w:rsidRPr="00BA11F2" w:rsidRDefault="006135D9" w:rsidP="003466DC">
      <w:pPr>
        <w:numPr>
          <w:ilvl w:val="0"/>
          <w:numId w:val="40"/>
        </w:numPr>
        <w:tabs>
          <w:tab w:val="clear" w:pos="284"/>
          <w:tab w:val="clear" w:pos="1985"/>
        </w:tabs>
        <w:spacing w:before="60" w:after="60" w:line="240" w:lineRule="auto"/>
        <w:rPr>
          <w:rFonts w:eastAsia="Times New Roman" w:cs="Times New Roman"/>
          <w:szCs w:val="24"/>
          <w:shd w:val="clear" w:color="auto" w:fill="FFFFFF"/>
          <w:lang w:val="ru-RU" w:eastAsia="ru-RU"/>
        </w:rPr>
      </w:pPr>
      <w:bookmarkStart w:id="82" w:name="_Toc487909753"/>
      <w:r w:rsidRPr="00BA11F2">
        <w:rPr>
          <w:rFonts w:eastAsia="Times New Roman" w:cs="Times New Roman"/>
          <w:szCs w:val="24"/>
          <w:shd w:val="clear" w:color="auto" w:fill="FFFFFF"/>
          <w:lang w:eastAsia="ru-RU"/>
        </w:rPr>
        <w:t>Збирання, зберігання та транспортування відходів тваринного походження</w:t>
      </w:r>
      <w:r w:rsidRPr="00BA11F2">
        <w:rPr>
          <w:rFonts w:eastAsia="Times New Roman" w:cs="Times New Roman"/>
          <w:szCs w:val="24"/>
          <w:shd w:val="clear" w:color="auto" w:fill="FFFFFF"/>
          <w:lang w:val="ru-RU" w:eastAsia="ru-RU"/>
        </w:rPr>
        <w:t>:</w:t>
      </w:r>
      <w:bookmarkEnd w:id="82"/>
    </w:p>
    <w:p w14:paraId="079FD895"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пакету законодавчих актів щодо встановлення технічних та нормативних вимог зі збирання, зберігання та транспортування відходів тваринного походження</w:t>
      </w:r>
      <w:r w:rsidRPr="00BA11F2">
        <w:rPr>
          <w:rFonts w:eastAsia="Times New Roman" w:cs="Times New Roman"/>
          <w:szCs w:val="24"/>
          <w:shd w:val="clear" w:color="auto" w:fill="FFFFFF"/>
          <w:lang w:val="ru-RU" w:eastAsia="ru-RU"/>
        </w:rPr>
        <w:t>;</w:t>
      </w:r>
    </w:p>
    <w:p w14:paraId="1A448B72"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проведення досліджень наявності та достатності інфраструктури,  а також доступності послуг зі збирання, зберігання та транспортування відходів тваринного походження</w:t>
      </w:r>
      <w:r w:rsidRPr="00BA11F2">
        <w:rPr>
          <w:rFonts w:eastAsia="Times New Roman" w:cs="Times New Roman"/>
          <w:szCs w:val="24"/>
          <w:shd w:val="clear" w:color="auto" w:fill="FFFFFF"/>
          <w:lang w:val="ru-RU" w:eastAsia="ru-RU"/>
        </w:rPr>
        <w:t>;</w:t>
      </w:r>
    </w:p>
    <w:p w14:paraId="52A65A8C" w14:textId="77777777" w:rsidR="006135D9" w:rsidRPr="00BA11F2" w:rsidRDefault="006135D9" w:rsidP="003466DC">
      <w:pPr>
        <w:numPr>
          <w:ilvl w:val="0"/>
          <w:numId w:val="41"/>
        </w:numPr>
        <w:tabs>
          <w:tab w:val="clear" w:pos="284"/>
          <w:tab w:val="clear" w:pos="1985"/>
        </w:tabs>
        <w:spacing w:before="60" w:after="60" w:line="240" w:lineRule="auto"/>
        <w:rPr>
          <w:rFonts w:eastAsia="Times New Roman" w:cs="Times New Roman"/>
          <w:szCs w:val="24"/>
          <w:shd w:val="clear" w:color="auto" w:fill="FFFFFF"/>
          <w:lang w:val="en-US" w:eastAsia="ru-RU"/>
        </w:rPr>
      </w:pPr>
      <w:bookmarkStart w:id="83" w:name="_Toc487909754"/>
      <w:r w:rsidRPr="00BA11F2">
        <w:rPr>
          <w:rFonts w:eastAsia="Times New Roman" w:cs="Times New Roman"/>
          <w:szCs w:val="24"/>
          <w:shd w:val="clear" w:color="auto" w:fill="FFFFFF"/>
          <w:lang w:eastAsia="ru-RU"/>
        </w:rPr>
        <w:t>Перероблення відходів тваринного походження</w:t>
      </w:r>
      <w:r w:rsidRPr="00BA11F2">
        <w:rPr>
          <w:rFonts w:eastAsia="Times New Roman" w:cs="Times New Roman"/>
          <w:szCs w:val="24"/>
          <w:shd w:val="clear" w:color="auto" w:fill="FFFFFF"/>
          <w:lang w:val="en-US" w:eastAsia="ru-RU"/>
        </w:rPr>
        <w:t>:</w:t>
      </w:r>
      <w:bookmarkEnd w:id="83"/>
    </w:p>
    <w:p w14:paraId="52EC874C"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en-US" w:eastAsia="ru-RU"/>
        </w:rPr>
      </w:pPr>
      <w:r w:rsidRPr="00BA11F2">
        <w:rPr>
          <w:rFonts w:eastAsia="Times New Roman" w:cs="Times New Roman"/>
          <w:szCs w:val="24"/>
          <w:shd w:val="clear" w:color="auto" w:fill="FFFFFF"/>
          <w:lang w:eastAsia="ru-RU"/>
        </w:rPr>
        <w:t xml:space="preserve">рендерінг (витоплювання жирів) залишатиметься важливою технологією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відходами тваринних тканин, </w:t>
      </w:r>
      <w:r w:rsidRPr="00BA11F2">
        <w:rPr>
          <w:rFonts w:eastAsia="Times New Roman" w:cs="Times New Roman"/>
          <w:szCs w:val="24"/>
          <w:lang w:eastAsia="ru-RU"/>
        </w:rPr>
        <w:t>а додаткові потужності будуть доступні до закінчення періоду реалізації стратегії</w:t>
      </w:r>
      <w:r w:rsidRPr="00BA11F2">
        <w:rPr>
          <w:rFonts w:eastAsia="Times New Roman" w:cs="Times New Roman"/>
          <w:szCs w:val="24"/>
          <w:shd w:val="clear" w:color="auto" w:fill="FFFFFF"/>
          <w:lang w:val="en-US" w:eastAsia="ru-RU"/>
        </w:rPr>
        <w:t>.</w:t>
      </w:r>
    </w:p>
    <w:p w14:paraId="570F51AA"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визначення існуючого потенціалу для перероблення відходів тваринництва</w:t>
      </w:r>
      <w:r w:rsidRPr="00BA11F2">
        <w:rPr>
          <w:rFonts w:eastAsia="Times New Roman" w:cs="Times New Roman"/>
          <w:szCs w:val="24"/>
          <w:shd w:val="clear" w:color="auto" w:fill="FFFFFF"/>
          <w:lang w:val="ru-RU" w:eastAsia="ru-RU"/>
        </w:rPr>
        <w:t>;</w:t>
      </w:r>
    </w:p>
    <w:p w14:paraId="01BCC58C"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необхідних нормативних актів, стандартів та законодавчих вимог для розміщення, будівництва та функціонування підприємств з перероблення відходів тваринного походження</w:t>
      </w:r>
      <w:r w:rsidRPr="00BA11F2">
        <w:rPr>
          <w:rFonts w:eastAsia="Times New Roman" w:cs="Times New Roman"/>
          <w:szCs w:val="24"/>
          <w:shd w:val="clear" w:color="auto" w:fill="FFFFFF"/>
          <w:lang w:val="ru-RU" w:eastAsia="ru-RU"/>
        </w:rPr>
        <w:t>;</w:t>
      </w:r>
    </w:p>
    <w:p w14:paraId="41F336B8"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рекомендацій щодо створення мережі регіональних підприємств для екологічно безпечного перероблення відходів тваринництва;</w:t>
      </w:r>
      <w:r w:rsidRPr="00BA11F2">
        <w:rPr>
          <w:rFonts w:eastAsia="Times New Roman" w:cs="Times New Roman"/>
          <w:szCs w:val="24"/>
          <w:shd w:val="clear" w:color="auto" w:fill="FFFFFF"/>
          <w:lang w:val="ru-RU" w:eastAsia="ru-RU"/>
        </w:rPr>
        <w:t xml:space="preserve"> </w:t>
      </w:r>
    </w:p>
    <w:p w14:paraId="2A8706CA" w14:textId="77777777" w:rsidR="006135D9" w:rsidRPr="00BA11F2" w:rsidRDefault="006135D9" w:rsidP="003466DC">
      <w:pPr>
        <w:numPr>
          <w:ilvl w:val="0"/>
          <w:numId w:val="30"/>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потенціал перероблення нехарчової тваринної продукції (рендерінг) протягом періоду реалізації стратегії повинен складатись з трьох переробних (рендерінгових) підприємств з виробничою потужністю 50,000 т на рік для кожного відповідно.  Підготовка до створення таких заводів здійснюватиметься у короткостроковій перспективі (тобто з 2017 до 2022 рр.), у той час як будівництво заводів має завершитись у середньостроковий період, тобто з 2023 до 2032 рр. </w:t>
      </w:r>
      <w:r w:rsidRPr="00BA11F2">
        <w:rPr>
          <w:rFonts w:eastAsia="Times New Roman" w:cs="Times New Roman"/>
          <w:szCs w:val="24"/>
          <w:lang w:eastAsia="ru-RU"/>
        </w:rPr>
        <w:t>Вартість цих переробних (рендінгових) підприємств складе близько 7,5 мільйонів євро на об'єкт в середньому.</w:t>
      </w:r>
    </w:p>
    <w:p w14:paraId="191C4AFA" w14:textId="77777777" w:rsidR="006135D9" w:rsidRPr="00BA11F2" w:rsidRDefault="006135D9" w:rsidP="003466DC">
      <w:pPr>
        <w:numPr>
          <w:ilvl w:val="0"/>
          <w:numId w:val="42"/>
        </w:numPr>
        <w:tabs>
          <w:tab w:val="clear" w:pos="284"/>
          <w:tab w:val="clear" w:pos="1985"/>
        </w:tabs>
        <w:spacing w:before="60" w:after="60" w:line="240" w:lineRule="auto"/>
        <w:rPr>
          <w:rFonts w:eastAsia="Times New Roman" w:cs="Times New Roman"/>
          <w:szCs w:val="24"/>
          <w:shd w:val="clear" w:color="auto" w:fill="FFFFFF"/>
          <w:lang w:val="en-US" w:eastAsia="ru-RU"/>
        </w:rPr>
      </w:pPr>
      <w:bookmarkStart w:id="84" w:name="_Toc487909755"/>
      <w:r w:rsidRPr="00BA11F2">
        <w:rPr>
          <w:rFonts w:eastAsia="Times New Roman" w:cs="Times New Roman"/>
          <w:szCs w:val="24"/>
          <w:shd w:val="clear" w:color="auto" w:fill="FFFFFF"/>
          <w:lang w:eastAsia="ru-RU"/>
        </w:rPr>
        <w:t>Компостування відходів тваринного походження</w:t>
      </w:r>
      <w:bookmarkEnd w:id="84"/>
      <w:r w:rsidRPr="00BA11F2">
        <w:rPr>
          <w:rFonts w:eastAsia="Times New Roman" w:cs="Times New Roman"/>
          <w:szCs w:val="24"/>
          <w:shd w:val="clear" w:color="auto" w:fill="FFFFFF"/>
          <w:lang w:eastAsia="ru-RU"/>
        </w:rPr>
        <w:t>:</w:t>
      </w:r>
    </w:p>
    <w:p w14:paraId="6D751942"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en-US" w:eastAsia="ru-RU"/>
        </w:rPr>
      </w:pPr>
      <w:r w:rsidRPr="00BA11F2">
        <w:rPr>
          <w:rFonts w:eastAsia="Times New Roman" w:cs="Times New Roman"/>
          <w:szCs w:val="24"/>
          <w:shd w:val="clear" w:color="auto" w:fill="FFFFFF"/>
          <w:lang w:eastAsia="ru-RU"/>
        </w:rPr>
        <w:t xml:space="preserve">поширення інформації та знань щодо компостування відходів тканин тварин, включаючи туші дрібних тварин, а впровадження та забезпечення дотримання стандартів належного компостування та його внесення до ґрунту; </w:t>
      </w:r>
    </w:p>
    <w:p w14:paraId="4056DAE8"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en-US" w:eastAsia="ru-RU"/>
        </w:rPr>
      </w:pPr>
      <w:r w:rsidRPr="00BA11F2">
        <w:rPr>
          <w:rFonts w:eastAsia="Times New Roman" w:cs="Times New Roman"/>
          <w:szCs w:val="24"/>
          <w:shd w:val="clear" w:color="auto" w:fill="FFFFFF"/>
          <w:lang w:eastAsia="ru-RU"/>
        </w:rPr>
        <w:t>сприяння впровадження компостування відходів, що утворюються в невеликих сільських господарствах і сільських населених пунктах шляхом поширення знань та інформації про компостування відходів сільськогосподарського виробництва;</w:t>
      </w:r>
    </w:p>
    <w:p w14:paraId="5F18DFB4"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стандартів щодо якості компосту та сировинної продукції для компостування</w:t>
      </w:r>
      <w:r w:rsidRPr="00BA11F2">
        <w:rPr>
          <w:rFonts w:eastAsia="Times New Roman" w:cs="Times New Roman"/>
          <w:szCs w:val="24"/>
          <w:shd w:val="clear" w:color="auto" w:fill="FFFFFF"/>
          <w:lang w:val="ru-RU" w:eastAsia="ru-RU"/>
        </w:rPr>
        <w:t xml:space="preserve">; </w:t>
      </w:r>
    </w:p>
    <w:p w14:paraId="584AEC08"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розроблення нормативних документів щодо встановлення вимог до внесення компосту до ґрунту, включаючи контроль якості таких ґрунтів.  </w:t>
      </w:r>
    </w:p>
    <w:p w14:paraId="4D4DE179" w14:textId="77777777" w:rsidR="006135D9" w:rsidRPr="00BA11F2" w:rsidRDefault="006135D9" w:rsidP="003466DC">
      <w:pPr>
        <w:numPr>
          <w:ilvl w:val="0"/>
          <w:numId w:val="43"/>
        </w:numPr>
        <w:tabs>
          <w:tab w:val="clear" w:pos="284"/>
          <w:tab w:val="clear" w:pos="1985"/>
        </w:tabs>
        <w:spacing w:before="60" w:after="60" w:line="240" w:lineRule="auto"/>
        <w:rPr>
          <w:rFonts w:eastAsia="Times New Roman" w:cs="Times New Roman"/>
          <w:szCs w:val="24"/>
          <w:shd w:val="clear" w:color="auto" w:fill="FFFFFF"/>
          <w:lang w:val="en-US" w:eastAsia="ru-RU"/>
        </w:rPr>
      </w:pPr>
      <w:bookmarkStart w:id="85" w:name="_Toc487909756"/>
      <w:r w:rsidRPr="00BA11F2">
        <w:rPr>
          <w:rFonts w:eastAsia="Times New Roman" w:cs="Times New Roman"/>
          <w:szCs w:val="24"/>
          <w:shd w:val="clear" w:color="auto" w:fill="FFFFFF"/>
          <w:lang w:eastAsia="ru-RU"/>
        </w:rPr>
        <w:t>Видалення відходів тваринного походження</w:t>
      </w:r>
      <w:r w:rsidRPr="00BA11F2">
        <w:rPr>
          <w:rFonts w:eastAsia="Times New Roman" w:cs="Times New Roman"/>
          <w:szCs w:val="24"/>
          <w:shd w:val="clear" w:color="auto" w:fill="FFFFFF"/>
          <w:lang w:val="en-US" w:eastAsia="ru-RU"/>
        </w:rPr>
        <w:t>:</w:t>
      </w:r>
      <w:bookmarkEnd w:id="85"/>
    </w:p>
    <w:p w14:paraId="3FCFAE62"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впровадження стандартних виробничих практик з метою визначення технічних та законодавчих вимог відповідно до яких дозволяється видалення відходів тваринних тканин, включаючи туші</w:t>
      </w:r>
      <w:r w:rsidRPr="00BA11F2">
        <w:rPr>
          <w:rFonts w:eastAsia="Times New Roman" w:cs="Times New Roman"/>
          <w:szCs w:val="24"/>
          <w:shd w:val="clear" w:color="auto" w:fill="FFFFFF"/>
          <w:lang w:val="ru-RU" w:eastAsia="ru-RU"/>
        </w:rPr>
        <w:t>.</w:t>
      </w:r>
    </w:p>
    <w:p w14:paraId="1D61ADC3"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технічних та нормативних вимог до видалення відходів тваринного походження;</w:t>
      </w:r>
    </w:p>
    <w:p w14:paraId="4753C23E"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розповсюдження інформації та знань щодо видалення відходів тваринництва, експлуатації та потенційного впливу місць їх видалення, критерії прийнятності тощо;</w:t>
      </w:r>
    </w:p>
    <w:p w14:paraId="734FAB66" w14:textId="77777777" w:rsidR="006135D9" w:rsidRPr="00BA11F2" w:rsidRDefault="006135D9" w:rsidP="003466DC">
      <w:pPr>
        <w:numPr>
          <w:ilvl w:val="0"/>
          <w:numId w:val="44"/>
        </w:numPr>
        <w:tabs>
          <w:tab w:val="clear" w:pos="284"/>
          <w:tab w:val="clear" w:pos="1985"/>
        </w:tabs>
        <w:spacing w:before="60" w:after="60" w:line="240" w:lineRule="auto"/>
        <w:rPr>
          <w:rFonts w:eastAsia="Times New Roman" w:cs="Times New Roman"/>
          <w:szCs w:val="24"/>
          <w:shd w:val="clear" w:color="auto" w:fill="FFFFFF"/>
          <w:lang w:eastAsia="ru-RU"/>
        </w:rPr>
      </w:pPr>
      <w:bookmarkStart w:id="86" w:name="_Toc487909757"/>
      <w:r w:rsidRPr="00BA11F2">
        <w:rPr>
          <w:rFonts w:eastAsia="Times New Roman" w:cs="Times New Roman"/>
          <w:szCs w:val="24"/>
          <w:shd w:val="clear" w:color="auto" w:fill="FFFFFF"/>
          <w:lang w:eastAsia="ru-RU"/>
        </w:rPr>
        <w:t>Альтернативні методи видалення відходів тваринного</w:t>
      </w:r>
      <w:r>
        <w:rPr>
          <w:rFonts w:eastAsia="Times New Roman" w:cs="Times New Roman"/>
          <w:szCs w:val="24"/>
          <w:shd w:val="clear" w:color="auto" w:fill="FFFFFF"/>
          <w:lang w:eastAsia="ru-RU"/>
        </w:rPr>
        <w:t xml:space="preserve"> походження</w:t>
      </w:r>
      <w:r w:rsidRPr="00BA11F2">
        <w:rPr>
          <w:rFonts w:eastAsia="Times New Roman" w:cs="Times New Roman"/>
          <w:szCs w:val="24"/>
          <w:shd w:val="clear" w:color="auto" w:fill="FFFFFF"/>
          <w:lang w:eastAsia="ru-RU"/>
        </w:rPr>
        <w:t>:</w:t>
      </w:r>
      <w:bookmarkEnd w:id="86"/>
    </w:p>
    <w:p w14:paraId="526F50F4"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ru-RU" w:eastAsia="ru-RU"/>
        </w:rPr>
      </w:pPr>
      <w:r>
        <w:rPr>
          <w:rFonts w:eastAsia="Times New Roman" w:cs="Times New Roman"/>
          <w:szCs w:val="24"/>
          <w:shd w:val="clear" w:color="auto" w:fill="FFFFFF"/>
          <w:lang w:eastAsia="ru-RU"/>
        </w:rPr>
        <w:t>п</w:t>
      </w:r>
      <w:r w:rsidRPr="00BA11F2">
        <w:rPr>
          <w:rFonts w:eastAsia="Times New Roman" w:cs="Times New Roman"/>
          <w:szCs w:val="24"/>
          <w:shd w:val="clear" w:color="auto" w:fill="FFFFFF"/>
          <w:lang w:eastAsia="ru-RU"/>
        </w:rPr>
        <w:t>роведення досліджень щодо придатності впровадження в Україні альтернативних методів видалення відходів тваринного походження</w:t>
      </w:r>
      <w:r w:rsidRPr="00BA11F2">
        <w:rPr>
          <w:rFonts w:eastAsia="Times New Roman" w:cs="Times New Roman"/>
          <w:szCs w:val="24"/>
          <w:shd w:val="clear" w:color="auto" w:fill="FFFFFF"/>
          <w:lang w:val="ru-RU" w:eastAsia="ru-RU"/>
        </w:rPr>
        <w:t>;</w:t>
      </w:r>
    </w:p>
    <w:p w14:paraId="138185DF" w14:textId="77777777" w:rsidR="006135D9" w:rsidRPr="00BA11F2" w:rsidRDefault="006135D9" w:rsidP="003466DC">
      <w:pPr>
        <w:numPr>
          <w:ilvl w:val="0"/>
          <w:numId w:val="30"/>
        </w:numPr>
        <w:tabs>
          <w:tab w:val="clear" w:pos="284"/>
          <w:tab w:val="clear" w:pos="1985"/>
        </w:tabs>
        <w:spacing w:before="60" w:after="60" w:line="240" w:lineRule="auto"/>
        <w:ind w:left="1276"/>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створення</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 xml:space="preserve">запасу можливостей </w:t>
      </w:r>
      <w:r w:rsidRPr="00BA11F2">
        <w:rPr>
          <w:rFonts w:eastAsia="Times New Roman" w:cs="Times New Roman"/>
          <w:szCs w:val="24"/>
          <w:shd w:val="clear" w:color="auto" w:fill="FFFFFF"/>
          <w:lang w:val="ru-RU" w:eastAsia="ru-RU"/>
        </w:rPr>
        <w:t xml:space="preserve">та </w:t>
      </w:r>
      <w:r w:rsidRPr="00BA11F2">
        <w:rPr>
          <w:rFonts w:eastAsia="Times New Roman" w:cs="Times New Roman"/>
          <w:szCs w:val="24"/>
          <w:shd w:val="clear" w:color="auto" w:fill="FFFFFF"/>
          <w:lang w:eastAsia="ru-RU"/>
        </w:rPr>
        <w:t>засобів</w:t>
      </w:r>
      <w:r w:rsidRPr="00BA11F2">
        <w:rPr>
          <w:rFonts w:eastAsia="Times New Roman" w:cs="Times New Roman"/>
          <w:szCs w:val="24"/>
          <w:shd w:val="clear" w:color="auto" w:fill="FFFFFF"/>
          <w:lang w:val="ru-RU" w:eastAsia="ru-RU"/>
        </w:rPr>
        <w:t xml:space="preserve">, у тому </w:t>
      </w:r>
      <w:r w:rsidRPr="00BA11F2">
        <w:rPr>
          <w:rFonts w:eastAsia="Times New Roman" w:cs="Times New Roman"/>
          <w:szCs w:val="24"/>
          <w:shd w:val="clear" w:color="auto" w:fill="FFFFFF"/>
          <w:lang w:eastAsia="ru-RU"/>
        </w:rPr>
        <w:t>числі</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мобільних спалювальних</w:t>
      </w:r>
      <w:r w:rsidRPr="00BA11F2">
        <w:rPr>
          <w:rFonts w:eastAsia="Times New Roman" w:cs="Times New Roman"/>
          <w:szCs w:val="24"/>
          <w:shd w:val="clear" w:color="auto" w:fill="FFFFFF"/>
          <w:lang w:val="ru-RU" w:eastAsia="ru-RU"/>
        </w:rPr>
        <w:t xml:space="preserve"> установок, для </w:t>
      </w:r>
      <w:r w:rsidRPr="00BA11F2">
        <w:rPr>
          <w:rFonts w:eastAsia="Times New Roman" w:cs="Times New Roman"/>
          <w:szCs w:val="24"/>
          <w:shd w:val="clear" w:color="auto" w:fill="FFFFFF"/>
          <w:lang w:eastAsia="ru-RU"/>
        </w:rPr>
        <w:t>їх</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розгортання</w:t>
      </w:r>
      <w:r w:rsidRPr="00BA11F2">
        <w:rPr>
          <w:rFonts w:eastAsia="Times New Roman" w:cs="Times New Roman"/>
          <w:szCs w:val="24"/>
          <w:shd w:val="clear" w:color="auto" w:fill="FFFFFF"/>
          <w:lang w:val="ru-RU" w:eastAsia="ru-RU"/>
        </w:rPr>
        <w:t xml:space="preserve"> в </w:t>
      </w:r>
      <w:r w:rsidRPr="00BA11F2">
        <w:rPr>
          <w:rFonts w:eastAsia="Times New Roman" w:cs="Times New Roman"/>
          <w:szCs w:val="24"/>
          <w:shd w:val="clear" w:color="auto" w:fill="FFFFFF"/>
          <w:lang w:eastAsia="ru-RU"/>
        </w:rPr>
        <w:t>екстрених</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ситуаціях</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пов’язаних із спалахом</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інфекційних</w:t>
      </w: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захворювань</w:t>
      </w:r>
      <w:r w:rsidRPr="00BA11F2">
        <w:rPr>
          <w:rFonts w:eastAsia="Times New Roman" w:cs="Times New Roman"/>
          <w:szCs w:val="24"/>
          <w:shd w:val="clear" w:color="auto" w:fill="FFFFFF"/>
          <w:lang w:val="ru-RU" w:eastAsia="ru-RU"/>
        </w:rPr>
        <w:t>.</w:t>
      </w:r>
    </w:p>
    <w:p w14:paraId="6AF97EB2" w14:textId="77777777" w:rsidR="006135D9" w:rsidRPr="00BA11F2" w:rsidRDefault="006135D9" w:rsidP="003466DC">
      <w:pPr>
        <w:numPr>
          <w:ilvl w:val="0"/>
          <w:numId w:val="45"/>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Могильники (місця захоронення відходів тваринництва):</w:t>
      </w:r>
    </w:p>
    <w:p w14:paraId="007E65D5"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збірки інформаційних матеріалів щодо технічних та законодавчих вимог, відповідно до яких дозволяється захоронення відходів тваринного походження, включаючи туші;</w:t>
      </w:r>
    </w:p>
    <w:p w14:paraId="0C1556E7"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поширення інформації та знань щодо захоронення відходів тваринництва, включаючи туші дрібних тварин, а також інформації щодо альтернативних методів видалення, наприклад, таких як рендерінг (витоплювання жиру)</w:t>
      </w:r>
      <w:r w:rsidRPr="00BA11F2">
        <w:rPr>
          <w:rFonts w:eastAsia="Times New Roman" w:cs="Times New Roman"/>
          <w:szCs w:val="24"/>
          <w:shd w:val="clear" w:color="auto" w:fill="FFFFFF"/>
          <w:lang w:val="ru-RU" w:eastAsia="ru-RU"/>
        </w:rPr>
        <w:t xml:space="preserve">; </w:t>
      </w:r>
    </w:p>
    <w:p w14:paraId="29B38A14"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захоронення відходів тваринного походження поступово припиняється у період до 2025 року</w:t>
      </w:r>
      <w:r w:rsidRPr="00BA11F2">
        <w:rPr>
          <w:rFonts w:eastAsia="Times New Roman" w:cs="Times New Roman"/>
          <w:szCs w:val="24"/>
          <w:shd w:val="clear" w:color="auto" w:fill="FFFFFF"/>
          <w:lang w:val="ru-RU" w:eastAsia="ru-RU"/>
        </w:rPr>
        <w:t>.</w:t>
      </w:r>
    </w:p>
    <w:p w14:paraId="67C4DC0B" w14:textId="77777777" w:rsidR="006135D9" w:rsidRPr="00BC61D7" w:rsidRDefault="006135D9" w:rsidP="003466DC">
      <w:pPr>
        <w:numPr>
          <w:ilvl w:val="0"/>
          <w:numId w:val="46"/>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lang w:eastAsia="ru-RU"/>
        </w:rPr>
        <w:t xml:space="preserve">Встановлення потенціалу для боротьби зі спалахом захворювань тварин: </w:t>
      </w:r>
    </w:p>
    <w:p w14:paraId="063A9217" w14:textId="77777777" w:rsidR="006135D9" w:rsidRPr="006E439A" w:rsidRDefault="006135D9" w:rsidP="006135D9">
      <w:pPr>
        <w:tabs>
          <w:tab w:val="clear" w:pos="284"/>
          <w:tab w:val="clear" w:pos="1985"/>
        </w:tabs>
        <w:spacing w:before="60" w:after="60" w:line="240" w:lineRule="auto"/>
        <w:ind w:left="720"/>
        <w:rPr>
          <w:rFonts w:eastAsia="Times New Roman" w:cs="Times New Roman"/>
          <w:szCs w:val="24"/>
          <w:shd w:val="clear" w:color="auto" w:fill="FFFFFF"/>
          <w:lang w:val="ru-RU" w:eastAsia="ru-RU"/>
        </w:rPr>
      </w:pPr>
      <w:r w:rsidRPr="00BA11F2">
        <w:rPr>
          <w:rFonts w:eastAsia="Times New Roman" w:cs="Times New Roman"/>
          <w:szCs w:val="24"/>
          <w:lang w:eastAsia="ru-RU"/>
        </w:rPr>
        <w:t xml:space="preserve">для того, щоб бути в змозі подолати спалахи захворювань тварин, такі як пташиний грип, </w:t>
      </w:r>
      <w:r w:rsidRPr="006E439A">
        <w:rPr>
          <w:rFonts w:eastAsia="Times New Roman" w:cs="Times New Roman"/>
          <w:szCs w:val="24"/>
          <w:lang w:eastAsia="ru-RU"/>
        </w:rPr>
        <w:t xml:space="preserve">свинячий грип, ящур чи коров’ячого сказу (губчаста енцефалопатія великої рогатої худоби), за розрахунками необхідно 25 мобільних сміттєспалювальних установок в </w:t>
      </w:r>
      <w:r w:rsidRPr="006E439A">
        <w:rPr>
          <w:rFonts w:eastAsia="Times New Roman" w:cs="Times New Roman"/>
          <w:szCs w:val="24"/>
          <w:lang w:val="bg-BG" w:eastAsia="ru-RU"/>
        </w:rPr>
        <w:t>середно</w:t>
      </w:r>
      <w:r w:rsidRPr="006E439A">
        <w:rPr>
          <w:rFonts w:eastAsia="Times New Roman" w:cs="Times New Roman"/>
          <w:szCs w:val="24"/>
          <w:lang w:eastAsia="ru-RU"/>
        </w:rPr>
        <w:t>строковій перспективі (до 20</w:t>
      </w:r>
      <w:r w:rsidRPr="006E439A">
        <w:rPr>
          <w:rFonts w:eastAsia="Times New Roman" w:cs="Times New Roman"/>
          <w:szCs w:val="24"/>
          <w:lang w:val="bg-BG" w:eastAsia="ru-RU"/>
        </w:rPr>
        <w:t>30</w:t>
      </w:r>
      <w:r w:rsidRPr="006E439A">
        <w:rPr>
          <w:rFonts w:eastAsia="Times New Roman" w:cs="Times New Roman"/>
          <w:szCs w:val="24"/>
          <w:lang w:eastAsia="ru-RU"/>
        </w:rPr>
        <w:t xml:space="preserve"> року). Такі мобільні установки для спалювання вартують в середньому 120 000 євро кожна.</w:t>
      </w:r>
      <w:r w:rsidRPr="006E439A">
        <w:t xml:space="preserve"> </w:t>
      </w:r>
      <w:r w:rsidRPr="006E439A">
        <w:rPr>
          <w:rFonts w:eastAsia="Times New Roman" w:cs="Times New Roman"/>
          <w:szCs w:val="24"/>
          <w:lang w:eastAsia="ru-RU"/>
        </w:rPr>
        <w:t>Питання закупівель та їх фінансування  вирішують органи місцевого самоврядування.</w:t>
      </w:r>
    </w:p>
    <w:p w14:paraId="1003305C" w14:textId="77777777" w:rsidR="006135D9" w:rsidRPr="00BA11F2" w:rsidRDefault="006135D9" w:rsidP="003466DC">
      <w:pPr>
        <w:numPr>
          <w:ilvl w:val="0"/>
          <w:numId w:val="29"/>
        </w:numPr>
        <w:tabs>
          <w:tab w:val="clear" w:pos="284"/>
          <w:tab w:val="clear" w:pos="1985"/>
        </w:tabs>
        <w:spacing w:before="60" w:after="60" w:line="240" w:lineRule="auto"/>
        <w:rPr>
          <w:rFonts w:eastAsia="Times New Roman" w:cs="Times New Roman"/>
          <w:szCs w:val="24"/>
          <w:lang w:val="ru-RU" w:eastAsia="ru-RU"/>
        </w:rPr>
      </w:pPr>
      <w:bookmarkStart w:id="87" w:name="_Toc487909759"/>
      <w:r w:rsidRPr="00BA11F2">
        <w:rPr>
          <w:rFonts w:eastAsia="Times New Roman" w:cs="Times New Roman"/>
          <w:szCs w:val="24"/>
          <w:lang w:eastAsia="ru-RU"/>
        </w:rPr>
        <w:t xml:space="preserve">Створення належних умов </w:t>
      </w:r>
      <w:r>
        <w:rPr>
          <w:rFonts w:eastAsia="Times New Roman" w:cs="Times New Roman"/>
          <w:szCs w:val="24"/>
          <w:lang w:eastAsia="ru-RU"/>
        </w:rPr>
        <w:t>управління</w:t>
      </w:r>
      <w:r w:rsidRPr="00BA11F2">
        <w:rPr>
          <w:rFonts w:eastAsia="Times New Roman" w:cs="Times New Roman"/>
          <w:szCs w:val="24"/>
          <w:lang w:eastAsia="ru-RU"/>
        </w:rPr>
        <w:t xml:space="preserve"> з тваринними екскрементами</w:t>
      </w:r>
      <w:r w:rsidRPr="00BA11F2">
        <w:rPr>
          <w:rFonts w:eastAsia="Times New Roman" w:cs="Times New Roman"/>
          <w:szCs w:val="24"/>
          <w:lang w:val="ru-RU" w:eastAsia="ru-RU"/>
        </w:rPr>
        <w:t>:</w:t>
      </w:r>
      <w:bookmarkEnd w:id="87"/>
    </w:p>
    <w:p w14:paraId="6562EF25" w14:textId="77777777" w:rsidR="006135D9" w:rsidRPr="00BC61D7" w:rsidRDefault="006135D9" w:rsidP="003466DC">
      <w:pPr>
        <w:pStyle w:val="a7"/>
        <w:numPr>
          <w:ilvl w:val="0"/>
          <w:numId w:val="46"/>
        </w:numPr>
        <w:tabs>
          <w:tab w:val="clear" w:pos="284"/>
          <w:tab w:val="clear" w:pos="1985"/>
        </w:tabs>
        <w:spacing w:before="60" w:after="60" w:line="240" w:lineRule="auto"/>
        <w:rPr>
          <w:rFonts w:eastAsia="Times New Roman" w:cs="Times New Roman"/>
          <w:szCs w:val="24"/>
          <w:shd w:val="clear" w:color="auto" w:fill="FFFFFF"/>
          <w:lang w:val="ru-RU" w:eastAsia="ru-RU"/>
        </w:rPr>
      </w:pPr>
      <w:r w:rsidRPr="00BC61D7">
        <w:rPr>
          <w:rFonts w:eastAsia="Times New Roman" w:cs="Times New Roman"/>
          <w:szCs w:val="24"/>
          <w:shd w:val="clear" w:color="auto" w:fill="FFFFFF"/>
          <w:lang w:eastAsia="ru-RU"/>
        </w:rPr>
        <w:t>Зберігання та управління з тваринними екскрементами повинні покращитись та здійснювати екологічно безпечним шляхом</w:t>
      </w:r>
      <w:r w:rsidRPr="00BC61D7">
        <w:rPr>
          <w:rFonts w:eastAsia="Times New Roman" w:cs="Times New Roman"/>
          <w:szCs w:val="24"/>
          <w:shd w:val="clear" w:color="auto" w:fill="FFFFFF"/>
          <w:lang w:val="ru-RU" w:eastAsia="ru-RU"/>
        </w:rPr>
        <w:t>:</w:t>
      </w:r>
    </w:p>
    <w:p w14:paraId="1F7D4159"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плани використання поживних речовин від тваринних екскрементів повинні бути розроблені та будуть вимагатись від великих підприємств;</w:t>
      </w:r>
    </w:p>
    <w:p w14:paraId="2340C42F"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розроблення нормативної база та методичні рекомендації щодо внесення добрив, отриманих з тваринних екскрементів до ґрунту, включаючи вимоги до аналізу ґрунтів та таких добрив, норми внесення на гектар для різних культур, методи та періоди внесення. </w:t>
      </w:r>
    </w:p>
    <w:p w14:paraId="06B2F22E"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впровадження системи обліку (реєстрації) для ведення документації (на фермерських господарствах, у органах місцевого самоврядування та на обласному рівні) щодо кількості утворених тваринних екскрементів та потенціалу внесення добрив отриманих від таких екскрементів  в ґрунт. </w:t>
      </w:r>
    </w:p>
    <w:p w14:paraId="1A017D8B"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використання тваринних екскрементів як сировинного матеріалу для компостування чи анаеробного розкладення буде застосовуватись у випадках, коли пряме внесення добрив отриманих від тваринних екскрементів в ґрунт є неможливим чи небажаним</w:t>
      </w:r>
      <w:r w:rsidRPr="00BA11F2">
        <w:rPr>
          <w:rFonts w:eastAsia="Times New Roman" w:cs="Times New Roman"/>
          <w:szCs w:val="24"/>
          <w:shd w:val="clear" w:color="auto" w:fill="FFFFFF"/>
          <w:lang w:val="ru-RU" w:eastAsia="ru-RU"/>
        </w:rPr>
        <w:t>.</w:t>
      </w:r>
    </w:p>
    <w:p w14:paraId="463A0521" w14:textId="77777777" w:rsidR="006135D9" w:rsidRPr="00BA11F2" w:rsidRDefault="006135D9" w:rsidP="003466DC">
      <w:pPr>
        <w:numPr>
          <w:ilvl w:val="0"/>
          <w:numId w:val="47"/>
        </w:numPr>
        <w:tabs>
          <w:tab w:val="clear" w:pos="284"/>
          <w:tab w:val="clear" w:pos="1985"/>
        </w:tabs>
        <w:spacing w:before="60" w:after="60" w:line="240" w:lineRule="auto"/>
        <w:rPr>
          <w:rFonts w:eastAsia="Times New Roman" w:cs="Times New Roman"/>
          <w:szCs w:val="24"/>
          <w:shd w:val="clear" w:color="auto" w:fill="FFFFFF"/>
          <w:lang w:val="en-US" w:eastAsia="ru-RU"/>
        </w:rPr>
      </w:pPr>
      <w:bookmarkStart w:id="88" w:name="_Toc487909760"/>
      <w:r w:rsidRPr="00BA11F2">
        <w:rPr>
          <w:rFonts w:eastAsia="Times New Roman" w:cs="Times New Roman"/>
          <w:szCs w:val="24"/>
          <w:shd w:val="clear" w:color="auto" w:fill="FFFFFF"/>
          <w:lang w:eastAsia="ru-RU"/>
        </w:rPr>
        <w:t>Зберігання тваринних екскрементів</w:t>
      </w:r>
      <w:r w:rsidRPr="00BA11F2">
        <w:rPr>
          <w:rFonts w:eastAsia="Times New Roman" w:cs="Times New Roman"/>
          <w:szCs w:val="24"/>
          <w:shd w:val="clear" w:color="auto" w:fill="FFFFFF"/>
          <w:lang w:val="en-US" w:eastAsia="ru-RU"/>
        </w:rPr>
        <w:t>:</w:t>
      </w:r>
      <w:bookmarkEnd w:id="88"/>
    </w:p>
    <w:p w14:paraId="3AE38F57"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val="en-US" w:eastAsia="ru-RU"/>
        </w:rPr>
      </w:pPr>
      <w:r w:rsidRPr="00BA11F2">
        <w:rPr>
          <w:rFonts w:eastAsia="Times New Roman" w:cs="Times New Roman"/>
          <w:szCs w:val="24"/>
          <w:lang w:eastAsia="ru-RU"/>
        </w:rPr>
        <w:t>проведення</w:t>
      </w:r>
      <w:r w:rsidRPr="00BA11F2">
        <w:rPr>
          <w:rFonts w:eastAsia="Times New Roman" w:cs="Times New Roman"/>
          <w:szCs w:val="24"/>
          <w:lang w:val="en-US" w:eastAsia="ru-RU"/>
        </w:rPr>
        <w:t xml:space="preserve"> </w:t>
      </w:r>
      <w:r w:rsidRPr="00BA11F2">
        <w:rPr>
          <w:rFonts w:eastAsia="Times New Roman" w:cs="Times New Roman"/>
          <w:szCs w:val="24"/>
          <w:lang w:eastAsia="ru-RU"/>
        </w:rPr>
        <w:t>інвентаризації</w:t>
      </w:r>
      <w:r w:rsidRPr="00BA11F2">
        <w:rPr>
          <w:rFonts w:eastAsia="Times New Roman" w:cs="Times New Roman"/>
          <w:szCs w:val="24"/>
          <w:lang w:val="en-US" w:eastAsia="ru-RU"/>
        </w:rPr>
        <w:t xml:space="preserve"> </w:t>
      </w:r>
      <w:r w:rsidRPr="00BA11F2">
        <w:rPr>
          <w:rFonts w:eastAsia="Times New Roman" w:cs="Times New Roman"/>
          <w:szCs w:val="24"/>
          <w:lang w:eastAsia="ru-RU"/>
        </w:rPr>
        <w:t>місць</w:t>
      </w:r>
      <w:r w:rsidRPr="00BA11F2">
        <w:rPr>
          <w:rFonts w:eastAsia="Times New Roman" w:cs="Times New Roman"/>
          <w:szCs w:val="24"/>
          <w:lang w:val="en-US" w:eastAsia="ru-RU"/>
        </w:rPr>
        <w:t xml:space="preserve"> </w:t>
      </w:r>
      <w:r w:rsidRPr="00BA11F2">
        <w:rPr>
          <w:rFonts w:eastAsia="Times New Roman" w:cs="Times New Roman"/>
          <w:szCs w:val="24"/>
          <w:lang w:eastAsia="ru-RU"/>
        </w:rPr>
        <w:t>зберігання тваринних екскрементів</w:t>
      </w:r>
      <w:r w:rsidRPr="00BA11F2">
        <w:rPr>
          <w:rFonts w:eastAsia="Times New Roman" w:cs="Times New Roman"/>
          <w:szCs w:val="24"/>
          <w:shd w:val="clear" w:color="auto" w:fill="FFFFFF"/>
          <w:lang w:val="en-US" w:eastAsia="ru-RU"/>
        </w:rPr>
        <w:t>;</w:t>
      </w:r>
    </w:p>
    <w:p w14:paraId="46FED9F7"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розроблення вимог для зберігання тваринних екскрементів у місцях їх утворення;</w:t>
      </w:r>
    </w:p>
    <w:p w14:paraId="39FCBF02"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встановлення обов’язків щодо розроблення планів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тваринними екскрементами залежно від кількості тварин, що перебувають на утриманні;</w:t>
      </w:r>
    </w:p>
    <w:p w14:paraId="3038873E"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встановлення вимог щодо екологічно безпечного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тваринними екскрементами, починаючи з його найбільших утворювачів.</w:t>
      </w:r>
      <w:r w:rsidRPr="00BA11F2">
        <w:rPr>
          <w:rFonts w:eastAsia="Times New Roman" w:cs="Times New Roman"/>
          <w:szCs w:val="24"/>
          <w:shd w:val="clear" w:color="auto" w:fill="FFFFFF"/>
          <w:lang w:val="ru-RU" w:eastAsia="ru-RU"/>
        </w:rPr>
        <w:t xml:space="preserve"> </w:t>
      </w:r>
    </w:p>
    <w:p w14:paraId="03A9355C"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 xml:space="preserve">загальна концентрація твердих речовин у тваринних екскрементах головний показник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ним. </w:t>
      </w:r>
      <w:r w:rsidRPr="00BA11F2">
        <w:rPr>
          <w:rFonts w:eastAsia="Times New Roman" w:cs="Times New Roman"/>
          <w:szCs w:val="24"/>
          <w:lang w:eastAsia="ru-RU"/>
        </w:rPr>
        <w:t>Тваринні екскременти можна класифікувати як тверді, напівтверді або рідкі залежно від вмісту твердих речовин</w:t>
      </w:r>
      <w:r w:rsidRPr="00BA11F2">
        <w:rPr>
          <w:rFonts w:eastAsia="Times New Roman" w:cs="Times New Roman"/>
          <w:szCs w:val="24"/>
          <w:shd w:val="clear" w:color="auto" w:fill="FFFFFF"/>
          <w:lang w:eastAsia="ru-RU"/>
        </w:rPr>
        <w:t>;</w:t>
      </w:r>
    </w:p>
    <w:p w14:paraId="0D70CA1D"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проведення інвентаризації поточного стану зі зберігання тваринних екскрементів та розроблення для аграрного сектору плану використання добрив отриманих шляхом перероблення тваринних екскрементів</w:t>
      </w:r>
      <w:r w:rsidRPr="00BA11F2">
        <w:rPr>
          <w:rFonts w:eastAsia="Times New Roman" w:cs="Times New Roman"/>
          <w:szCs w:val="24"/>
          <w:shd w:val="clear" w:color="auto" w:fill="FFFFFF"/>
          <w:lang w:val="ru-RU" w:eastAsia="ru-RU"/>
        </w:rPr>
        <w:t>;</w:t>
      </w:r>
    </w:p>
    <w:p w14:paraId="3B067D26" w14:textId="77777777" w:rsidR="006135D9" w:rsidRPr="00BA11F2"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розроблення вимог щодо зберігання тваринних екскрементів на фермерських господарствах, а також буде встановлена максимальна кількість голів худоби, за якої власники фермерських господарств будуть зобов’язані розробляти плани використання добрив отриманих з тваринних екскрементів. Ці вимоги впроваджуватимуться та застосовуватись починаю з найбільших фермерських господарств; </w:t>
      </w:r>
    </w:p>
    <w:p w14:paraId="02FBE0A4" w14:textId="77777777" w:rsidR="006135D9" w:rsidRPr="00BC61D7" w:rsidRDefault="006135D9" w:rsidP="003466DC">
      <w:pPr>
        <w:numPr>
          <w:ilvl w:val="0"/>
          <w:numId w:val="30"/>
        </w:numPr>
        <w:tabs>
          <w:tab w:val="clear" w:pos="284"/>
          <w:tab w:val="clear" w:pos="1985"/>
          <w:tab w:val="left" w:pos="1134"/>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екологічно безпечний спосіб зберігання тваринних екскрементів та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ним повинен покращитись до 2025 року;</w:t>
      </w:r>
    </w:p>
    <w:p w14:paraId="13E5B225" w14:textId="77777777" w:rsidR="006135D9" w:rsidRPr="00BC61D7" w:rsidRDefault="006135D9" w:rsidP="003466DC">
      <w:pPr>
        <w:numPr>
          <w:ilvl w:val="0"/>
          <w:numId w:val="47"/>
        </w:numPr>
        <w:tabs>
          <w:tab w:val="clear" w:pos="284"/>
          <w:tab w:val="clear" w:pos="1985"/>
        </w:tabs>
        <w:spacing w:before="60" w:after="60" w:line="240" w:lineRule="auto"/>
        <w:rPr>
          <w:rFonts w:eastAsia="Times New Roman" w:cs="Times New Roman"/>
          <w:szCs w:val="24"/>
          <w:shd w:val="clear" w:color="auto" w:fill="FFFFFF"/>
          <w:lang w:eastAsia="ru-RU"/>
        </w:rPr>
      </w:pPr>
      <w:bookmarkStart w:id="89" w:name="_Toc487909761"/>
      <w:r w:rsidRPr="00BA11F2">
        <w:rPr>
          <w:rFonts w:eastAsia="Times New Roman" w:cs="Times New Roman"/>
          <w:szCs w:val="24"/>
          <w:shd w:val="clear" w:color="auto" w:fill="FFFFFF"/>
          <w:lang w:eastAsia="ru-RU"/>
        </w:rPr>
        <w:t>Перероблення тваринних екскрементів</w:t>
      </w:r>
      <w:r w:rsidRPr="00BC61D7">
        <w:rPr>
          <w:rFonts w:eastAsia="Times New Roman" w:cs="Times New Roman"/>
          <w:szCs w:val="24"/>
          <w:shd w:val="clear" w:color="auto" w:fill="FFFFFF"/>
          <w:lang w:eastAsia="ru-RU"/>
        </w:rPr>
        <w:t>:</w:t>
      </w:r>
      <w:bookmarkEnd w:id="89"/>
    </w:p>
    <w:p w14:paraId="6DF0029E" w14:textId="77777777" w:rsidR="006135D9" w:rsidRPr="00BC61D7"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eastAsia="ru-RU"/>
        </w:rPr>
      </w:pPr>
      <w:r w:rsidRPr="00BA11F2">
        <w:rPr>
          <w:rFonts w:eastAsia="Times New Roman" w:cs="Times New Roman"/>
          <w:szCs w:val="24"/>
          <w:shd w:val="clear" w:color="auto" w:fill="FFFFFF"/>
          <w:lang w:eastAsia="ru-RU"/>
        </w:rPr>
        <w:t>розроблення нормативно-правової бази щодо внесення добрив від тваринних екскрементів до ґрунту, включаючи вимоги до їх якісного складу, норми споживання для різних культур, періоди і методи використання, методи контролю якості</w:t>
      </w:r>
      <w:r>
        <w:rPr>
          <w:rFonts w:eastAsia="Times New Roman" w:cs="Times New Roman"/>
          <w:szCs w:val="24"/>
          <w:shd w:val="clear" w:color="auto" w:fill="FFFFFF"/>
          <w:lang w:eastAsia="ru-RU"/>
        </w:rPr>
        <w:t xml:space="preserve"> ґрунтів; </w:t>
      </w:r>
    </w:p>
    <w:p w14:paraId="2BA15BB0"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lang w:eastAsia="ru-RU"/>
        </w:rPr>
        <w:t>впровадження сучасних технологій та поступова заміна обладнання, що використовується для цієї мети;</w:t>
      </w:r>
    </w:p>
    <w:p w14:paraId="6847452E"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lang w:eastAsia="ru-RU"/>
        </w:rPr>
        <w:t>організація збирання надлишку тваринних екскрементів в місцях їх утворення з перерозподілом у місця, де відсутні добрива отримані з тваринних екскрементів, або до підприємств з виробництва компосту та анаеробного розкладення;</w:t>
      </w:r>
    </w:p>
    <w:p w14:paraId="1135D22D" w14:textId="77777777" w:rsidR="006135D9" w:rsidRPr="00BA11F2" w:rsidRDefault="006135D9" w:rsidP="003466DC">
      <w:pPr>
        <w:numPr>
          <w:ilvl w:val="0"/>
          <w:numId w:val="30"/>
        </w:numPr>
        <w:tabs>
          <w:tab w:val="clear" w:pos="284"/>
          <w:tab w:val="clear" w:pos="1985"/>
        </w:tabs>
        <w:spacing w:before="60" w:after="60" w:line="240" w:lineRule="auto"/>
        <w:ind w:left="1134"/>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val="ru-RU" w:eastAsia="ru-RU"/>
        </w:rPr>
        <w:t xml:space="preserve"> </w:t>
      </w:r>
      <w:r w:rsidRPr="00BA11F2">
        <w:rPr>
          <w:rFonts w:eastAsia="Times New Roman" w:cs="Times New Roman"/>
          <w:szCs w:val="24"/>
          <w:shd w:val="clear" w:color="auto" w:fill="FFFFFF"/>
          <w:lang w:eastAsia="ru-RU"/>
        </w:rPr>
        <w:t xml:space="preserve">розроблення механізмів стимулювання використання тваринних екскрементів як сировини для компосту чи </w:t>
      </w:r>
      <w:r w:rsidRPr="00BA11F2">
        <w:rPr>
          <w:rFonts w:eastAsia="Times New Roman" w:cs="Times New Roman"/>
          <w:szCs w:val="24"/>
          <w:lang w:eastAsia="ru-RU"/>
        </w:rPr>
        <w:t>анаеробного розкладення</w:t>
      </w:r>
      <w:r w:rsidRPr="00BA11F2">
        <w:rPr>
          <w:rFonts w:eastAsia="Times New Roman" w:cs="Times New Roman"/>
          <w:szCs w:val="24"/>
          <w:shd w:val="clear" w:color="auto" w:fill="FFFFFF"/>
          <w:lang w:eastAsia="ru-RU"/>
        </w:rPr>
        <w:t>, у випадках коли внесення добрив отриманих від тваринних екскрементів до ґрунту є неможливим та/ або неприйнятним</w:t>
      </w:r>
      <w:r w:rsidRPr="00BA11F2">
        <w:rPr>
          <w:rFonts w:eastAsia="Times New Roman" w:cs="Times New Roman"/>
          <w:szCs w:val="24"/>
          <w:shd w:val="clear" w:color="auto" w:fill="FFFFFF"/>
          <w:lang w:val="ru-RU" w:eastAsia="ru-RU"/>
        </w:rPr>
        <w:t>.</w:t>
      </w:r>
    </w:p>
    <w:p w14:paraId="58CCC15E" w14:textId="77777777" w:rsidR="006135D9" w:rsidRPr="00BA11F2" w:rsidRDefault="006135D9" w:rsidP="003466DC">
      <w:pPr>
        <w:numPr>
          <w:ilvl w:val="0"/>
          <w:numId w:val="29"/>
        </w:numPr>
        <w:tabs>
          <w:tab w:val="clear" w:pos="284"/>
          <w:tab w:val="clear" w:pos="1985"/>
        </w:tabs>
        <w:spacing w:before="60" w:after="60" w:line="240" w:lineRule="auto"/>
        <w:rPr>
          <w:rFonts w:eastAsia="Times New Roman" w:cs="Times New Roman"/>
          <w:szCs w:val="24"/>
          <w:lang w:val="ru-RU" w:eastAsia="ru-RU"/>
        </w:rPr>
      </w:pPr>
      <w:bookmarkStart w:id="90" w:name="_Toc487909764"/>
      <w:r w:rsidRPr="00BA11F2">
        <w:rPr>
          <w:rFonts w:eastAsia="Times New Roman" w:cs="Times New Roman"/>
          <w:szCs w:val="24"/>
          <w:lang w:eastAsia="ru-RU"/>
        </w:rPr>
        <w:t xml:space="preserve">Розроблення методологічних рекомендацій та керівництв щодо </w:t>
      </w:r>
      <w:r>
        <w:rPr>
          <w:rFonts w:eastAsia="Times New Roman" w:cs="Times New Roman"/>
          <w:szCs w:val="24"/>
          <w:lang w:eastAsia="ru-RU"/>
        </w:rPr>
        <w:t>управління</w:t>
      </w:r>
      <w:r w:rsidRPr="00BA11F2">
        <w:rPr>
          <w:rFonts w:eastAsia="Times New Roman" w:cs="Times New Roman"/>
          <w:szCs w:val="24"/>
          <w:lang w:eastAsia="ru-RU"/>
        </w:rPr>
        <w:t xml:space="preserve"> з сільськогосподарськими відходами орієнтованих на усі зацікавлені сторони:  центральні і місцеві органи влади, органи місцевого самоврядування, суб’єкти господарювання, що утворюють, переробляють та видаляють відходи сільського господарства, сільськогосподарські підприємства, громадськість тощо</w:t>
      </w:r>
      <w:bookmarkEnd w:id="90"/>
      <w:r w:rsidRPr="00BA11F2">
        <w:rPr>
          <w:rFonts w:eastAsia="Times New Roman" w:cs="Times New Roman"/>
          <w:szCs w:val="24"/>
          <w:lang w:eastAsia="ru-RU"/>
        </w:rPr>
        <w:t>.</w:t>
      </w:r>
    </w:p>
    <w:p w14:paraId="422315C1" w14:textId="77777777" w:rsidR="006135D9" w:rsidRPr="00BA11F2" w:rsidRDefault="006135D9" w:rsidP="003466DC">
      <w:pPr>
        <w:numPr>
          <w:ilvl w:val="0"/>
          <w:numId w:val="29"/>
        </w:numPr>
        <w:tabs>
          <w:tab w:val="clear" w:pos="284"/>
          <w:tab w:val="clear" w:pos="1985"/>
        </w:tabs>
        <w:spacing w:before="60" w:after="60" w:line="240" w:lineRule="auto"/>
        <w:rPr>
          <w:rFonts w:eastAsia="Times New Roman" w:cs="Times New Roman"/>
          <w:szCs w:val="24"/>
          <w:lang w:val="en-US" w:eastAsia="ru-RU"/>
        </w:rPr>
      </w:pPr>
      <w:r w:rsidRPr="00BA11F2">
        <w:rPr>
          <w:rFonts w:eastAsia="Times New Roman" w:cs="Times New Roman"/>
          <w:szCs w:val="24"/>
          <w:lang w:eastAsia="ru-RU"/>
        </w:rPr>
        <w:t>Підвищення обізнаності зацікавлених сторін:</w:t>
      </w:r>
    </w:p>
    <w:p w14:paraId="57066873" w14:textId="77777777" w:rsidR="006135D9" w:rsidRPr="00BA11F2" w:rsidRDefault="006135D9" w:rsidP="003466DC">
      <w:pPr>
        <w:numPr>
          <w:ilvl w:val="0"/>
          <w:numId w:val="48"/>
        </w:numPr>
        <w:tabs>
          <w:tab w:val="clear" w:pos="284"/>
          <w:tab w:val="clear" w:pos="1985"/>
        </w:tabs>
        <w:spacing w:before="60" w:after="60" w:line="240" w:lineRule="auto"/>
        <w:rPr>
          <w:rFonts w:eastAsia="Times New Roman" w:cs="Times New Roman"/>
          <w:szCs w:val="24"/>
          <w:shd w:val="clear" w:color="auto" w:fill="FFFFFF"/>
          <w:lang w:val="en-US" w:eastAsia="ru-RU"/>
        </w:rPr>
      </w:pPr>
      <w:r w:rsidRPr="00BA11F2">
        <w:rPr>
          <w:rFonts w:eastAsia="Times New Roman" w:cs="Times New Roman"/>
          <w:szCs w:val="24"/>
          <w:shd w:val="clear" w:color="auto" w:fill="FFFFFF"/>
          <w:lang w:eastAsia="ru-RU"/>
        </w:rPr>
        <w:t>проведення інформаційних кампаній з метою підвищення обізнаності;</w:t>
      </w:r>
    </w:p>
    <w:p w14:paraId="2BE1EDBA" w14:textId="77777777" w:rsidR="006135D9" w:rsidRPr="00BA11F2" w:rsidRDefault="006135D9" w:rsidP="003466DC">
      <w:pPr>
        <w:numPr>
          <w:ilvl w:val="0"/>
          <w:numId w:val="48"/>
        </w:numPr>
        <w:tabs>
          <w:tab w:val="clear" w:pos="284"/>
          <w:tab w:val="clear" w:pos="1985"/>
        </w:tabs>
        <w:spacing w:before="60" w:after="60" w:line="240" w:lineRule="auto"/>
        <w:rPr>
          <w:rFonts w:eastAsia="Times New Roman" w:cs="Times New Roman"/>
          <w:szCs w:val="24"/>
          <w:shd w:val="clear" w:color="auto" w:fill="FFFFFF"/>
          <w:lang w:val="en-US" w:eastAsia="ru-RU"/>
        </w:rPr>
      </w:pPr>
      <w:r w:rsidRPr="00BA11F2">
        <w:rPr>
          <w:rFonts w:eastAsia="Times New Roman" w:cs="Times New Roman"/>
          <w:szCs w:val="24"/>
          <w:shd w:val="clear" w:color="auto" w:fill="FFFFFF"/>
          <w:lang w:eastAsia="ru-RU"/>
        </w:rPr>
        <w:t xml:space="preserve">впровадження програм інформування громадськості та програм консультацій з метою уточнення нормативних вимог щодо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відходами сільського господарства, реалізація переваг мінімізації об’ємів утворення  відходів; </w:t>
      </w:r>
    </w:p>
    <w:p w14:paraId="1569CC45" w14:textId="77777777" w:rsidR="006135D9" w:rsidRPr="00AD58CE" w:rsidRDefault="006135D9" w:rsidP="003466DC">
      <w:pPr>
        <w:numPr>
          <w:ilvl w:val="0"/>
          <w:numId w:val="48"/>
        </w:numPr>
        <w:tabs>
          <w:tab w:val="clear" w:pos="284"/>
          <w:tab w:val="clear" w:pos="1985"/>
        </w:tabs>
        <w:spacing w:before="60" w:after="60" w:line="240" w:lineRule="auto"/>
        <w:rPr>
          <w:rFonts w:eastAsia="Times New Roman" w:cs="Times New Roman"/>
          <w:szCs w:val="24"/>
          <w:shd w:val="clear" w:color="auto" w:fill="FFFFFF"/>
          <w:lang w:val="ru-RU" w:eastAsia="ru-RU"/>
        </w:rPr>
      </w:pPr>
      <w:r w:rsidRPr="00BA11F2">
        <w:rPr>
          <w:rFonts w:eastAsia="Times New Roman" w:cs="Times New Roman"/>
          <w:szCs w:val="24"/>
          <w:shd w:val="clear" w:color="auto" w:fill="FFFFFF"/>
          <w:lang w:eastAsia="ru-RU"/>
        </w:rPr>
        <w:t xml:space="preserve">забезпечення екологічно безпечного </w:t>
      </w:r>
      <w:r>
        <w:rPr>
          <w:rFonts w:eastAsia="Times New Roman" w:cs="Times New Roman"/>
          <w:szCs w:val="24"/>
          <w:shd w:val="clear" w:color="auto" w:fill="FFFFFF"/>
          <w:lang w:eastAsia="ru-RU"/>
        </w:rPr>
        <w:t>управління</w:t>
      </w:r>
      <w:r w:rsidRPr="00BA11F2">
        <w:rPr>
          <w:rFonts w:eastAsia="Times New Roman" w:cs="Times New Roman"/>
          <w:szCs w:val="24"/>
          <w:shd w:val="clear" w:color="auto" w:fill="FFFFFF"/>
          <w:lang w:eastAsia="ru-RU"/>
        </w:rPr>
        <w:t xml:space="preserve"> з сільськогосподарськими відходами, а також використання для цього кращих практик. </w:t>
      </w:r>
    </w:p>
    <w:p w14:paraId="319DB3BD" w14:textId="77777777" w:rsidR="00C52AED" w:rsidRPr="00F724CB" w:rsidRDefault="00C52AED" w:rsidP="00E66924">
      <w:pPr>
        <w:pStyle w:val="30"/>
        <w:rPr>
          <w:lang w:eastAsia="uk-UA"/>
        </w:rPr>
      </w:pPr>
      <w:bookmarkStart w:id="91" w:name="_Toc149851534"/>
      <w:bookmarkStart w:id="92" w:name="_Toc151583280"/>
      <w:r w:rsidRPr="00F724CB">
        <w:rPr>
          <w:lang w:eastAsia="uk-UA"/>
        </w:rPr>
        <w:t>Реалізація Програми</w:t>
      </w:r>
      <w:bookmarkEnd w:id="91"/>
      <w:bookmarkEnd w:id="92"/>
      <w:r w:rsidRPr="00F724CB">
        <w:rPr>
          <w:lang w:eastAsia="uk-UA"/>
        </w:rPr>
        <w:t xml:space="preserve"> </w:t>
      </w:r>
    </w:p>
    <w:p w14:paraId="0A05184E" w14:textId="77777777" w:rsidR="00C52AED" w:rsidRPr="00F724CB" w:rsidRDefault="00C52AED" w:rsidP="00E66924">
      <w:pPr>
        <w:pStyle w:val="Heading4boldRED"/>
        <w:rPr>
          <w:lang w:eastAsia="uk-UA"/>
        </w:rPr>
      </w:pPr>
      <w:bookmarkStart w:id="93" w:name="_Toc149851535"/>
      <w:r w:rsidRPr="00F724CB">
        <w:rPr>
          <w:lang w:eastAsia="uk-UA"/>
        </w:rPr>
        <w:t>Інформаційні кампанії</w:t>
      </w:r>
      <w:bookmarkEnd w:id="93"/>
    </w:p>
    <w:p w14:paraId="0082161F" w14:textId="77777777" w:rsidR="00C52AED" w:rsidRPr="00A411C6" w:rsidRDefault="00C52AED" w:rsidP="00C52AED">
      <w:pPr>
        <w:rPr>
          <w:lang w:eastAsia="uk-UA"/>
        </w:rPr>
      </w:pPr>
      <w:r w:rsidRPr="00A411C6">
        <w:rPr>
          <w:lang w:eastAsia="uk-UA"/>
        </w:rPr>
        <w:t xml:space="preserve">Успішне впровадження заходів з оброблення побутових відходів, що біологічно розкладаються, пов’язано з проведенням інформаційних кампаній серед населення. Інформаційна кампанія щодо запобігання утворенню відходів та підвищення чистоти побутових відходів, що біологічно розкладаються має бути універсальною в ЗМІ та використовувати всі можливі комунікаційні стратегії, в тому числі: </w:t>
      </w:r>
    </w:p>
    <w:p w14:paraId="19975611" w14:textId="77777777" w:rsidR="00C52AED" w:rsidRPr="00F724CB" w:rsidRDefault="00C52AED" w:rsidP="003466DC">
      <w:pPr>
        <w:pStyle w:val="a1"/>
        <w:numPr>
          <w:ilvl w:val="0"/>
          <w:numId w:val="50"/>
        </w:numPr>
        <w:rPr>
          <w:lang w:eastAsia="uk-UA"/>
        </w:rPr>
      </w:pPr>
      <w:r w:rsidRPr="00F724CB">
        <w:rPr>
          <w:lang w:eastAsia="uk-UA"/>
        </w:rPr>
        <w:t>Брошури для кожного домогосподарства з інформацією про:</w:t>
      </w:r>
    </w:p>
    <w:p w14:paraId="5DCD837F" w14:textId="77777777" w:rsidR="00C52AED" w:rsidRPr="00F724CB" w:rsidRDefault="00C52AED" w:rsidP="00C52AED">
      <w:pPr>
        <w:pStyle w:val="BulletRED"/>
        <w:ind w:left="924" w:hanging="357"/>
        <w:rPr>
          <w:lang w:eastAsia="uk-UA"/>
        </w:rPr>
      </w:pPr>
      <w:r w:rsidRPr="00F724CB">
        <w:rPr>
          <w:lang w:eastAsia="uk-UA"/>
        </w:rPr>
        <w:t>необхідність роздільного збирання відходів, що біологічно розкладаються;</w:t>
      </w:r>
    </w:p>
    <w:p w14:paraId="303A82C1" w14:textId="77777777" w:rsidR="00C52AED" w:rsidRPr="00F724CB" w:rsidRDefault="00C52AED" w:rsidP="00C52AED">
      <w:pPr>
        <w:pStyle w:val="BulletRED"/>
        <w:ind w:left="924" w:hanging="357"/>
        <w:rPr>
          <w:lang w:eastAsia="uk-UA"/>
        </w:rPr>
      </w:pPr>
      <w:r w:rsidRPr="00F724CB">
        <w:rPr>
          <w:lang w:eastAsia="uk-UA"/>
        </w:rPr>
        <w:t>детальний перелік відходів, що біологічно розкладаються, які можна збирати;</w:t>
      </w:r>
    </w:p>
    <w:p w14:paraId="4FB6FF94" w14:textId="77777777" w:rsidR="00C52AED" w:rsidRPr="00F724CB" w:rsidRDefault="00C52AED" w:rsidP="00C52AED">
      <w:pPr>
        <w:pStyle w:val="BulletRED"/>
        <w:ind w:left="924" w:hanging="357"/>
        <w:rPr>
          <w:lang w:eastAsia="uk-UA"/>
        </w:rPr>
      </w:pPr>
      <w:r w:rsidRPr="00F724CB">
        <w:rPr>
          <w:lang w:eastAsia="uk-UA"/>
        </w:rPr>
        <w:t>детальний перелік відходів, які не можна викидати в контейнер для біовідходів;</w:t>
      </w:r>
    </w:p>
    <w:p w14:paraId="3A77A5F6" w14:textId="77777777" w:rsidR="00C52AED" w:rsidRPr="00F724CB" w:rsidRDefault="00C52AED" w:rsidP="00C52AED">
      <w:pPr>
        <w:pStyle w:val="BulletRED"/>
        <w:ind w:left="924" w:hanging="357"/>
        <w:rPr>
          <w:lang w:eastAsia="uk-UA"/>
        </w:rPr>
      </w:pPr>
      <w:r w:rsidRPr="00F724CB">
        <w:rPr>
          <w:lang w:eastAsia="uk-UA"/>
        </w:rPr>
        <w:t>методи збирання відходів, що біологічно розкладаються у домівках, наприклад розміщення відходів в паперових, а не поліетиленових пакетах тощо);</w:t>
      </w:r>
    </w:p>
    <w:p w14:paraId="1B269600" w14:textId="77777777" w:rsidR="00C52AED" w:rsidRPr="00F724CB" w:rsidRDefault="00C52AED" w:rsidP="00C52AED">
      <w:pPr>
        <w:pStyle w:val="a1"/>
        <w:rPr>
          <w:lang w:eastAsia="uk-UA"/>
        </w:rPr>
      </w:pPr>
      <w:r w:rsidRPr="00F724CB">
        <w:rPr>
          <w:lang w:eastAsia="uk-UA"/>
        </w:rPr>
        <w:t>Повторні репортажі на телебаченні, радіо, в газетах;</w:t>
      </w:r>
    </w:p>
    <w:p w14:paraId="32554A5A" w14:textId="77777777" w:rsidR="00C52AED" w:rsidRPr="00F724CB" w:rsidRDefault="00C52AED" w:rsidP="00C52AED">
      <w:pPr>
        <w:pStyle w:val="a1"/>
        <w:rPr>
          <w:lang w:eastAsia="uk-UA"/>
        </w:rPr>
      </w:pPr>
      <w:r w:rsidRPr="00F724CB">
        <w:rPr>
          <w:lang w:eastAsia="uk-UA"/>
        </w:rPr>
        <w:t>Навчальні матеріали, в т.ч. і через ігри в школах (діти навчають своїх батьки);</w:t>
      </w:r>
    </w:p>
    <w:p w14:paraId="0D123C0F" w14:textId="77777777" w:rsidR="00C52AED" w:rsidRPr="00F724CB" w:rsidRDefault="00C52AED" w:rsidP="00C52AED">
      <w:pPr>
        <w:pStyle w:val="a1"/>
        <w:rPr>
          <w:lang w:eastAsia="uk-UA"/>
        </w:rPr>
      </w:pPr>
      <w:r w:rsidRPr="00F724CB">
        <w:rPr>
          <w:lang w:eastAsia="uk-UA"/>
        </w:rPr>
        <w:t>Індивідуальні відвідування кожного домогосподарства, щоб показати, що ОМС зацікавлений у впровадженні системи. Домашні візити можуть здійснювати не тільки працівники ОМС та компанії, що займається збором відходів, а також неурядовими організаціями, шкільні гуртки тощо.</w:t>
      </w:r>
    </w:p>
    <w:p w14:paraId="0F96CB5E" w14:textId="77777777" w:rsidR="00C52AED" w:rsidRPr="00F724CB" w:rsidRDefault="00C52AED" w:rsidP="00C52AED">
      <w:pPr>
        <w:rPr>
          <w:color w:val="202124"/>
          <w:lang w:eastAsia="uk-UA"/>
        </w:rPr>
      </w:pPr>
    </w:p>
    <w:p w14:paraId="2704864E" w14:textId="77777777" w:rsidR="00C52AED" w:rsidRPr="00F724CB" w:rsidRDefault="00C52AED" w:rsidP="00E66924">
      <w:pPr>
        <w:pStyle w:val="Heading4boldRED"/>
        <w:rPr>
          <w:lang w:eastAsia="uk-UA"/>
        </w:rPr>
      </w:pPr>
      <w:bookmarkStart w:id="94" w:name="_Toc149851536"/>
      <w:r w:rsidRPr="00F724CB">
        <w:rPr>
          <w:lang w:eastAsia="uk-UA"/>
        </w:rPr>
        <w:t>Регіональні плани управління відходами</w:t>
      </w:r>
      <w:bookmarkEnd w:id="94"/>
    </w:p>
    <w:p w14:paraId="73A117CE" w14:textId="754C44B2" w:rsidR="00C52AED" w:rsidRPr="00A411C6" w:rsidRDefault="00C52AED" w:rsidP="00C52AED">
      <w:pPr>
        <w:rPr>
          <w:lang w:eastAsia="uk-UA"/>
        </w:rPr>
      </w:pPr>
      <w:r w:rsidRPr="00A411C6">
        <w:rPr>
          <w:lang w:eastAsia="uk-UA"/>
        </w:rPr>
        <w:t>Відповідно до Національного плану управління відходами розробляються регіональні та місцеві плани управління відходами.</w:t>
      </w:r>
    </w:p>
    <w:p w14:paraId="061B1FE4" w14:textId="77777777" w:rsidR="00C52AED" w:rsidRPr="00A411C6" w:rsidRDefault="00C52AED" w:rsidP="00C52AED">
      <w:pPr>
        <w:rPr>
          <w:rFonts w:eastAsia="Calibri"/>
        </w:rPr>
      </w:pPr>
      <w:r w:rsidRPr="00A411C6">
        <w:rPr>
          <w:rFonts w:eastAsia="Calibri"/>
        </w:rPr>
        <w:t>У проєктах регіональних планів було заплановано більше 110 установок та ділянок для компостування.</w:t>
      </w:r>
    </w:p>
    <w:p w14:paraId="59A33097" w14:textId="77777777" w:rsidR="00C52AED" w:rsidRPr="00A411C6" w:rsidRDefault="00C52AED" w:rsidP="00C52AED">
      <w:pPr>
        <w:rPr>
          <w:rFonts w:eastAsia="Calibri"/>
        </w:rPr>
      </w:pPr>
      <w:r w:rsidRPr="00A411C6">
        <w:rPr>
          <w:rFonts w:eastAsia="Calibri"/>
        </w:rPr>
        <w:t>У НПУВ пропонується включити будівництво об’єктів для компостування відходів рік в територіальних громадах або їх об’єднаннях з чисельністю населення від 100 тис. мешканців із середньою оптимальною потужністю 5 тис. готового компосту на рік у складі комплексів механіко-біологічного оброблення відходів або регіональних центрів роздільного збирання відходів. Такий підхід суттєво скорить процес їх проєктування та будівництва, оскільки зникне потреба в процедурах відведення земельних ділянок та розробки і погодження проєктної документації, а також суттєво скоротяться логістичні та експлуатаційні витрати. Позитивний досвід такого проєкту є у м. Львові, де площадка компостування відходів розміщена на території комплексу МБО.</w:t>
      </w:r>
    </w:p>
    <w:p w14:paraId="648BE4A0" w14:textId="09F45E2C" w:rsidR="00C52AED" w:rsidRPr="00A411C6" w:rsidRDefault="00C52AED" w:rsidP="00C52AED">
      <w:pPr>
        <w:rPr>
          <w:rFonts w:eastAsia="Calibri"/>
        </w:rPr>
      </w:pPr>
      <w:r w:rsidRPr="00A411C6">
        <w:rPr>
          <w:rFonts w:eastAsia="Calibri"/>
        </w:rPr>
        <w:t>Операції компостування можуть застосовуватися центрами приймання/збирання відходів для оброблення окремо зібраних зелених відходів (садові відходи з домогосподарств, догляду за парками та садами). Компостування зелених відходів може здійснюватися на відкритому повітрі, оскільки запах біологічного оброблення цього матеріалу є мінімальним.</w:t>
      </w:r>
    </w:p>
    <w:p w14:paraId="65CEAACF" w14:textId="77777777" w:rsidR="00C52AED" w:rsidRPr="00A411C6" w:rsidRDefault="00C52AED" w:rsidP="00C52AED">
      <w:pPr>
        <w:rPr>
          <w:lang w:eastAsia="uk-UA"/>
        </w:rPr>
      </w:pPr>
    </w:p>
    <w:p w14:paraId="447BBB7D" w14:textId="77777777" w:rsidR="00C52AED" w:rsidRPr="00F724CB" w:rsidRDefault="00C52AED" w:rsidP="00E66924">
      <w:pPr>
        <w:pStyle w:val="Heading4boldRED"/>
        <w:rPr>
          <w:lang w:eastAsia="uk-UA"/>
        </w:rPr>
      </w:pPr>
      <w:bookmarkStart w:id="95" w:name="_Toc149851537"/>
      <w:r w:rsidRPr="00F724CB">
        <w:rPr>
          <w:lang w:eastAsia="uk-UA"/>
        </w:rPr>
        <w:t>Формування ринку компосту</w:t>
      </w:r>
      <w:bookmarkEnd w:id="95"/>
    </w:p>
    <w:p w14:paraId="59D480A7" w14:textId="7ECD7B0C" w:rsidR="00C52AED" w:rsidRPr="00A411C6" w:rsidRDefault="00C52AED" w:rsidP="00C52AED">
      <w:pPr>
        <w:rPr>
          <w:lang w:eastAsia="uk-UA"/>
        </w:rPr>
      </w:pPr>
      <w:r w:rsidRPr="00A411C6">
        <w:rPr>
          <w:lang w:eastAsia="uk-UA"/>
        </w:rPr>
        <w:t xml:space="preserve">У процесі компостування та анаеробного оброблення окремо зібраних </w:t>
      </w:r>
      <w:r w:rsidR="00F1370B" w:rsidRPr="00F1370B">
        <w:rPr>
          <w:lang w:eastAsia="uk-UA"/>
        </w:rPr>
        <w:t>побутових відходів</w:t>
      </w:r>
      <w:r w:rsidRPr="00A411C6">
        <w:rPr>
          <w:lang w:eastAsia="uk-UA"/>
        </w:rPr>
        <w:t>, отримувати компост, мульчу та інші покращувачі ґрунту із застосуванням у сільському господарстві, квітникарстві, будівництві доріг, меліорації та ін. У випадку, якщо вони не використовуються, вони стають «стабілізованими відходами», які згодом відправляються на полігон. Необхідно створити ринок збуту продукції для поліпшення ґрунту залежно від їх виду та якості. Одна з умов створення такого  ринку - визначення критеріїв якості та стандартизація продукції.</w:t>
      </w:r>
    </w:p>
    <w:p w14:paraId="48586321" w14:textId="77777777" w:rsidR="00C52AED" w:rsidRPr="00A411C6" w:rsidRDefault="00C52AED" w:rsidP="00C52AED">
      <w:pPr>
        <w:rPr>
          <w:lang w:eastAsia="uk-UA"/>
        </w:rPr>
      </w:pPr>
      <w:r w:rsidRPr="00A411C6">
        <w:rPr>
          <w:lang w:eastAsia="uk-UA"/>
        </w:rPr>
        <w:t>Оскільки в Україні використання компосту та інших ґрунтопокращувачів  не є широко поширеною практикою, ці продукти мають популяризуватись серед потенційних користувачів – фермерів, ландшафтно-будівельних компаній, операторів звалищ, дорожні служби тощо.</w:t>
      </w:r>
    </w:p>
    <w:p w14:paraId="01DFC860" w14:textId="77777777" w:rsidR="00C52AED" w:rsidRPr="00A411C6" w:rsidRDefault="00C52AED" w:rsidP="00C52AED">
      <w:pPr>
        <w:rPr>
          <w:lang w:eastAsia="uk-UA"/>
        </w:rPr>
      </w:pPr>
      <w:r w:rsidRPr="00A411C6">
        <w:rPr>
          <w:lang w:eastAsia="uk-UA"/>
        </w:rPr>
        <w:t>Ринкові ціни на компост безпосередньо пов'язані з громадськими настроями та довірою споживачів до товару. Як правило, компост для сільськогосподарського використання продається за символічною ціною (наприклад, 1 євро/тонна), і ціна може навіть включати транспорт. Добре розрекламований компост із визнаною якістю в деяких країнах з ЄС може досягати 14 євро/т.</w:t>
      </w:r>
    </w:p>
    <w:p w14:paraId="0116C71F" w14:textId="77777777" w:rsidR="00C52AED" w:rsidRPr="00A411C6" w:rsidRDefault="00C52AED" w:rsidP="00C52AED">
      <w:pPr>
        <w:rPr>
          <w:lang w:eastAsia="uk-UA"/>
        </w:rPr>
      </w:pPr>
      <w:r w:rsidRPr="00A411C6">
        <w:rPr>
          <w:lang w:eastAsia="uk-UA"/>
        </w:rPr>
        <w:t>Заходи щодо розробки механізмів підтримки розвитку ринку компосту:</w:t>
      </w:r>
    </w:p>
    <w:p w14:paraId="61E1A53D" w14:textId="2BF67CFD" w:rsidR="00C52AED" w:rsidRPr="00EF1443" w:rsidRDefault="001D0632" w:rsidP="003466DC">
      <w:pPr>
        <w:pStyle w:val="a1"/>
        <w:numPr>
          <w:ilvl w:val="0"/>
          <w:numId w:val="49"/>
        </w:numPr>
        <w:rPr>
          <w:color w:val="auto"/>
          <w:lang w:eastAsia="uk-UA"/>
        </w:rPr>
      </w:pPr>
      <w:r>
        <w:rPr>
          <w:color w:val="auto"/>
          <w:lang w:eastAsia="uk-UA"/>
        </w:rPr>
        <w:t>Р</w:t>
      </w:r>
      <w:r w:rsidR="00C52AED" w:rsidRPr="00EF1443">
        <w:rPr>
          <w:color w:val="auto"/>
          <w:lang w:eastAsia="uk-UA"/>
        </w:rPr>
        <w:t>озроблення стандартів компосту та компосто-подібного продукту;</w:t>
      </w:r>
    </w:p>
    <w:p w14:paraId="288CEFBF" w14:textId="77777777" w:rsidR="00C52AED" w:rsidRPr="008931A7" w:rsidRDefault="00C52AED" w:rsidP="00C52AED">
      <w:pPr>
        <w:pStyle w:val="a1"/>
        <w:numPr>
          <w:ilvl w:val="0"/>
          <w:numId w:val="11"/>
        </w:numPr>
        <w:rPr>
          <w:color w:val="auto"/>
          <w:lang w:eastAsia="uk-UA"/>
        </w:rPr>
      </w:pPr>
      <w:r w:rsidRPr="008931A7">
        <w:rPr>
          <w:color w:val="auto"/>
          <w:lang w:eastAsia="uk-UA"/>
        </w:rPr>
        <w:t>Впровадження систем забезпечення якості – сертифікація процесу - від походження вхідних матеріалів, через усі етапи оброблення до кінцевого продукту.</w:t>
      </w:r>
    </w:p>
    <w:p w14:paraId="41D629E9" w14:textId="77777777" w:rsidR="00C52AED" w:rsidRPr="008931A7" w:rsidRDefault="00C52AED" w:rsidP="00C52AED">
      <w:pPr>
        <w:pStyle w:val="a1"/>
        <w:numPr>
          <w:ilvl w:val="0"/>
          <w:numId w:val="11"/>
        </w:numPr>
        <w:rPr>
          <w:color w:val="auto"/>
          <w:lang w:eastAsia="uk-UA"/>
        </w:rPr>
      </w:pPr>
      <w:r w:rsidRPr="008931A7">
        <w:rPr>
          <w:color w:val="auto"/>
          <w:lang w:eastAsia="uk-UA"/>
        </w:rPr>
        <w:t>Нанесення символу якості – на продукцію, що відповідає певним стандартам, шляхом прикріплення етикеток, які чітко вказують, що продукт виготовлено компанією.</w:t>
      </w:r>
    </w:p>
    <w:p w14:paraId="501299F9" w14:textId="77777777" w:rsidR="00C52AED" w:rsidRPr="008931A7" w:rsidRDefault="00C52AED" w:rsidP="00C52AED">
      <w:pPr>
        <w:pStyle w:val="a1"/>
        <w:numPr>
          <w:ilvl w:val="0"/>
          <w:numId w:val="11"/>
        </w:numPr>
        <w:rPr>
          <w:color w:val="auto"/>
          <w:lang w:eastAsia="uk-UA"/>
        </w:rPr>
      </w:pPr>
      <w:r w:rsidRPr="008931A7">
        <w:rPr>
          <w:color w:val="auto"/>
          <w:lang w:eastAsia="uk-UA"/>
        </w:rPr>
        <w:t>Інформаційні кампанії з популяризації виробництва та використання компосту. Його слід популяризувати серед потенційних користувачів – фермерів, ландшафтно-будівельних компаній, операторів полігонів, дорожніх служб та ін.</w:t>
      </w:r>
    </w:p>
    <w:p w14:paraId="74A9C67C" w14:textId="77777777" w:rsidR="00C52AED" w:rsidRPr="008931A7" w:rsidRDefault="00C52AED" w:rsidP="00C52AED">
      <w:pPr>
        <w:rPr>
          <w:lang w:eastAsia="uk-UA"/>
        </w:rPr>
      </w:pPr>
    </w:p>
    <w:p w14:paraId="190CE8C0" w14:textId="77777777" w:rsidR="00E56EE5" w:rsidRPr="00F724CB" w:rsidRDefault="00E56EE5" w:rsidP="00E66924">
      <w:pPr>
        <w:pStyle w:val="30"/>
        <w:rPr>
          <w:lang w:eastAsia="uk-UA"/>
        </w:rPr>
      </w:pPr>
      <w:bookmarkStart w:id="96" w:name="_Toc149851538"/>
      <w:bookmarkStart w:id="97" w:name="_Toc151583281"/>
      <w:r w:rsidRPr="00F724CB">
        <w:rPr>
          <w:lang w:eastAsia="uk-UA"/>
        </w:rPr>
        <w:t>Витрати на реалізацію національної програми</w:t>
      </w:r>
      <w:bookmarkEnd w:id="96"/>
      <w:bookmarkEnd w:id="97"/>
    </w:p>
    <w:p w14:paraId="1F49CAF8" w14:textId="77777777" w:rsidR="00E56EE5" w:rsidRPr="00F724CB" w:rsidRDefault="00E56EE5" w:rsidP="00E66924">
      <w:pPr>
        <w:pStyle w:val="Heading4boldRED"/>
        <w:rPr>
          <w:lang w:eastAsia="uk-UA"/>
        </w:rPr>
      </w:pPr>
      <w:bookmarkStart w:id="98" w:name="_Toc149851539"/>
      <w:r w:rsidRPr="00F724CB">
        <w:rPr>
          <w:lang w:eastAsia="uk-UA"/>
        </w:rPr>
        <w:t>Фінанс</w:t>
      </w:r>
      <w:r>
        <w:rPr>
          <w:lang w:val="bg-BG" w:eastAsia="uk-UA"/>
        </w:rPr>
        <w:t>ування</w:t>
      </w:r>
      <w:bookmarkEnd w:id="98"/>
      <w:r w:rsidRPr="00F724CB" w:rsidDel="00F238ED">
        <w:rPr>
          <w:lang w:eastAsia="uk-UA"/>
        </w:rPr>
        <w:t xml:space="preserve"> </w:t>
      </w:r>
    </w:p>
    <w:p w14:paraId="6CFC4EED" w14:textId="77777777" w:rsidR="00E56EE5" w:rsidRPr="00A411C6" w:rsidRDefault="00E56EE5" w:rsidP="00E56EE5">
      <w:pPr>
        <w:rPr>
          <w:lang w:eastAsia="uk-UA"/>
        </w:rPr>
      </w:pPr>
      <w:r w:rsidRPr="00A411C6">
        <w:rPr>
          <w:lang w:eastAsia="uk-UA"/>
        </w:rPr>
        <w:t>Визначено необхідні заходи для реалізації Національної програми та пов'язані з цим інвестиції та адміністративні витрати як у державному, так і в приватному секторі. У Плані заходів у кожному із заходів вказані можливі джерела фінансування.</w:t>
      </w:r>
    </w:p>
    <w:p w14:paraId="266CDB33" w14:textId="77777777" w:rsidR="00E56EE5" w:rsidRPr="00A411C6" w:rsidRDefault="00E56EE5" w:rsidP="00E56EE5">
      <w:pPr>
        <w:rPr>
          <w:lang w:eastAsia="uk-UA"/>
        </w:rPr>
      </w:pPr>
      <w:r w:rsidRPr="00A411C6">
        <w:rPr>
          <w:lang w:eastAsia="uk-UA"/>
        </w:rPr>
        <w:t>Досягнення поставлених у  програмі  цілей потребує значних фінансових ресурсів. Очікувані джерела фінансування:</w:t>
      </w:r>
    </w:p>
    <w:p w14:paraId="39220C2B" w14:textId="77777777" w:rsidR="00E56EE5" w:rsidRPr="00F724CB" w:rsidRDefault="00E56EE5" w:rsidP="00E56EE5">
      <w:pPr>
        <w:pStyle w:val="BulletRED"/>
        <w:ind w:left="924" w:hanging="357"/>
        <w:rPr>
          <w:lang w:eastAsia="uk-UA"/>
        </w:rPr>
      </w:pPr>
      <w:r w:rsidRPr="00F724CB">
        <w:rPr>
          <w:lang w:eastAsia="uk-UA"/>
        </w:rPr>
        <w:t>Загальнодержавна програма;</w:t>
      </w:r>
    </w:p>
    <w:p w14:paraId="6A39A2E3" w14:textId="77777777" w:rsidR="00E56EE5" w:rsidRPr="00F724CB" w:rsidRDefault="00E56EE5" w:rsidP="00E56EE5">
      <w:pPr>
        <w:pStyle w:val="BulletRED"/>
        <w:ind w:left="924" w:hanging="357"/>
        <w:rPr>
          <w:lang w:eastAsia="uk-UA"/>
        </w:rPr>
      </w:pPr>
      <w:r w:rsidRPr="00F724CB">
        <w:rPr>
          <w:lang w:eastAsia="uk-UA"/>
        </w:rPr>
        <w:t>Державний бюджет;</w:t>
      </w:r>
    </w:p>
    <w:p w14:paraId="402AD36E" w14:textId="77777777" w:rsidR="00E56EE5" w:rsidRPr="00F724CB" w:rsidRDefault="00E56EE5" w:rsidP="00E56EE5">
      <w:pPr>
        <w:pStyle w:val="BulletRED"/>
        <w:ind w:left="924" w:hanging="357"/>
        <w:rPr>
          <w:lang w:eastAsia="uk-UA"/>
        </w:rPr>
      </w:pPr>
      <w:r w:rsidRPr="00F724CB">
        <w:rPr>
          <w:lang w:eastAsia="uk-UA"/>
        </w:rPr>
        <w:t>Регіональні (обласні) бюджети;</w:t>
      </w:r>
    </w:p>
    <w:p w14:paraId="45FDEB31" w14:textId="77777777" w:rsidR="00E56EE5" w:rsidRPr="00F724CB" w:rsidRDefault="00E56EE5" w:rsidP="00E56EE5">
      <w:pPr>
        <w:pStyle w:val="BulletRED"/>
        <w:ind w:left="924" w:hanging="357"/>
        <w:rPr>
          <w:lang w:eastAsia="uk-UA"/>
        </w:rPr>
      </w:pPr>
      <w:r w:rsidRPr="00F724CB">
        <w:rPr>
          <w:lang w:eastAsia="uk-UA"/>
        </w:rPr>
        <w:t>Місцеві бюджети;</w:t>
      </w:r>
    </w:p>
    <w:p w14:paraId="39349489" w14:textId="77777777" w:rsidR="00E56EE5" w:rsidRPr="00F724CB" w:rsidRDefault="00E56EE5" w:rsidP="00E56EE5">
      <w:pPr>
        <w:pStyle w:val="BulletRED"/>
        <w:ind w:left="924" w:hanging="357"/>
        <w:rPr>
          <w:lang w:eastAsia="uk-UA"/>
        </w:rPr>
      </w:pPr>
      <w:r w:rsidRPr="00F724CB">
        <w:rPr>
          <w:lang w:eastAsia="uk-UA"/>
        </w:rPr>
        <w:t>Державно-приватне партнерство тощо.</w:t>
      </w:r>
    </w:p>
    <w:p w14:paraId="31332E87" w14:textId="77777777" w:rsidR="00E56EE5" w:rsidRPr="00804579" w:rsidRDefault="00E56EE5" w:rsidP="00E56EE5">
      <w:pPr>
        <w:pStyle w:val="BulletRED"/>
        <w:ind w:left="924" w:hanging="357"/>
        <w:rPr>
          <w:lang w:eastAsia="uk-UA"/>
        </w:rPr>
      </w:pPr>
      <w:r w:rsidRPr="00953E9A">
        <w:rPr>
          <w:lang w:eastAsia="uk-UA"/>
        </w:rPr>
        <w:t>Фонд охорони навколишнього природного середовища тощо</w:t>
      </w:r>
      <w:r>
        <w:rPr>
          <w:lang w:eastAsia="uk-UA"/>
        </w:rPr>
        <w:t>.</w:t>
      </w:r>
    </w:p>
    <w:p w14:paraId="138CB3F5" w14:textId="77777777" w:rsidR="00E56EE5" w:rsidRPr="00537860" w:rsidRDefault="00E56EE5" w:rsidP="00E56EE5">
      <w:pPr>
        <w:rPr>
          <w:lang w:eastAsia="uk-UA"/>
        </w:rPr>
      </w:pPr>
      <w:r w:rsidRPr="00537860">
        <w:rPr>
          <w:lang w:eastAsia="uk-UA"/>
        </w:rPr>
        <w:t>Будівництво компостних потужностей фінансуватиметься з держбюджету, бюджетів громад, приватних інвестицій, державно-приватного партнерства тощо.</w:t>
      </w:r>
    </w:p>
    <w:p w14:paraId="17E0795A" w14:textId="77777777" w:rsidR="00E56EE5" w:rsidRPr="00537860" w:rsidRDefault="00E56EE5" w:rsidP="00E56EE5">
      <w:pPr>
        <w:rPr>
          <w:lang w:eastAsia="uk-UA"/>
        </w:rPr>
      </w:pPr>
      <w:r w:rsidRPr="00537860">
        <w:rPr>
          <w:lang w:eastAsia="uk-UA"/>
        </w:rPr>
        <w:t xml:space="preserve">При реалізації проєктів в рамках державно-приватного партнерства початкові державні витрати зменшуються шляхом їх передачі </w:t>
      </w:r>
      <w:r w:rsidRPr="00651AB3">
        <w:rPr>
          <w:lang w:eastAsia="uk-UA"/>
        </w:rPr>
        <w:t>до приватних</w:t>
      </w:r>
      <w:r w:rsidRPr="00537860">
        <w:rPr>
          <w:lang w:eastAsia="uk-UA"/>
        </w:rPr>
        <w:t xml:space="preserve"> компаній у формі концесій тощо. Визначені установки для механіко-біологічного оброблення змішаних побутових відходів, установки анаеробного оброблення, а також для компостування в закритих реакторах може бути інвестиційним інтересом для реалізації на засадах державно-приватного партнерства.</w:t>
      </w:r>
    </w:p>
    <w:p w14:paraId="199C1FC7" w14:textId="77777777" w:rsidR="00E56EE5" w:rsidRPr="00537860" w:rsidRDefault="00E56EE5" w:rsidP="00E56EE5">
      <w:pPr>
        <w:rPr>
          <w:lang w:eastAsia="uk-UA"/>
        </w:rPr>
      </w:pPr>
      <w:r w:rsidRPr="00537860">
        <w:rPr>
          <w:lang w:eastAsia="uk-UA"/>
        </w:rPr>
        <w:t xml:space="preserve">Наприклад, гній і осад стічних вод, які знаходяться поза сферою дії Національної програми можна обробляти разом із побутовими відходами, що біологічно розкладаються анаеробним бродінням з метою отримання біогазу. Фінансування установок для очищення мулу та гною може здійснюватися за рахунок коштів розвитку сільського господарства та сільських районів, а також кредитної лінії на енергоефективність та відновлювані джерела енергії. </w:t>
      </w:r>
    </w:p>
    <w:p w14:paraId="157BE3F8" w14:textId="77777777" w:rsidR="00E56EE5" w:rsidRPr="00537860" w:rsidRDefault="00E56EE5" w:rsidP="00E56EE5">
      <w:pPr>
        <w:rPr>
          <w:lang w:eastAsia="uk-UA"/>
        </w:rPr>
      </w:pPr>
      <w:r w:rsidRPr="00537860">
        <w:rPr>
          <w:lang w:eastAsia="uk-UA"/>
        </w:rPr>
        <w:t>Непакувальний папір і картон можна збирати разом із відходами з упаковки, з урахуванням відповідних кількостей, на основі добровільних угод між громадами та організаціями розширеної відповідальності виробника. Системи збирання газетного паперу можуть бути організовані видавцями, за принципом «відповідальності за виробником».</w:t>
      </w:r>
    </w:p>
    <w:p w14:paraId="4CE5704B" w14:textId="77777777" w:rsidR="00E56EE5" w:rsidRPr="00537860" w:rsidRDefault="00E56EE5" w:rsidP="00E56EE5">
      <w:pPr>
        <w:rPr>
          <w:lang w:eastAsia="uk-UA"/>
        </w:rPr>
      </w:pPr>
    </w:p>
    <w:p w14:paraId="1911C6DD" w14:textId="77777777" w:rsidR="00E56EE5" w:rsidRPr="00F724CB" w:rsidRDefault="00E56EE5" w:rsidP="00E66924">
      <w:pPr>
        <w:pStyle w:val="Heading4boldRED"/>
        <w:rPr>
          <w:lang w:eastAsia="uk-UA"/>
        </w:rPr>
      </w:pPr>
      <w:bookmarkStart w:id="99" w:name="_Toc149851540"/>
      <w:r w:rsidRPr="00F724CB">
        <w:rPr>
          <w:lang w:eastAsia="uk-UA"/>
        </w:rPr>
        <w:t>Вартість оброблення побутових відходів, що біологічно розкладаються</w:t>
      </w:r>
      <w:bookmarkEnd w:id="99"/>
    </w:p>
    <w:p w14:paraId="5A06C90D" w14:textId="77777777" w:rsidR="00E56EE5" w:rsidRPr="00537860" w:rsidRDefault="00E56EE5" w:rsidP="00E56EE5">
      <w:pPr>
        <w:rPr>
          <w:lang w:eastAsia="uk-UA"/>
        </w:rPr>
      </w:pPr>
      <w:r w:rsidRPr="00537860">
        <w:rPr>
          <w:lang w:eastAsia="uk-UA"/>
        </w:rPr>
        <w:t>З економічної та соціальної точки зору, зменшення відходів, що біологічно розкладаються направлених на видалення має бути здійснено з найменшими можливими витратами.</w:t>
      </w:r>
    </w:p>
    <w:p w14:paraId="515BDD79" w14:textId="77777777" w:rsidR="00E56EE5" w:rsidRPr="00537860" w:rsidRDefault="00E56EE5" w:rsidP="00E56EE5">
      <w:pPr>
        <w:rPr>
          <w:lang w:eastAsia="uk-UA"/>
        </w:rPr>
      </w:pPr>
      <w:r w:rsidRPr="00537860">
        <w:rPr>
          <w:lang w:eastAsia="uk-UA"/>
        </w:rPr>
        <w:t>Реалізація різноманітних заходів з оброблення ВБР пов’язана з різними витратами (включаючи капітальні) на зменшення 1 т побутових відходів.</w:t>
      </w:r>
    </w:p>
    <w:p w14:paraId="4C4C5E6C" w14:textId="77777777" w:rsidR="00E56EE5" w:rsidRPr="00537860" w:rsidRDefault="00E56EE5" w:rsidP="00E56EE5">
      <w:pPr>
        <w:rPr>
          <w:lang w:eastAsia="uk-UA"/>
        </w:rPr>
      </w:pPr>
      <w:r w:rsidRPr="00537860">
        <w:rPr>
          <w:lang w:eastAsia="uk-UA"/>
        </w:rPr>
        <w:t>Прогноз фінансових витрат на переробку 1 тонни відходів, що біологічно розкладаються:</w:t>
      </w:r>
    </w:p>
    <w:p w14:paraId="28CF2B8E" w14:textId="77777777" w:rsidR="00E56EE5" w:rsidRPr="00F724CB" w:rsidRDefault="00E56EE5" w:rsidP="00E56EE5">
      <w:pPr>
        <w:pStyle w:val="BulletRED"/>
        <w:ind w:left="924" w:hanging="357"/>
        <w:rPr>
          <w:lang w:eastAsia="uk-UA"/>
        </w:rPr>
      </w:pPr>
      <w:r w:rsidRPr="00F724CB">
        <w:rPr>
          <w:lang w:eastAsia="uk-UA"/>
        </w:rPr>
        <w:t>компостування «зелених» відходів, збирання - до 50 Євро/т;</w:t>
      </w:r>
    </w:p>
    <w:p w14:paraId="2EC6A3A7" w14:textId="2A25B2AE" w:rsidR="00E56EE5" w:rsidRPr="00F724CB" w:rsidRDefault="00E56EE5" w:rsidP="00E56EE5">
      <w:pPr>
        <w:pStyle w:val="BulletRED"/>
        <w:ind w:left="924" w:hanging="357"/>
        <w:rPr>
          <w:lang w:eastAsia="uk-UA"/>
        </w:rPr>
      </w:pPr>
      <w:r w:rsidRPr="00F724CB">
        <w:rPr>
          <w:lang w:eastAsia="uk-UA"/>
        </w:rPr>
        <w:t xml:space="preserve">роздільне збирання </w:t>
      </w:r>
      <w:r w:rsidR="00F1370B" w:rsidRPr="00F1370B">
        <w:rPr>
          <w:lang w:eastAsia="uk-UA"/>
        </w:rPr>
        <w:t>побутових відходів</w:t>
      </w:r>
      <w:r w:rsidRPr="00F724CB">
        <w:rPr>
          <w:lang w:eastAsia="uk-UA"/>
        </w:rPr>
        <w:t xml:space="preserve"> з подальшим компостуванням – від 35 до 75 Євро/т;</w:t>
      </w:r>
    </w:p>
    <w:p w14:paraId="158118EF" w14:textId="77777777" w:rsidR="00E56EE5" w:rsidRPr="00F724CB" w:rsidRDefault="00E56EE5" w:rsidP="00E56EE5">
      <w:pPr>
        <w:pStyle w:val="BulletRED"/>
        <w:ind w:left="924" w:hanging="357"/>
        <w:rPr>
          <w:lang w:eastAsia="uk-UA"/>
        </w:rPr>
      </w:pPr>
      <w:r w:rsidRPr="00F724CB">
        <w:rPr>
          <w:lang w:eastAsia="uk-UA"/>
        </w:rPr>
        <w:t>роздільне збирання біовідходів з наступним анаеробним розкладанням - від 80 до 125 Євро/тонна;</w:t>
      </w:r>
    </w:p>
    <w:p w14:paraId="14A64572" w14:textId="03447C9B" w:rsidR="00E56EE5" w:rsidRPr="00F724CB" w:rsidRDefault="00E56EE5" w:rsidP="00E56EE5">
      <w:pPr>
        <w:pStyle w:val="BulletRED"/>
        <w:ind w:left="924" w:hanging="357"/>
        <w:rPr>
          <w:lang w:eastAsia="uk-UA"/>
        </w:rPr>
      </w:pPr>
      <w:r w:rsidRPr="00F724CB">
        <w:rPr>
          <w:lang w:eastAsia="uk-UA"/>
        </w:rPr>
        <w:t xml:space="preserve">МБО або спалювання змішаних </w:t>
      </w:r>
      <w:r w:rsidR="00F1370B" w:rsidRPr="00F1370B">
        <w:rPr>
          <w:lang w:eastAsia="uk-UA"/>
        </w:rPr>
        <w:t>побутових відходів</w:t>
      </w:r>
      <w:r w:rsidRPr="00F724CB">
        <w:rPr>
          <w:lang w:eastAsia="uk-UA"/>
        </w:rPr>
        <w:t xml:space="preserve"> - понад 90 євро/т;</w:t>
      </w:r>
    </w:p>
    <w:p w14:paraId="49C2D7DE" w14:textId="77777777" w:rsidR="00E56EE5" w:rsidRPr="00F724CB" w:rsidRDefault="00E56EE5" w:rsidP="00E56EE5">
      <w:pPr>
        <w:pStyle w:val="BulletRED"/>
        <w:ind w:left="924" w:hanging="357"/>
        <w:rPr>
          <w:lang w:eastAsia="uk-UA"/>
        </w:rPr>
      </w:pPr>
      <w:r w:rsidRPr="00F724CB">
        <w:rPr>
          <w:lang w:eastAsia="uk-UA"/>
        </w:rPr>
        <w:t>Видалення змішаних відходів: 55 євро/тонна.</w:t>
      </w:r>
    </w:p>
    <w:p w14:paraId="52E034FE" w14:textId="77777777" w:rsidR="00E56EE5" w:rsidRPr="00537860" w:rsidRDefault="00E56EE5" w:rsidP="00E56EE5">
      <w:pPr>
        <w:rPr>
          <w:lang w:eastAsia="uk-UA"/>
        </w:rPr>
      </w:pPr>
      <w:r w:rsidRPr="00537860">
        <w:rPr>
          <w:lang w:eastAsia="uk-UA"/>
        </w:rPr>
        <w:t>Інвестиційні витрати на заводи з оброблення відходів, що біологічно розкладаються відрізняються залежно від типу установки, технології, яка використовується для зменшення викидів і вимог до якості продукції.</w:t>
      </w:r>
    </w:p>
    <w:p w14:paraId="7E5DC9D7" w14:textId="77777777" w:rsidR="00E56EE5" w:rsidRPr="00537860" w:rsidRDefault="00E56EE5" w:rsidP="00E56EE5">
      <w:pPr>
        <w:rPr>
          <w:lang w:eastAsia="uk-UA"/>
        </w:rPr>
      </w:pPr>
      <w:r w:rsidRPr="00537860">
        <w:rPr>
          <w:lang w:eastAsia="uk-UA"/>
        </w:rPr>
        <w:t>Оцінка фінансових витрат на будівництво компостних установок:</w:t>
      </w:r>
    </w:p>
    <w:p w14:paraId="6F152793" w14:textId="77777777" w:rsidR="00E56EE5" w:rsidRPr="00F724CB" w:rsidRDefault="00E56EE5" w:rsidP="00E56EE5">
      <w:pPr>
        <w:pStyle w:val="BulletRED"/>
        <w:ind w:left="924" w:hanging="357"/>
        <w:rPr>
          <w:lang w:eastAsia="uk-UA"/>
        </w:rPr>
      </w:pPr>
      <w:r w:rsidRPr="00F724CB">
        <w:rPr>
          <w:lang w:eastAsia="uk-UA"/>
        </w:rPr>
        <w:t>60-150 Євро/тонна для компостування у відкритих приміщеннях;</w:t>
      </w:r>
    </w:p>
    <w:p w14:paraId="199C36F4" w14:textId="77777777" w:rsidR="00E56EE5" w:rsidRPr="00F724CB" w:rsidRDefault="00E56EE5" w:rsidP="00E56EE5">
      <w:pPr>
        <w:pStyle w:val="BulletRED"/>
        <w:ind w:left="924" w:hanging="357"/>
        <w:rPr>
          <w:lang w:eastAsia="uk-UA"/>
        </w:rPr>
      </w:pPr>
      <w:r w:rsidRPr="00F724CB">
        <w:rPr>
          <w:lang w:eastAsia="uk-UA"/>
        </w:rPr>
        <w:t>350-500 Євро/тонна в закритих приміщеннях і розкладання у великих установках.</w:t>
      </w:r>
    </w:p>
    <w:p w14:paraId="18F4EE8F" w14:textId="77777777" w:rsidR="00E56EE5" w:rsidRPr="00F724CB" w:rsidRDefault="00E56EE5" w:rsidP="00E56EE5">
      <w:pPr>
        <w:rPr>
          <w:color w:val="202124"/>
          <w:lang w:eastAsia="uk-UA"/>
        </w:rPr>
      </w:pPr>
    </w:p>
    <w:p w14:paraId="0770951B" w14:textId="77777777" w:rsidR="00E56EE5" w:rsidRPr="00F724CB" w:rsidRDefault="00E56EE5" w:rsidP="00E66924">
      <w:pPr>
        <w:pStyle w:val="Heading4boldRED"/>
        <w:rPr>
          <w:lang w:eastAsia="uk-UA"/>
        </w:rPr>
      </w:pPr>
      <w:bookmarkStart w:id="100" w:name="_Toc149851541"/>
      <w:r w:rsidRPr="00F724CB">
        <w:rPr>
          <w:lang w:eastAsia="uk-UA"/>
        </w:rPr>
        <w:t>Витрати населення</w:t>
      </w:r>
      <w:bookmarkEnd w:id="100"/>
    </w:p>
    <w:p w14:paraId="0514E648" w14:textId="6ECEBBAD" w:rsidR="00E56EE5" w:rsidRPr="00A411C6" w:rsidRDefault="00E56EE5" w:rsidP="00E56EE5">
      <w:pPr>
        <w:rPr>
          <w:lang w:eastAsia="uk-UA"/>
        </w:rPr>
      </w:pPr>
      <w:r w:rsidRPr="00A411C6">
        <w:rPr>
          <w:lang w:eastAsia="uk-UA"/>
        </w:rPr>
        <w:t xml:space="preserve">Витрати на управління відходами, з метою зменшення </w:t>
      </w:r>
      <w:r w:rsidR="00341039" w:rsidRPr="00341039">
        <w:rPr>
          <w:lang w:eastAsia="uk-UA"/>
        </w:rPr>
        <w:t>обсягів</w:t>
      </w:r>
      <w:r w:rsidRPr="00A411C6">
        <w:rPr>
          <w:lang w:eastAsia="uk-UA"/>
        </w:rPr>
        <w:t xml:space="preserve"> </w:t>
      </w:r>
      <w:r w:rsidR="00F1370B" w:rsidRPr="00F1370B">
        <w:rPr>
          <w:lang w:eastAsia="uk-UA"/>
        </w:rPr>
        <w:t>побутових відходів</w:t>
      </w:r>
      <w:r w:rsidRPr="00A411C6">
        <w:rPr>
          <w:lang w:eastAsia="uk-UA"/>
        </w:rPr>
        <w:t>, вивезення на полігон зростуть в межах доступності надання послуг з управління відходами - від 1,5 до 2% доходу сім'ї, згідно з прийнятими міжнародними стандартами.</w:t>
      </w:r>
    </w:p>
    <w:p w14:paraId="0DD317D9" w14:textId="0C02D65C" w:rsidR="00E56EE5" w:rsidRPr="00A411C6" w:rsidRDefault="00E56EE5" w:rsidP="00E56EE5">
      <w:pPr>
        <w:rPr>
          <w:lang w:eastAsia="uk-UA"/>
        </w:rPr>
      </w:pPr>
      <w:r w:rsidRPr="00A411C6">
        <w:rPr>
          <w:lang w:eastAsia="uk-UA"/>
        </w:rPr>
        <w:t xml:space="preserve">При здійсненні заходів з роздільного збирання та оброблення </w:t>
      </w:r>
      <w:r w:rsidR="00F1370B" w:rsidRPr="00F1370B">
        <w:rPr>
          <w:lang w:eastAsia="uk-UA"/>
        </w:rPr>
        <w:t>побутових відходів</w:t>
      </w:r>
      <w:r w:rsidRPr="00A411C6">
        <w:rPr>
          <w:lang w:eastAsia="uk-UA"/>
        </w:rPr>
        <w:t xml:space="preserve"> –буде відпаде необхідність будівництва газоуловлювальних та очисних споруд, а також для збирання та очищення фільтрату, через що експлуатаційні витрати на будівництво та експлуатацію полігонів істотно не зміняться. Система газоуловлювання необхідна незалежно від того, чи є полігон, оскільки з 1 т побутових відходів утворюється від 100 до 300 м³/т біогазу. </w:t>
      </w:r>
    </w:p>
    <w:p w14:paraId="7646A271" w14:textId="63E63A4C" w:rsidR="00E56EE5" w:rsidRPr="00A411C6" w:rsidRDefault="00E56EE5" w:rsidP="00E56EE5">
      <w:pPr>
        <w:rPr>
          <w:lang w:eastAsia="uk-UA"/>
        </w:rPr>
      </w:pPr>
      <w:r w:rsidRPr="00A411C6">
        <w:rPr>
          <w:lang w:eastAsia="uk-UA"/>
        </w:rPr>
        <w:t xml:space="preserve">Отже, зниження витрат, як наслідок зменшення </w:t>
      </w:r>
      <w:r w:rsidR="00341039" w:rsidRPr="00341039">
        <w:rPr>
          <w:lang w:eastAsia="uk-UA"/>
        </w:rPr>
        <w:t>обсягів</w:t>
      </w:r>
      <w:r w:rsidRPr="00A411C6">
        <w:rPr>
          <w:lang w:eastAsia="uk-UA"/>
        </w:rPr>
        <w:t xml:space="preserve"> захоронення відходів, не є достатнім економічним стимулом для впровадження альтернативних заходів щодо оброблення відходів, що біологічно розкладаються.</w:t>
      </w:r>
    </w:p>
    <w:p w14:paraId="0ED2B540" w14:textId="77777777" w:rsidR="00E56EE5" w:rsidRPr="00A411C6" w:rsidRDefault="00E56EE5" w:rsidP="00E56EE5">
      <w:pPr>
        <w:rPr>
          <w:lang w:eastAsia="uk-UA"/>
        </w:rPr>
      </w:pPr>
      <w:r w:rsidRPr="00A411C6">
        <w:rPr>
          <w:lang w:eastAsia="uk-UA"/>
        </w:rPr>
        <w:t>Для обмеження видалення на полігон відходів, що біологічно розкладаються рекомендовано два наступних підходи:</w:t>
      </w:r>
    </w:p>
    <w:p w14:paraId="448016D1" w14:textId="12575C44" w:rsidR="00E56EE5" w:rsidRPr="00B61073" w:rsidRDefault="00E56EE5" w:rsidP="00B61073">
      <w:pPr>
        <w:pStyle w:val="a1"/>
        <w:numPr>
          <w:ilvl w:val="0"/>
          <w:numId w:val="0"/>
        </w:numPr>
        <w:ind w:left="284"/>
        <w:rPr>
          <w:color w:val="auto"/>
          <w:lang w:eastAsia="uk-UA"/>
        </w:rPr>
      </w:pPr>
      <w:r w:rsidRPr="00B61073">
        <w:rPr>
          <w:color w:val="auto"/>
          <w:lang w:eastAsia="uk-UA"/>
        </w:rPr>
        <w:t>Законодавчий – введення заборони на видалення на полігон або обмеження видалення на полігон відходів із загальним вмістом органічного вуглецю вище певного відсотка;</w:t>
      </w:r>
    </w:p>
    <w:p w14:paraId="00F81D1B" w14:textId="60DF9078" w:rsidR="00E56EE5" w:rsidRPr="008931A7" w:rsidRDefault="00E56EE5" w:rsidP="00B61073">
      <w:pPr>
        <w:pStyle w:val="a1"/>
        <w:numPr>
          <w:ilvl w:val="0"/>
          <w:numId w:val="0"/>
        </w:numPr>
        <w:ind w:left="284"/>
        <w:rPr>
          <w:color w:val="auto"/>
          <w:lang w:eastAsia="uk-UA"/>
        </w:rPr>
      </w:pPr>
      <w:r w:rsidRPr="008931A7">
        <w:rPr>
          <w:color w:val="auto"/>
          <w:lang w:eastAsia="uk-UA"/>
        </w:rPr>
        <w:t xml:space="preserve">Економічний – підвищення ціни за захоронення за рахунок запровадження «екологічного податку». Відповідно до діючої практики, зниження ціни від зниження </w:t>
      </w:r>
      <w:r w:rsidR="00D02B10" w:rsidRPr="00D02B10">
        <w:rPr>
          <w:color w:val="auto"/>
          <w:lang w:eastAsia="uk-UA"/>
        </w:rPr>
        <w:t xml:space="preserve">обсягів </w:t>
      </w:r>
      <w:r w:rsidRPr="008931A7">
        <w:rPr>
          <w:color w:val="auto"/>
          <w:lang w:eastAsia="uk-UA"/>
        </w:rPr>
        <w:t xml:space="preserve"> відходів, що видаляються на полігон, становитиме приблизно 10 євро за тонну.</w:t>
      </w:r>
    </w:p>
    <w:p w14:paraId="49814BBB" w14:textId="77777777" w:rsidR="00E56EE5" w:rsidRPr="00A411C6" w:rsidRDefault="00E56EE5" w:rsidP="00E56EE5">
      <w:pPr>
        <w:rPr>
          <w:lang w:eastAsia="uk-UA"/>
        </w:rPr>
      </w:pPr>
      <w:r w:rsidRPr="00A411C6">
        <w:rPr>
          <w:lang w:eastAsia="uk-UA"/>
        </w:rPr>
        <w:t>Варто зазначити, що із запровадженням «екологічного податку» за захоронення відходів економія коштів буде значно більшою.</w:t>
      </w:r>
    </w:p>
    <w:p w14:paraId="0043243F" w14:textId="77777777" w:rsidR="00E56EE5" w:rsidRPr="00A411C6" w:rsidRDefault="00E56EE5" w:rsidP="00E56EE5">
      <w:pPr>
        <w:rPr>
          <w:lang w:eastAsia="uk-UA"/>
        </w:rPr>
      </w:pPr>
    </w:p>
    <w:p w14:paraId="2AD245A0" w14:textId="77777777" w:rsidR="00E56EE5" w:rsidRPr="00F724CB" w:rsidRDefault="00E56EE5" w:rsidP="00E66924">
      <w:pPr>
        <w:pStyle w:val="Heading4boldRED"/>
        <w:rPr>
          <w:lang w:eastAsia="uk-UA"/>
        </w:rPr>
      </w:pPr>
      <w:bookmarkStart w:id="101" w:name="_Toc149851542"/>
      <w:r w:rsidRPr="00F724CB">
        <w:rPr>
          <w:lang w:eastAsia="uk-UA"/>
        </w:rPr>
        <w:t>Економічні інструменти для управління відходами, що біологічно розкладаються</w:t>
      </w:r>
      <w:bookmarkEnd w:id="101"/>
    </w:p>
    <w:p w14:paraId="5FC5E291" w14:textId="41DC8E39" w:rsidR="00E56EE5" w:rsidRPr="00A411C6" w:rsidRDefault="00E56EE5" w:rsidP="00E56EE5">
      <w:pPr>
        <w:rPr>
          <w:lang w:eastAsia="uk-UA"/>
        </w:rPr>
      </w:pPr>
      <w:r w:rsidRPr="00A411C6">
        <w:rPr>
          <w:lang w:eastAsia="uk-UA"/>
        </w:rPr>
        <w:t xml:space="preserve">Один із ефективних інструментів управління відходами, що біологічно розкладаються та зменшення їх </w:t>
      </w:r>
      <w:r w:rsidR="00D02B10" w:rsidRPr="00D02B10">
        <w:rPr>
          <w:lang w:eastAsia="uk-UA"/>
        </w:rPr>
        <w:t>обсягів</w:t>
      </w:r>
      <w:r w:rsidRPr="00A411C6">
        <w:rPr>
          <w:lang w:eastAsia="uk-UA"/>
        </w:rPr>
        <w:t xml:space="preserve">, призначеної для видалення на полігоні, є впровадження додаткового збору або податку, який сплачується за кожну тонну видалених відходів з одного боку та запровадження стимулів для використання отриманого компосту з іншого. Таким чином, це буде стимулювати зменшення </w:t>
      </w:r>
      <w:r w:rsidR="00D02B10" w:rsidRPr="00D02B10">
        <w:rPr>
          <w:lang w:eastAsia="uk-UA"/>
        </w:rPr>
        <w:t>обсягів</w:t>
      </w:r>
      <w:r w:rsidRPr="00A411C6">
        <w:rPr>
          <w:lang w:eastAsia="uk-UA"/>
        </w:rPr>
        <w:t xml:space="preserve"> відходів, що біологічно розкладаються на полігонах та сприяння будівництву потужностей компостування на регіональному та місцевому рівнях.</w:t>
      </w:r>
    </w:p>
    <w:p w14:paraId="4591BBED" w14:textId="77777777" w:rsidR="00E56EE5" w:rsidRPr="00A411C6" w:rsidRDefault="00E56EE5" w:rsidP="00E56EE5">
      <w:pPr>
        <w:rPr>
          <w:lang w:eastAsia="uk-UA"/>
        </w:rPr>
      </w:pPr>
      <w:r w:rsidRPr="00A411C6">
        <w:rPr>
          <w:lang w:eastAsia="uk-UA"/>
        </w:rPr>
        <w:t>Зібрані збори/податки можна використовувати для:</w:t>
      </w:r>
    </w:p>
    <w:p w14:paraId="02E3587B" w14:textId="77777777" w:rsidR="00E56EE5" w:rsidRPr="00F724CB" w:rsidRDefault="00E56EE5" w:rsidP="00E56EE5">
      <w:pPr>
        <w:pStyle w:val="BulletRED"/>
        <w:ind w:left="924" w:hanging="357"/>
        <w:rPr>
          <w:lang w:eastAsia="uk-UA"/>
        </w:rPr>
      </w:pPr>
      <w:r w:rsidRPr="00F724CB">
        <w:rPr>
          <w:lang w:eastAsia="uk-UA"/>
        </w:rPr>
        <w:t>сприяння різним видам діяльності з управління відходами (PR, фінансова підтримка будівництва технічної інфраструктури оброблення, в т.ч. і заздалегідь окремо зібраних матеріалів, що біологічно розкладаються);</w:t>
      </w:r>
    </w:p>
    <w:p w14:paraId="66C610F1" w14:textId="77777777" w:rsidR="00E56EE5" w:rsidRPr="00F724CB" w:rsidRDefault="00E56EE5" w:rsidP="00E56EE5">
      <w:pPr>
        <w:pStyle w:val="BulletRED"/>
        <w:ind w:left="924" w:hanging="357"/>
        <w:rPr>
          <w:lang w:eastAsia="uk-UA"/>
        </w:rPr>
      </w:pPr>
      <w:r w:rsidRPr="00F724CB">
        <w:rPr>
          <w:lang w:eastAsia="uk-UA"/>
        </w:rPr>
        <w:t>рекультивації полігонів та сміттєзвалищ;</w:t>
      </w:r>
    </w:p>
    <w:p w14:paraId="5784D87A" w14:textId="77777777" w:rsidR="00E56EE5" w:rsidRPr="00F724CB" w:rsidRDefault="00E56EE5" w:rsidP="00E56EE5">
      <w:pPr>
        <w:pStyle w:val="BulletRED"/>
        <w:ind w:left="924" w:hanging="357"/>
        <w:rPr>
          <w:lang w:eastAsia="uk-UA"/>
        </w:rPr>
      </w:pPr>
      <w:r w:rsidRPr="00F724CB">
        <w:rPr>
          <w:lang w:eastAsia="uk-UA"/>
        </w:rPr>
        <w:t xml:space="preserve">закриття та післяексплуатаційний догляд за полігонами та сміттєзвалищами - частина екологічного збору за депозит повинна бути зібрана частково та для покриття необхідних витрат після закриття полігонів після вичерпання їх потужностей, у тому числі на період моніторинг (близько 30 років), очищення газу та фільтрату. </w:t>
      </w:r>
    </w:p>
    <w:p w14:paraId="1E719285" w14:textId="77777777" w:rsidR="00E56EE5" w:rsidRPr="00F724CB" w:rsidRDefault="00E56EE5" w:rsidP="00E56EE5">
      <w:pPr>
        <w:pStyle w:val="BulletRED"/>
        <w:ind w:left="924" w:hanging="357"/>
        <w:rPr>
          <w:lang w:eastAsia="uk-UA"/>
        </w:rPr>
      </w:pPr>
      <w:r w:rsidRPr="00F724CB">
        <w:rPr>
          <w:lang w:eastAsia="uk-UA"/>
        </w:rPr>
        <w:t>фінансового стимулювання виробників компосту.</w:t>
      </w:r>
    </w:p>
    <w:p w14:paraId="6F2DD80C" w14:textId="77777777" w:rsidR="003466DC" w:rsidRPr="000002AF" w:rsidRDefault="003466DC" w:rsidP="003466DC">
      <w:pPr>
        <w:rPr>
          <w:color w:val="202124"/>
          <w:lang w:val="ru-RU" w:eastAsia="uk-UA"/>
        </w:rPr>
      </w:pPr>
    </w:p>
    <w:p w14:paraId="4CC630DB" w14:textId="77777777" w:rsidR="003466DC" w:rsidRPr="00C57C77" w:rsidRDefault="003466DC" w:rsidP="00E66924">
      <w:pPr>
        <w:pStyle w:val="30"/>
        <w:rPr>
          <w:lang w:eastAsia="uk-UA"/>
        </w:rPr>
      </w:pPr>
      <w:bookmarkStart w:id="102" w:name="_Toc149851545"/>
      <w:bookmarkStart w:id="103" w:name="_Toc151583282"/>
      <w:r w:rsidRPr="00C57C77">
        <w:rPr>
          <w:lang w:eastAsia="uk-UA"/>
        </w:rPr>
        <w:t>Заходи та показники досягнення Національної програми</w:t>
      </w:r>
      <w:bookmarkEnd w:id="102"/>
      <w:bookmarkEnd w:id="103"/>
    </w:p>
    <w:p w14:paraId="6A4D1BFF" w14:textId="77777777" w:rsidR="003466DC" w:rsidRPr="00EF7393" w:rsidRDefault="003466DC" w:rsidP="003466DC">
      <w:pPr>
        <w:pStyle w:val="ad"/>
        <w:rPr>
          <w:lang w:val="ru-RU" w:eastAsia="uk-UA"/>
        </w:rPr>
      </w:pPr>
      <w:bookmarkStart w:id="104" w:name="_Toc150293107"/>
      <w:r w:rsidRPr="00EF7393">
        <w:rPr>
          <w:lang w:val="ru-RU"/>
        </w:rPr>
        <w:t xml:space="preserve">Таблиця </w:t>
      </w:r>
      <w:r w:rsidRPr="00EF7393">
        <w:fldChar w:fldCharType="begin"/>
      </w:r>
      <w:r w:rsidRPr="00EF7393">
        <w:rPr>
          <w:lang w:val="ru-RU"/>
        </w:rPr>
        <w:instrText xml:space="preserve"> </w:instrText>
      </w:r>
      <w:r w:rsidRPr="00EF7393">
        <w:instrText>SEQ</w:instrText>
      </w:r>
      <w:r w:rsidRPr="00EF7393">
        <w:rPr>
          <w:lang w:val="ru-RU"/>
        </w:rPr>
        <w:instrText xml:space="preserve"> Таблиця \* </w:instrText>
      </w:r>
      <w:r w:rsidRPr="00EF7393">
        <w:instrText>ARABIC</w:instrText>
      </w:r>
      <w:r w:rsidRPr="00EF7393">
        <w:rPr>
          <w:lang w:val="ru-RU"/>
        </w:rPr>
        <w:instrText xml:space="preserve"> </w:instrText>
      </w:r>
      <w:r w:rsidRPr="00EF7393">
        <w:fldChar w:fldCharType="separate"/>
      </w:r>
      <w:r>
        <w:rPr>
          <w:noProof/>
        </w:rPr>
        <w:t>5</w:t>
      </w:r>
      <w:r w:rsidRPr="00EF7393">
        <w:fldChar w:fldCharType="end"/>
      </w:r>
      <w:r w:rsidRPr="00EF7393">
        <w:rPr>
          <w:lang w:val="uk-UA"/>
        </w:rPr>
        <w:t xml:space="preserve">. </w:t>
      </w:r>
      <w:r w:rsidRPr="00EF7393">
        <w:rPr>
          <w:lang w:val="ru-RU" w:eastAsia="uk-UA"/>
        </w:rPr>
        <w:t>Заходи та основні показники досягнення Національної програми</w:t>
      </w:r>
      <w:bookmarkEnd w:id="104"/>
    </w:p>
    <w:tbl>
      <w:tblPr>
        <w:tblStyle w:val="14"/>
        <w:tblW w:w="4966" w:type="pct"/>
        <w:tblLook w:val="04A0" w:firstRow="1" w:lastRow="0" w:firstColumn="1" w:lastColumn="0" w:noHBand="0" w:noVBand="1"/>
      </w:tblPr>
      <w:tblGrid>
        <w:gridCol w:w="692"/>
        <w:gridCol w:w="3101"/>
        <w:gridCol w:w="6095"/>
      </w:tblGrid>
      <w:tr w:rsidR="003466DC" w:rsidRPr="00F724CB" w14:paraId="541471EC" w14:textId="77777777" w:rsidTr="00F17626">
        <w:tc>
          <w:tcPr>
            <w:tcW w:w="350" w:type="pct"/>
          </w:tcPr>
          <w:p w14:paraId="2B37E8B2" w14:textId="77777777" w:rsidR="003466DC" w:rsidRPr="00F724CB" w:rsidRDefault="003466DC" w:rsidP="00257694">
            <w:pPr>
              <w:pStyle w:val="TableParagraph"/>
            </w:pPr>
            <w:r w:rsidRPr="00F724CB">
              <w:t>№</w:t>
            </w:r>
          </w:p>
        </w:tc>
        <w:tc>
          <w:tcPr>
            <w:tcW w:w="1568" w:type="pct"/>
          </w:tcPr>
          <w:p w14:paraId="1AE6AD16" w14:textId="77777777" w:rsidR="003466DC" w:rsidRPr="00F724CB" w:rsidRDefault="003466DC" w:rsidP="00257694">
            <w:pPr>
              <w:pStyle w:val="TableParagraph"/>
            </w:pPr>
            <w:r w:rsidRPr="00F724CB">
              <w:t>ЗАХОДИ</w:t>
            </w:r>
          </w:p>
        </w:tc>
        <w:tc>
          <w:tcPr>
            <w:tcW w:w="3082" w:type="pct"/>
          </w:tcPr>
          <w:p w14:paraId="1E8AF638" w14:textId="77777777" w:rsidR="003466DC" w:rsidRPr="00F724CB" w:rsidRDefault="003466DC" w:rsidP="00257694">
            <w:pPr>
              <w:pStyle w:val="TableParagraph"/>
            </w:pPr>
            <w:r w:rsidRPr="00F724CB">
              <w:t>ОСНОВНІ ПОКАЗНИКИ ДОСЯГНЕННЯ</w:t>
            </w:r>
          </w:p>
        </w:tc>
      </w:tr>
      <w:tr w:rsidR="003466DC" w:rsidRPr="00F724CB" w14:paraId="5BD04572" w14:textId="77777777" w:rsidTr="00F17626">
        <w:tc>
          <w:tcPr>
            <w:tcW w:w="350" w:type="pct"/>
          </w:tcPr>
          <w:p w14:paraId="2F6351B0" w14:textId="77777777" w:rsidR="003466DC" w:rsidRPr="00F724CB" w:rsidRDefault="003466DC" w:rsidP="00257694">
            <w:pPr>
              <w:pStyle w:val="TableParagraph"/>
            </w:pPr>
            <w:r>
              <w:t>1</w:t>
            </w:r>
          </w:p>
        </w:tc>
        <w:tc>
          <w:tcPr>
            <w:tcW w:w="1568" w:type="pct"/>
          </w:tcPr>
          <w:p w14:paraId="3F354E29" w14:textId="1E934366" w:rsidR="003466DC" w:rsidRPr="00F724CB" w:rsidRDefault="003466DC" w:rsidP="00B61073">
            <w:pPr>
              <w:pStyle w:val="TableParagraph"/>
            </w:pPr>
            <w:r w:rsidRPr="00F724CB">
              <w:t>Будівництво відкритих майданчиків для компостування відходів в громадських парках і садах</w:t>
            </w:r>
          </w:p>
        </w:tc>
        <w:tc>
          <w:tcPr>
            <w:tcW w:w="3082" w:type="pct"/>
          </w:tcPr>
          <w:p w14:paraId="7B043DF4" w14:textId="77777777" w:rsidR="003466DC" w:rsidRPr="00F724CB" w:rsidRDefault="003466DC" w:rsidP="00257694">
            <w:pPr>
              <w:pStyle w:val="TableParagraph"/>
            </w:pPr>
            <w:r w:rsidRPr="00F724CB">
              <w:t>- кількість та потужність побудованих відкритих</w:t>
            </w:r>
            <w:r>
              <w:t>;</w:t>
            </w:r>
          </w:p>
          <w:p w14:paraId="6CC9A948" w14:textId="77777777" w:rsidR="003466DC" w:rsidRPr="00F724CB" w:rsidRDefault="003466DC" w:rsidP="00257694">
            <w:pPr>
              <w:pStyle w:val="TableParagraph"/>
            </w:pPr>
            <w:r w:rsidRPr="00F724CB">
              <w:t>майданчиків для компостування відходів в громадських парках і садах</w:t>
            </w:r>
            <w:r>
              <w:t>;</w:t>
            </w:r>
          </w:p>
          <w:p w14:paraId="0F7021E0" w14:textId="77777777" w:rsidR="003466DC" w:rsidRPr="00F724CB" w:rsidRDefault="003466DC" w:rsidP="00257694">
            <w:pPr>
              <w:pStyle w:val="TableParagraph"/>
            </w:pPr>
            <w:r w:rsidRPr="00F724CB">
              <w:t>- кількість оброблених зелених відходів з парків і скверів на ділянках для компостування (т/рік)</w:t>
            </w:r>
            <w:r>
              <w:t>;</w:t>
            </w:r>
          </w:p>
        </w:tc>
      </w:tr>
      <w:tr w:rsidR="003466DC" w:rsidRPr="00F724CB" w14:paraId="431B44C4" w14:textId="77777777" w:rsidTr="00F17626">
        <w:tc>
          <w:tcPr>
            <w:tcW w:w="350" w:type="pct"/>
          </w:tcPr>
          <w:p w14:paraId="600513A8" w14:textId="77777777" w:rsidR="003466DC" w:rsidRPr="00F724CB" w:rsidRDefault="003466DC" w:rsidP="00257694">
            <w:pPr>
              <w:pStyle w:val="TableParagraph"/>
            </w:pPr>
            <w:r>
              <w:t>2</w:t>
            </w:r>
          </w:p>
        </w:tc>
        <w:tc>
          <w:tcPr>
            <w:tcW w:w="1568" w:type="pct"/>
          </w:tcPr>
          <w:p w14:paraId="3DD00DCA" w14:textId="77777777" w:rsidR="003466DC" w:rsidRPr="00F724CB" w:rsidRDefault="003466DC" w:rsidP="00257694">
            <w:pPr>
              <w:pStyle w:val="TableParagraph"/>
            </w:pPr>
            <w:r w:rsidRPr="00F724CB">
              <w:t>Створення та розширення</w:t>
            </w:r>
          </w:p>
          <w:p w14:paraId="71ADDE97" w14:textId="77777777" w:rsidR="003466DC" w:rsidRPr="00F724CB" w:rsidRDefault="003466DC" w:rsidP="00257694">
            <w:pPr>
              <w:pStyle w:val="TableParagraph"/>
            </w:pPr>
            <w:r w:rsidRPr="00F724CB">
              <w:t>системи домашнього компостування біовідходів в районах типу «В» і «С».</w:t>
            </w:r>
          </w:p>
          <w:p w14:paraId="36412963" w14:textId="77777777" w:rsidR="003466DC" w:rsidRPr="00F724CB" w:rsidRDefault="003466DC" w:rsidP="00257694">
            <w:pPr>
              <w:pStyle w:val="TableParagraph"/>
            </w:pPr>
          </w:p>
        </w:tc>
        <w:tc>
          <w:tcPr>
            <w:tcW w:w="3082" w:type="pct"/>
          </w:tcPr>
          <w:p w14:paraId="7CDD8F68" w14:textId="77777777" w:rsidR="003466DC" w:rsidRPr="00F724CB" w:rsidRDefault="003466DC" w:rsidP="00257694">
            <w:pPr>
              <w:pStyle w:val="TableParagraph"/>
            </w:pPr>
            <w:r w:rsidRPr="00F724CB">
              <w:t>- кількість населених пунктів із запровадженими системами для домашнього компостування</w:t>
            </w:r>
            <w:r>
              <w:t>;</w:t>
            </w:r>
          </w:p>
          <w:p w14:paraId="5AD37DD1" w14:textId="77777777" w:rsidR="003466DC" w:rsidRPr="00F724CB" w:rsidRDefault="003466DC" w:rsidP="00257694">
            <w:pPr>
              <w:pStyle w:val="TableParagraph"/>
            </w:pPr>
            <w:r w:rsidRPr="00F724CB">
              <w:t>- кількість домогосподарств, які застосовують домашнє компостування</w:t>
            </w:r>
            <w:r>
              <w:t>;</w:t>
            </w:r>
          </w:p>
          <w:p w14:paraId="7E8EB0A2" w14:textId="77777777" w:rsidR="003466DC" w:rsidRPr="00F724CB" w:rsidRDefault="003466DC" w:rsidP="00257694">
            <w:pPr>
              <w:pStyle w:val="TableParagraph"/>
            </w:pPr>
            <w:r w:rsidRPr="00F724CB">
              <w:t>- кількість утвореного компосту</w:t>
            </w:r>
            <w:r>
              <w:t>;</w:t>
            </w:r>
          </w:p>
        </w:tc>
      </w:tr>
      <w:tr w:rsidR="003466DC" w:rsidRPr="00F724CB" w14:paraId="248720CB" w14:textId="77777777" w:rsidTr="00F17626">
        <w:tc>
          <w:tcPr>
            <w:tcW w:w="350" w:type="pct"/>
          </w:tcPr>
          <w:p w14:paraId="0829EE3F" w14:textId="77777777" w:rsidR="003466DC" w:rsidRPr="00F724CB" w:rsidRDefault="003466DC" w:rsidP="00257694">
            <w:pPr>
              <w:pStyle w:val="TableParagraph"/>
            </w:pPr>
            <w:r>
              <w:t>3</w:t>
            </w:r>
          </w:p>
        </w:tc>
        <w:tc>
          <w:tcPr>
            <w:tcW w:w="1568" w:type="pct"/>
          </w:tcPr>
          <w:p w14:paraId="4BA58E99" w14:textId="77777777" w:rsidR="003466DC" w:rsidRPr="00F724CB" w:rsidRDefault="003466DC" w:rsidP="00257694">
            <w:pPr>
              <w:pStyle w:val="TableParagraph"/>
            </w:pPr>
            <w:r w:rsidRPr="00F724CB">
              <w:t>Типова конструкція системи розрахунків за відходи, що біологічно розкладаються</w:t>
            </w:r>
          </w:p>
          <w:p w14:paraId="295C67C3" w14:textId="77777777" w:rsidR="003466DC" w:rsidRPr="00F724CB" w:rsidRDefault="003466DC" w:rsidP="00257694">
            <w:pPr>
              <w:pStyle w:val="TableParagraph"/>
            </w:pPr>
          </w:p>
        </w:tc>
        <w:tc>
          <w:tcPr>
            <w:tcW w:w="3082" w:type="pct"/>
          </w:tcPr>
          <w:p w14:paraId="5905780F" w14:textId="77777777" w:rsidR="003466DC" w:rsidRPr="00F724CB" w:rsidRDefault="003466DC" w:rsidP="00257694">
            <w:pPr>
              <w:pStyle w:val="TableParagraph"/>
            </w:pPr>
            <w:r w:rsidRPr="00F724CB">
              <w:t>- кількість населених пунктів/торгових закладів системи роздільного збирання біорозкладних відходів</w:t>
            </w:r>
            <w:r>
              <w:t>;</w:t>
            </w:r>
          </w:p>
          <w:p w14:paraId="41DBB795" w14:textId="77777777" w:rsidR="003466DC" w:rsidRPr="00F724CB" w:rsidRDefault="003466DC" w:rsidP="00257694">
            <w:pPr>
              <w:pStyle w:val="TableParagraph"/>
            </w:pPr>
            <w:r w:rsidRPr="00F724CB">
              <w:t>- кількість окремо зібраних біорозкладних речовин відходів (т/рік)</w:t>
            </w:r>
            <w:r>
              <w:t>;</w:t>
            </w:r>
          </w:p>
          <w:p w14:paraId="251EAAB1" w14:textId="77777777" w:rsidR="003466DC" w:rsidRPr="00F724CB" w:rsidRDefault="003466DC" w:rsidP="00257694">
            <w:pPr>
              <w:pStyle w:val="TableParagraph"/>
            </w:pPr>
            <w:r w:rsidRPr="00F724CB">
              <w:t>- кількість і потужність встановлених установок для компостування/анаеробної обробки</w:t>
            </w:r>
            <w:r>
              <w:t>;</w:t>
            </w:r>
          </w:p>
        </w:tc>
      </w:tr>
      <w:tr w:rsidR="003466DC" w:rsidRPr="00F724CB" w14:paraId="2215C51D" w14:textId="77777777" w:rsidTr="00F17626">
        <w:tc>
          <w:tcPr>
            <w:tcW w:w="350" w:type="pct"/>
          </w:tcPr>
          <w:p w14:paraId="6F01D313" w14:textId="77777777" w:rsidR="003466DC" w:rsidRPr="00F724CB" w:rsidRDefault="003466DC" w:rsidP="00257694">
            <w:pPr>
              <w:pStyle w:val="TableParagraph"/>
            </w:pPr>
            <w:r>
              <w:t>4</w:t>
            </w:r>
          </w:p>
        </w:tc>
        <w:tc>
          <w:tcPr>
            <w:tcW w:w="1568" w:type="pct"/>
          </w:tcPr>
          <w:p w14:paraId="340B7D1C" w14:textId="77777777" w:rsidR="003466DC" w:rsidRPr="00F724CB" w:rsidRDefault="003466DC" w:rsidP="00257694">
            <w:pPr>
              <w:pStyle w:val="TableParagraph"/>
            </w:pPr>
            <w:r w:rsidRPr="00F724CB">
              <w:t>Створення передумов для ринку для органічних продуктів управління відходами</w:t>
            </w:r>
          </w:p>
          <w:p w14:paraId="37CB62BB" w14:textId="77777777" w:rsidR="003466DC" w:rsidRPr="00F724CB" w:rsidRDefault="003466DC" w:rsidP="00257694">
            <w:pPr>
              <w:pStyle w:val="TableParagraph"/>
            </w:pPr>
          </w:p>
        </w:tc>
        <w:tc>
          <w:tcPr>
            <w:tcW w:w="3082" w:type="pct"/>
          </w:tcPr>
          <w:p w14:paraId="10976552" w14:textId="77777777" w:rsidR="003466DC" w:rsidRPr="00F724CB" w:rsidRDefault="003466DC" w:rsidP="00257694">
            <w:pPr>
              <w:pStyle w:val="TableParagraph"/>
            </w:pPr>
            <w:r w:rsidRPr="00F724CB">
              <w:t>- кількість проведених інформаційних кампаній</w:t>
            </w:r>
            <w:r>
              <w:t xml:space="preserve"> </w:t>
            </w:r>
            <w:r w:rsidRPr="00F724CB">
              <w:t>якості та застосування компосту;</w:t>
            </w:r>
          </w:p>
          <w:p w14:paraId="1B16B5E9" w14:textId="77777777" w:rsidR="003466DC" w:rsidRPr="00F724CB" w:rsidRDefault="003466DC" w:rsidP="00257694">
            <w:pPr>
              <w:pStyle w:val="TableParagraph"/>
            </w:pPr>
            <w:r w:rsidRPr="00F724CB">
              <w:t>- кількість компосту та ін. ґрунтових підсилювачів, вироблених та випущених на ринок, т/рік</w:t>
            </w:r>
            <w:r>
              <w:t>;</w:t>
            </w:r>
          </w:p>
          <w:p w14:paraId="514D6B2F" w14:textId="77777777" w:rsidR="003466DC" w:rsidRPr="00F724CB" w:rsidRDefault="003466DC" w:rsidP="00257694">
            <w:pPr>
              <w:pStyle w:val="TableParagraph"/>
            </w:pPr>
            <w:r w:rsidRPr="00F724CB">
              <w:t>- кількість проведених тренінгів з фермерами для</w:t>
            </w:r>
            <w:r>
              <w:t xml:space="preserve"> </w:t>
            </w:r>
            <w:r w:rsidRPr="00F724CB">
              <w:t>застосування компосту в сільському господарстві</w:t>
            </w:r>
            <w:r>
              <w:t>;</w:t>
            </w:r>
          </w:p>
        </w:tc>
      </w:tr>
      <w:tr w:rsidR="003466DC" w:rsidRPr="00F724CB" w14:paraId="00D25B25" w14:textId="77777777" w:rsidTr="00F17626">
        <w:tc>
          <w:tcPr>
            <w:tcW w:w="350" w:type="pct"/>
          </w:tcPr>
          <w:p w14:paraId="3837B79C" w14:textId="77777777" w:rsidR="003466DC" w:rsidRPr="00F724CB" w:rsidRDefault="003466DC" w:rsidP="00257694">
            <w:pPr>
              <w:pStyle w:val="TableParagraph"/>
            </w:pPr>
            <w:r>
              <w:t>5</w:t>
            </w:r>
          </w:p>
        </w:tc>
        <w:tc>
          <w:tcPr>
            <w:tcW w:w="1568" w:type="pct"/>
          </w:tcPr>
          <w:p w14:paraId="4C8BBFDA" w14:textId="77777777" w:rsidR="003466DC" w:rsidRPr="00F724CB" w:rsidRDefault="003466DC" w:rsidP="00257694">
            <w:pPr>
              <w:pStyle w:val="TableParagraph"/>
            </w:pPr>
            <w:r w:rsidRPr="00F724CB">
              <w:t>Встановлення стандартів для</w:t>
            </w:r>
            <w:r>
              <w:t xml:space="preserve"> </w:t>
            </w:r>
            <w:r w:rsidRPr="00F724CB">
              <w:t>якості і правил для</w:t>
            </w:r>
            <w:r>
              <w:t xml:space="preserve"> </w:t>
            </w:r>
            <w:r w:rsidRPr="00F724CB">
              <w:t>використання компосту</w:t>
            </w:r>
          </w:p>
        </w:tc>
        <w:tc>
          <w:tcPr>
            <w:tcW w:w="3082" w:type="pct"/>
          </w:tcPr>
          <w:p w14:paraId="284BE26B" w14:textId="77777777" w:rsidR="003466DC" w:rsidRPr="00F724CB" w:rsidRDefault="003466DC" w:rsidP="00257694">
            <w:pPr>
              <w:pStyle w:val="TableParagraph"/>
            </w:pPr>
            <w:r w:rsidRPr="00F724CB">
              <w:t>- якість ґрунтів, на яких застосовується</w:t>
            </w:r>
            <w:r>
              <w:t>;</w:t>
            </w:r>
          </w:p>
          <w:p w14:paraId="0239DCA5" w14:textId="77777777" w:rsidR="003466DC" w:rsidRPr="00F724CB" w:rsidRDefault="003466DC" w:rsidP="00257694">
            <w:pPr>
              <w:pStyle w:val="TableParagraph"/>
            </w:pPr>
          </w:p>
        </w:tc>
      </w:tr>
      <w:tr w:rsidR="003466DC" w:rsidRPr="00F724CB" w14:paraId="2411164B" w14:textId="77777777" w:rsidTr="00F17626">
        <w:tc>
          <w:tcPr>
            <w:tcW w:w="350" w:type="pct"/>
          </w:tcPr>
          <w:p w14:paraId="20FF4C93" w14:textId="77777777" w:rsidR="003466DC" w:rsidRPr="00F724CB" w:rsidRDefault="003466DC" w:rsidP="00257694">
            <w:pPr>
              <w:pStyle w:val="TableParagraph"/>
            </w:pPr>
            <w:r>
              <w:t>6</w:t>
            </w:r>
          </w:p>
        </w:tc>
        <w:tc>
          <w:tcPr>
            <w:tcW w:w="1568" w:type="pct"/>
          </w:tcPr>
          <w:p w14:paraId="7D295B5D" w14:textId="77777777" w:rsidR="003466DC" w:rsidRPr="00F724CB" w:rsidRDefault="003466DC" w:rsidP="00257694">
            <w:pPr>
              <w:pStyle w:val="TableParagraph"/>
            </w:pPr>
            <w:r w:rsidRPr="00F724CB">
              <w:t>Збільшення використання компосту</w:t>
            </w:r>
          </w:p>
          <w:p w14:paraId="36A30625" w14:textId="77777777" w:rsidR="003466DC" w:rsidRPr="00F724CB" w:rsidRDefault="003466DC" w:rsidP="00257694">
            <w:pPr>
              <w:pStyle w:val="TableParagraph"/>
            </w:pPr>
          </w:p>
        </w:tc>
        <w:tc>
          <w:tcPr>
            <w:tcW w:w="3082" w:type="pct"/>
          </w:tcPr>
          <w:p w14:paraId="272F8558" w14:textId="77777777" w:rsidR="003466DC" w:rsidRPr="00F724CB" w:rsidRDefault="003466DC" w:rsidP="00257694">
            <w:pPr>
              <w:pStyle w:val="TableParagraph"/>
            </w:pPr>
            <w:r w:rsidRPr="00F724CB">
              <w:t>- кількість, використана як підсилювач</w:t>
            </w:r>
            <w:r>
              <w:t xml:space="preserve"> </w:t>
            </w:r>
            <w:r w:rsidRPr="00F724CB">
              <w:t>ґрунту;</w:t>
            </w:r>
          </w:p>
          <w:p w14:paraId="651B5AE1" w14:textId="77777777" w:rsidR="003466DC" w:rsidRPr="00F724CB" w:rsidRDefault="003466DC" w:rsidP="00257694">
            <w:pPr>
              <w:pStyle w:val="TableParagraph"/>
            </w:pPr>
            <w:r w:rsidRPr="00F724CB">
              <w:t>- кількість компосту нижчої якості для</w:t>
            </w:r>
            <w:r>
              <w:t xml:space="preserve"> </w:t>
            </w:r>
            <w:r w:rsidRPr="00F724CB">
              <w:t>рекультивації порушених і забруднених земель;</w:t>
            </w:r>
          </w:p>
          <w:p w14:paraId="657A68BD" w14:textId="77777777" w:rsidR="003466DC" w:rsidRPr="00F724CB" w:rsidRDefault="003466DC" w:rsidP="00257694">
            <w:pPr>
              <w:pStyle w:val="TableParagraph"/>
            </w:pPr>
            <w:r w:rsidRPr="00F724CB">
              <w:t>- кількість отриманої енергії з компосту</w:t>
            </w:r>
            <w:r>
              <w:t>;</w:t>
            </w:r>
          </w:p>
        </w:tc>
      </w:tr>
      <w:tr w:rsidR="003466DC" w:rsidRPr="00F724CB" w14:paraId="6FC42E4F" w14:textId="77777777" w:rsidTr="00F17626">
        <w:tc>
          <w:tcPr>
            <w:tcW w:w="350" w:type="pct"/>
          </w:tcPr>
          <w:p w14:paraId="3E9109D9" w14:textId="77777777" w:rsidR="003466DC" w:rsidRPr="00F724CB" w:rsidRDefault="003466DC" w:rsidP="00257694">
            <w:pPr>
              <w:pStyle w:val="TableParagraph"/>
            </w:pPr>
            <w:r>
              <w:t>7</w:t>
            </w:r>
          </w:p>
        </w:tc>
        <w:tc>
          <w:tcPr>
            <w:tcW w:w="1568" w:type="pct"/>
          </w:tcPr>
          <w:p w14:paraId="5D339210" w14:textId="77777777" w:rsidR="003466DC" w:rsidRPr="00F724CB" w:rsidRDefault="003466DC" w:rsidP="00257694">
            <w:pPr>
              <w:pStyle w:val="TableParagraph"/>
            </w:pPr>
            <w:r w:rsidRPr="00F724CB">
              <w:t>Підвищення обізнаності населення та роботи на</w:t>
            </w:r>
            <w:r>
              <w:t xml:space="preserve"> </w:t>
            </w:r>
            <w:r w:rsidRPr="00F724CB">
              <w:t>сприйняття ідеї про використання біологічних</w:t>
            </w:r>
            <w:r>
              <w:t xml:space="preserve"> </w:t>
            </w:r>
            <w:r w:rsidRPr="00F724CB">
              <w:t>відходів</w:t>
            </w:r>
          </w:p>
        </w:tc>
        <w:tc>
          <w:tcPr>
            <w:tcW w:w="3082" w:type="pct"/>
          </w:tcPr>
          <w:p w14:paraId="1E774D8D" w14:textId="77777777" w:rsidR="003466DC" w:rsidRPr="00F724CB" w:rsidRDefault="003466DC" w:rsidP="00257694">
            <w:pPr>
              <w:pStyle w:val="TableParagraph"/>
            </w:pPr>
            <w:r w:rsidRPr="00F724CB">
              <w:t>- кількість проведених інформаційних сесій,</w:t>
            </w:r>
            <w:r>
              <w:t xml:space="preserve"> </w:t>
            </w:r>
            <w:r w:rsidRPr="00F724CB">
              <w:t>кампаній та дискусій;</w:t>
            </w:r>
          </w:p>
          <w:p w14:paraId="61E6D69D" w14:textId="77777777" w:rsidR="003466DC" w:rsidRPr="00F724CB" w:rsidRDefault="003466DC" w:rsidP="00257694">
            <w:pPr>
              <w:pStyle w:val="TableParagraph"/>
            </w:pPr>
            <w:r w:rsidRPr="00F724CB">
              <w:t>- кількість «порталів», створених для консультацій,</w:t>
            </w:r>
            <w:r>
              <w:t xml:space="preserve"> </w:t>
            </w:r>
            <w:r w:rsidRPr="00F724CB">
              <w:t>обізнаності та практичної допомоги користувачам – муніципальних сайтів</w:t>
            </w:r>
          </w:p>
        </w:tc>
      </w:tr>
      <w:tr w:rsidR="003466DC" w:rsidRPr="00F724CB" w14:paraId="412AFC04" w14:textId="77777777" w:rsidTr="00F17626">
        <w:tc>
          <w:tcPr>
            <w:tcW w:w="350" w:type="pct"/>
          </w:tcPr>
          <w:p w14:paraId="54316E68" w14:textId="77777777" w:rsidR="003466DC" w:rsidRPr="00F724CB" w:rsidRDefault="003466DC" w:rsidP="00257694">
            <w:pPr>
              <w:pStyle w:val="TableParagraph"/>
            </w:pPr>
            <w:r>
              <w:t>8</w:t>
            </w:r>
          </w:p>
        </w:tc>
        <w:tc>
          <w:tcPr>
            <w:tcW w:w="1568" w:type="pct"/>
          </w:tcPr>
          <w:p w14:paraId="0765603B" w14:textId="77777777" w:rsidR="003466DC" w:rsidRPr="00F724CB" w:rsidRDefault="003466DC" w:rsidP="00257694">
            <w:pPr>
              <w:pStyle w:val="TableParagraph"/>
            </w:pPr>
            <w:r w:rsidRPr="00F724CB">
              <w:t>Оброблення біовідходів від змішаних відходів</w:t>
            </w:r>
          </w:p>
          <w:p w14:paraId="57295FBE" w14:textId="77777777" w:rsidR="003466DC" w:rsidRPr="00F724CB" w:rsidRDefault="003466DC" w:rsidP="00257694">
            <w:pPr>
              <w:pStyle w:val="TableParagraph"/>
            </w:pPr>
          </w:p>
        </w:tc>
        <w:tc>
          <w:tcPr>
            <w:tcW w:w="3082" w:type="pct"/>
          </w:tcPr>
          <w:p w14:paraId="694AF195" w14:textId="77777777" w:rsidR="003466DC" w:rsidRPr="00F724CB" w:rsidRDefault="003466DC" w:rsidP="00257694">
            <w:pPr>
              <w:pStyle w:val="TableParagraph"/>
            </w:pPr>
            <w:r w:rsidRPr="00F724CB">
              <w:t>- кількість збудованих об'єктів;</w:t>
            </w:r>
          </w:p>
          <w:p w14:paraId="7B22E11A" w14:textId="77777777" w:rsidR="003466DC" w:rsidRPr="00F724CB" w:rsidRDefault="003466DC" w:rsidP="00257694">
            <w:pPr>
              <w:pStyle w:val="TableParagraph"/>
            </w:pPr>
            <w:r w:rsidRPr="00F724CB">
              <w:t>- потужність засобів</w:t>
            </w:r>
            <w:r>
              <w:t>;</w:t>
            </w:r>
          </w:p>
          <w:p w14:paraId="0422ABF1" w14:textId="77777777" w:rsidR="003466DC" w:rsidRPr="00F724CB" w:rsidRDefault="003466DC" w:rsidP="00257694">
            <w:pPr>
              <w:pStyle w:val="TableParagraph"/>
            </w:pPr>
            <w:r w:rsidRPr="00F724CB">
              <w:t>- кількість оброблених біовідходів, т/рік.</w:t>
            </w:r>
          </w:p>
        </w:tc>
      </w:tr>
      <w:tr w:rsidR="003466DC" w:rsidRPr="00F724CB" w14:paraId="660D2083" w14:textId="77777777" w:rsidTr="00F17626">
        <w:tc>
          <w:tcPr>
            <w:tcW w:w="350" w:type="pct"/>
          </w:tcPr>
          <w:p w14:paraId="2912F986" w14:textId="77777777" w:rsidR="003466DC" w:rsidRPr="00F724CB" w:rsidRDefault="003466DC" w:rsidP="00257694">
            <w:pPr>
              <w:pStyle w:val="TableParagraph"/>
            </w:pPr>
            <w:r>
              <w:t>9</w:t>
            </w:r>
          </w:p>
        </w:tc>
        <w:tc>
          <w:tcPr>
            <w:tcW w:w="1568" w:type="pct"/>
          </w:tcPr>
          <w:p w14:paraId="57FB5BE0" w14:textId="77777777" w:rsidR="003466DC" w:rsidRPr="00F724CB" w:rsidRDefault="003466DC" w:rsidP="00257694">
            <w:pPr>
              <w:pStyle w:val="TableParagraph"/>
            </w:pPr>
            <w:r w:rsidRPr="00F724CB">
              <w:t>Запроваджено матеріального заохочення для підтримка виробників компосту</w:t>
            </w:r>
          </w:p>
        </w:tc>
        <w:tc>
          <w:tcPr>
            <w:tcW w:w="3082" w:type="pct"/>
          </w:tcPr>
          <w:p w14:paraId="6100842E" w14:textId="77777777" w:rsidR="003466DC" w:rsidRPr="00F724CB" w:rsidRDefault="003466DC" w:rsidP="00257694">
            <w:pPr>
              <w:pStyle w:val="TableParagraph"/>
            </w:pPr>
            <w:r w:rsidRPr="00F724CB">
              <w:t>- виділені фінансові ресурси на</w:t>
            </w:r>
            <w:r>
              <w:t xml:space="preserve"> </w:t>
            </w:r>
            <w:r w:rsidRPr="00F724CB">
              <w:t>виробників компосту;</w:t>
            </w:r>
          </w:p>
          <w:p w14:paraId="6BDBB073" w14:textId="77777777" w:rsidR="003466DC" w:rsidRPr="00F724CB" w:rsidRDefault="003466DC" w:rsidP="00257694">
            <w:pPr>
              <w:pStyle w:val="TableParagraph"/>
            </w:pPr>
          </w:p>
        </w:tc>
      </w:tr>
    </w:tbl>
    <w:p w14:paraId="20A541CB" w14:textId="77777777" w:rsidR="003466DC" w:rsidRPr="00FC54DB" w:rsidRDefault="003466DC" w:rsidP="003466DC">
      <w:pPr>
        <w:shd w:val="clear" w:color="auto" w:fill="FFFFFF"/>
        <w:tabs>
          <w:tab w:val="clear" w:pos="284"/>
          <w:tab w:val="clear" w:pos="1985"/>
        </w:tabs>
        <w:spacing w:before="60" w:after="0" w:line="240" w:lineRule="auto"/>
        <w:ind w:right="450"/>
        <w:jc w:val="center"/>
        <w:textAlignment w:val="baseline"/>
        <w:rPr>
          <w:rFonts w:eastAsia="Times New Roman" w:cs="Times New Roman"/>
          <w:b/>
          <w:bCs/>
          <w:color w:val="000000"/>
          <w:sz w:val="28"/>
          <w:szCs w:val="28"/>
          <w:bdr w:val="none" w:sz="0" w:space="0" w:color="auto" w:frame="1"/>
          <w:lang w:eastAsia="uk-UA"/>
        </w:rPr>
      </w:pPr>
    </w:p>
    <w:p w14:paraId="069D1444" w14:textId="77777777" w:rsidR="003466DC" w:rsidRPr="00427BBB" w:rsidRDefault="003466DC" w:rsidP="003466DC">
      <w:pPr>
        <w:tabs>
          <w:tab w:val="clear" w:pos="284"/>
          <w:tab w:val="clear" w:pos="1985"/>
        </w:tabs>
        <w:spacing w:before="60" w:after="0" w:line="240" w:lineRule="auto"/>
        <w:rPr>
          <w:rFonts w:eastAsia="Times New Roman" w:cs="Times New Roman"/>
          <w:szCs w:val="24"/>
          <w:lang w:val="ru-RU" w:eastAsia="ru-RU"/>
        </w:rPr>
      </w:pPr>
    </w:p>
    <w:p w14:paraId="77C78C9C" w14:textId="77777777" w:rsidR="003466DC" w:rsidRPr="00F724CB" w:rsidRDefault="003466DC" w:rsidP="003466DC">
      <w:pPr>
        <w:tabs>
          <w:tab w:val="clear" w:pos="284"/>
          <w:tab w:val="clear" w:pos="1985"/>
        </w:tabs>
        <w:spacing w:before="60" w:after="0" w:line="240" w:lineRule="auto"/>
        <w:rPr>
          <w:color w:val="202124"/>
          <w:lang w:eastAsia="uk-UA"/>
        </w:rPr>
      </w:pPr>
      <w:r w:rsidRPr="002E7AA7">
        <w:rPr>
          <w:rFonts w:eastAsia="Times New Roman" w:cs="Times New Roman"/>
          <w:szCs w:val="24"/>
          <w:lang w:val="ru-RU" w:eastAsia="ru-RU"/>
        </w:rPr>
        <w:t>*</w:t>
      </w:r>
      <w:r w:rsidRPr="002E7AA7">
        <w:rPr>
          <w:rFonts w:eastAsia="Times New Roman" w:cs="Times New Roman"/>
          <w:szCs w:val="24"/>
          <w:lang w:eastAsia="ru-RU"/>
        </w:rPr>
        <w:t>2023 рік</w:t>
      </w:r>
      <w:r w:rsidRPr="00427BBB">
        <w:rPr>
          <w:rFonts w:eastAsia="Times New Roman" w:cs="Times New Roman"/>
          <w:szCs w:val="24"/>
          <w:lang w:eastAsia="ru-RU"/>
        </w:rPr>
        <w:t xml:space="preserve"> приймається як базовий рік для оцінки ефективності реалізації </w:t>
      </w:r>
      <w:r w:rsidRPr="00427BBB">
        <w:rPr>
          <w:rFonts w:eastAsia="Times New Roman" w:cs="Times New Roman"/>
          <w:szCs w:val="24"/>
          <w:lang w:val="bg-BG" w:eastAsia="ru-RU"/>
        </w:rPr>
        <w:t>Плану</w:t>
      </w:r>
      <w:r w:rsidRPr="00427BBB">
        <w:rPr>
          <w:rFonts w:eastAsia="Times New Roman" w:cs="Times New Roman"/>
          <w:szCs w:val="24"/>
          <w:lang w:eastAsia="ru-RU"/>
        </w:rPr>
        <w:t xml:space="preserve"> </w:t>
      </w:r>
    </w:p>
    <w:p w14:paraId="7D5FAB37" w14:textId="77777777" w:rsidR="00E56EE5" w:rsidRPr="00F724CB" w:rsidRDefault="00E56EE5" w:rsidP="00E56EE5">
      <w:pPr>
        <w:rPr>
          <w:color w:val="202124"/>
          <w:lang w:eastAsia="uk-UA"/>
        </w:rPr>
      </w:pPr>
    </w:p>
    <w:p w14:paraId="31BBD956" w14:textId="494068BE" w:rsidR="00447C56" w:rsidRDefault="00257694" w:rsidP="00257694">
      <w:pPr>
        <w:pStyle w:val="20"/>
      </w:pPr>
      <w:bookmarkStart w:id="105" w:name="_Toc151583283"/>
      <w:r w:rsidRPr="00257694">
        <w:t>НАЦІОНАЛЬНА ПРОГРАМА ЗАПОБІГАННЯ УТВОРЕННЮ ВІДХОДІВ 2023-2033РР.</w:t>
      </w:r>
      <w:bookmarkEnd w:id="105"/>
    </w:p>
    <w:p w14:paraId="6665428E" w14:textId="77777777" w:rsidR="00447C56" w:rsidRPr="00447C56" w:rsidRDefault="00447C56" w:rsidP="00447C56"/>
    <w:p w14:paraId="56B4D2A4" w14:textId="24BC1CBE" w:rsidR="003546F3" w:rsidRDefault="003546F3" w:rsidP="003546F3">
      <w:r>
        <w:t xml:space="preserve">Збільшення </w:t>
      </w:r>
      <w:r w:rsidR="00D02B10" w:rsidRPr="00D02B10">
        <w:t>обсягів</w:t>
      </w:r>
      <w:r>
        <w:t xml:space="preserve"> відходів, їх негативний вплив на навколишнє середовище через неефективність системи управління відходами, вплив на здоров’я населення вимагають впровадження дій щодо запобігання утворенню відходів як складової комплексного рішення. </w:t>
      </w:r>
    </w:p>
    <w:p w14:paraId="7201BFF5" w14:textId="77777777" w:rsidR="003546F3" w:rsidRDefault="003546F3" w:rsidP="003546F3">
      <w:r>
        <w:rPr>
          <w:b/>
          <w:bCs/>
        </w:rPr>
        <w:t>«З</w:t>
      </w:r>
      <w:r w:rsidRPr="008E4CBF">
        <w:rPr>
          <w:b/>
          <w:bCs/>
        </w:rPr>
        <w:t>апобігання</w:t>
      </w:r>
      <w:r>
        <w:rPr>
          <w:b/>
          <w:bCs/>
        </w:rPr>
        <w:t>» визначено</w:t>
      </w:r>
      <w:r>
        <w:t xml:space="preserve"> </w:t>
      </w:r>
      <w:r w:rsidRPr="00DD4A5F">
        <w:rPr>
          <w:b/>
          <w:bCs/>
        </w:rPr>
        <w:t>основним принципом державної політики у сфері управління відходами</w:t>
      </w:r>
      <w:r>
        <w:t xml:space="preserve"> у Законі України «Про управління відходами». Згідно із цим принципом утворювач або власник відходів вживає заходів для запобігання утворенню відходів, </w:t>
      </w:r>
      <w:r w:rsidRPr="00B507B9">
        <w:t>а також для уникнення, зменшення або усунення негативного впливу відходів на здоров’я людей та навколишнє природне середовище.</w:t>
      </w:r>
      <w:r>
        <w:t xml:space="preserve"> </w:t>
      </w:r>
      <w:r w:rsidRPr="00DD4A5F">
        <w:rPr>
          <w:b/>
          <w:bCs/>
        </w:rPr>
        <w:t>Запобігання також</w:t>
      </w:r>
      <w:r>
        <w:rPr>
          <w:b/>
          <w:bCs/>
        </w:rPr>
        <w:t xml:space="preserve"> є найбільш бажаною опцією ієрархії управління відходами.</w:t>
      </w:r>
      <w:r>
        <w:t xml:space="preserve"> </w:t>
      </w:r>
    </w:p>
    <w:p w14:paraId="7F452F10" w14:textId="77777777" w:rsidR="001C3206" w:rsidRDefault="001C3206" w:rsidP="001C3206">
      <w:r>
        <w:t>Закон України «</w:t>
      </w:r>
      <w:r w:rsidRPr="00B507B9">
        <w:t>Про управління відходами</w:t>
      </w:r>
      <w:r>
        <w:t>» № 2</w:t>
      </w:r>
      <w:r w:rsidRPr="00B507B9">
        <w:t>320-IX</w:t>
      </w:r>
      <w:r>
        <w:t xml:space="preserve"> від </w:t>
      </w:r>
      <w:r w:rsidRPr="00B507B9">
        <w:t>20.06.2022</w:t>
      </w:r>
      <w:r>
        <w:t xml:space="preserve"> серед іншого </w:t>
      </w:r>
      <w:r w:rsidRPr="00B507B9">
        <w:t xml:space="preserve">визначає правові, організаційні, економічні засади діяльності </w:t>
      </w:r>
      <w:r w:rsidRPr="00B507B9">
        <w:rPr>
          <w:b/>
          <w:bCs/>
        </w:rPr>
        <w:t>щодо запобігання утворенню</w:t>
      </w:r>
      <w:r>
        <w:t xml:space="preserve"> </w:t>
      </w:r>
      <w:r w:rsidRPr="00B507B9">
        <w:t>відходів</w:t>
      </w:r>
      <w:r>
        <w:rPr>
          <w:lang w:val="en-US"/>
        </w:rPr>
        <w:t xml:space="preserve">, </w:t>
      </w:r>
      <w:r>
        <w:t>проте, визначення терміну «запобігання» у законі відсутнє. Згідно з Директивою Європейського Парламенту і Ради 2008/98/ЄС  від 19 листопада 2008 року про відходи та про скасування деяких директив, «запобігання» означає заходи, вжиті до того, як речовина, матеріал або продукт стали відходами, що зменшує:</w:t>
      </w:r>
    </w:p>
    <w:p w14:paraId="1C2B6490" w14:textId="77777777" w:rsidR="001C3206" w:rsidRDefault="001C3206" w:rsidP="001C3206">
      <w:r>
        <w:t>(a) кількість відходів, у тому числі шляхом повторного використання продуктів або подовження життєвого циклу продуктів;</w:t>
      </w:r>
    </w:p>
    <w:p w14:paraId="47BDA395" w14:textId="77777777" w:rsidR="001C3206" w:rsidRDefault="001C3206" w:rsidP="001C3206">
      <w:r>
        <w:t>(b) негативні наслідки утворених відходів для довкілля та здоров’я людини; або</w:t>
      </w:r>
    </w:p>
    <w:p w14:paraId="5139589B" w14:textId="77777777" w:rsidR="001C3206" w:rsidRDefault="001C3206" w:rsidP="001C3206">
      <w:r>
        <w:t xml:space="preserve">(c) вміст небезпечних речовин у матеріалах і продуктах. </w:t>
      </w:r>
    </w:p>
    <w:p w14:paraId="2009051B" w14:textId="77777777" w:rsidR="001C3206" w:rsidRDefault="001C3206" w:rsidP="001C3206">
      <w:r>
        <w:t>Запобігання утворенню відходів варто відмежовувати від інших опцій управління відходами, такими як підготовка до повторного використання та рециклінг. Часто їх сутність трактуються однаково, що призводить до хибного планування та направленості дій. Запобігання та повторне використання стосується лише продукції, та рециклінг – відходів.</w:t>
      </w:r>
    </w:p>
    <w:p w14:paraId="1515ABA3" w14:textId="77777777" w:rsidR="001C3206" w:rsidRDefault="001C3206" w:rsidP="001C3206">
      <w:r w:rsidRPr="00154A50">
        <w:t>«</w:t>
      </w:r>
      <w:r>
        <w:t>П</w:t>
      </w:r>
      <w:r w:rsidRPr="00154A50">
        <w:t>овторне використання»</w:t>
      </w:r>
      <w:r>
        <w:t xml:space="preserve"> - </w:t>
      </w:r>
      <w:r w:rsidRPr="00154A50">
        <w:t>означає будь-яку операцію, внаслідок якої продукти або їх компоненти, які не є відходами, використовують знову для тієї самої цілі, для якої вони були створені</w:t>
      </w:r>
      <w:r>
        <w:t xml:space="preserve"> (ремонт, продаж у «другі руки» надання у користування та</w:t>
      </w:r>
      <w:r w:rsidRPr="004833EE">
        <w:t xml:space="preserve"> </w:t>
      </w:r>
      <w:r>
        <w:t>благодійність).</w:t>
      </w:r>
    </w:p>
    <w:p w14:paraId="7B6642FC" w14:textId="77777777" w:rsidR="001C3206" w:rsidRDefault="001C3206" w:rsidP="001C3206">
      <w:r>
        <w:t>«Підготовка до повторного використання» - це операція з відновлення відходів, наприклад сортування відході.</w:t>
      </w:r>
    </w:p>
    <w:p w14:paraId="0283A9D3" w14:textId="77777777" w:rsidR="008B213F" w:rsidRDefault="001C3206" w:rsidP="008B213F">
      <w:r w:rsidRPr="00154A50">
        <w:t>«</w:t>
      </w:r>
      <w:r>
        <w:t>Р</w:t>
      </w:r>
      <w:r w:rsidRPr="00154A50">
        <w:t xml:space="preserve">ециклінг» </w:t>
      </w:r>
      <w:r>
        <w:t xml:space="preserve"> - </w:t>
      </w:r>
      <w:r w:rsidRPr="00815700">
        <w:t xml:space="preserve">операція з відновлення, у результаті якої відходи переробляються у продукцію, матеріали або речовини для їх використання за первинною або іншою метою. </w:t>
      </w:r>
      <w:bookmarkStart w:id="106" w:name="_Toc150293346"/>
    </w:p>
    <w:p w14:paraId="7CF54AB8" w14:textId="5A8A30EC" w:rsidR="001C3206" w:rsidRPr="00B61073" w:rsidRDefault="001C3206" w:rsidP="008B213F">
      <w:pPr>
        <w:pStyle w:val="REDBoldonly"/>
      </w:pPr>
      <w:bookmarkStart w:id="107" w:name="_Toc151583284"/>
      <w:r w:rsidRPr="00B61073">
        <w:rPr>
          <w:rStyle w:val="31"/>
          <w:rFonts w:eastAsiaTheme="minorHAnsi" w:cstheme="minorBidi"/>
          <w:b/>
          <w:szCs w:val="20"/>
        </w:rPr>
        <w:t>Кроки до ефективної реалізації Програми</w:t>
      </w:r>
      <w:bookmarkEnd w:id="106"/>
      <w:bookmarkEnd w:id="107"/>
      <w:r w:rsidRPr="00B61073">
        <w:t>:</w:t>
      </w:r>
    </w:p>
    <w:p w14:paraId="69405D37" w14:textId="77777777" w:rsidR="001C3206" w:rsidRPr="00275136" w:rsidRDefault="001C3206" w:rsidP="00275136">
      <w:pPr>
        <w:pStyle w:val="a1"/>
        <w:numPr>
          <w:ilvl w:val="0"/>
          <w:numId w:val="58"/>
        </w:numPr>
        <w:rPr>
          <w:color w:val="auto"/>
        </w:rPr>
      </w:pPr>
      <w:r w:rsidRPr="00275136">
        <w:rPr>
          <w:color w:val="auto"/>
        </w:rPr>
        <w:t>Встановлення кількісних та якісних цільових показників для запобігання утворенню відходів.</w:t>
      </w:r>
    </w:p>
    <w:p w14:paraId="6545083B" w14:textId="77777777" w:rsidR="001C3206" w:rsidRPr="00417594" w:rsidRDefault="001C3206" w:rsidP="001C3206">
      <w:pPr>
        <w:pStyle w:val="a1"/>
        <w:rPr>
          <w:color w:val="auto"/>
        </w:rPr>
      </w:pPr>
      <w:r w:rsidRPr="00417594">
        <w:rPr>
          <w:color w:val="auto"/>
        </w:rPr>
        <w:t>Інтеграція в інші політики, які стосуються видобування, виробництва та експорту.</w:t>
      </w:r>
    </w:p>
    <w:p w14:paraId="2459A5F0" w14:textId="77777777" w:rsidR="001C3206" w:rsidRDefault="001C3206" w:rsidP="001C3206">
      <w:pPr>
        <w:pStyle w:val="a1"/>
        <w:rPr>
          <w:color w:val="auto"/>
        </w:rPr>
      </w:pPr>
      <w:r w:rsidRPr="00417594">
        <w:rPr>
          <w:color w:val="auto"/>
        </w:rPr>
        <w:t xml:space="preserve">Наголошення на ролі виробників щодо попередження утворення відходів на стадії проєктування </w:t>
      </w:r>
      <w:r>
        <w:rPr>
          <w:color w:val="auto"/>
        </w:rPr>
        <w:t>продукції/товарів:</w:t>
      </w:r>
    </w:p>
    <w:p w14:paraId="1E3FAE3F" w14:textId="77777777" w:rsidR="001C3206" w:rsidRDefault="001C3206" w:rsidP="001C3206">
      <w:pPr>
        <w:pStyle w:val="a1"/>
        <w:numPr>
          <w:ilvl w:val="0"/>
          <w:numId w:val="54"/>
        </w:numPr>
        <w:ind w:left="993"/>
        <w:rPr>
          <w:color w:val="auto"/>
        </w:rPr>
      </w:pPr>
      <w:r>
        <w:rPr>
          <w:color w:val="auto"/>
        </w:rPr>
        <w:t>зменшення вмісту небезпечних речовин у продукції,</w:t>
      </w:r>
    </w:p>
    <w:p w14:paraId="0C0C7A5C" w14:textId="77777777" w:rsidR="001C3206" w:rsidRDefault="001C3206" w:rsidP="001C3206">
      <w:pPr>
        <w:pStyle w:val="a1"/>
        <w:numPr>
          <w:ilvl w:val="0"/>
          <w:numId w:val="54"/>
        </w:numPr>
        <w:ind w:left="993"/>
        <w:rPr>
          <w:color w:val="auto"/>
        </w:rPr>
      </w:pPr>
      <w:r w:rsidRPr="00BC2695">
        <w:rPr>
          <w:color w:val="auto"/>
        </w:rPr>
        <w:t>проектування, виробництв</w:t>
      </w:r>
      <w:r>
        <w:rPr>
          <w:color w:val="auto"/>
        </w:rPr>
        <w:t>о</w:t>
      </w:r>
      <w:r w:rsidRPr="00BC2695">
        <w:rPr>
          <w:color w:val="auto"/>
        </w:rPr>
        <w:t xml:space="preserve"> ресурсо</w:t>
      </w:r>
      <w:r>
        <w:rPr>
          <w:color w:val="auto"/>
        </w:rPr>
        <w:t xml:space="preserve"> </w:t>
      </w:r>
      <w:r w:rsidRPr="00BC2695">
        <w:rPr>
          <w:color w:val="auto"/>
        </w:rPr>
        <w:t xml:space="preserve">ефективної та більш довговічної продукції, </w:t>
      </w:r>
    </w:p>
    <w:p w14:paraId="55BEDC3C" w14:textId="77777777" w:rsidR="001C3206" w:rsidRDefault="001C3206" w:rsidP="001C3206">
      <w:pPr>
        <w:pStyle w:val="a1"/>
        <w:numPr>
          <w:ilvl w:val="0"/>
          <w:numId w:val="54"/>
        </w:numPr>
        <w:ind w:left="993"/>
        <w:rPr>
          <w:color w:val="auto"/>
        </w:rPr>
      </w:pPr>
      <w:r>
        <w:rPr>
          <w:color w:val="auto"/>
        </w:rPr>
        <w:t>вжиття заходів щодо</w:t>
      </w:r>
      <w:r w:rsidRPr="00BC2695">
        <w:rPr>
          <w:color w:val="auto"/>
        </w:rPr>
        <w:t xml:space="preserve"> подовження </w:t>
      </w:r>
      <w:r>
        <w:rPr>
          <w:color w:val="auto"/>
        </w:rPr>
        <w:t>життєвого циклу продукції (</w:t>
      </w:r>
      <w:r w:rsidRPr="00BC2695">
        <w:rPr>
          <w:color w:val="auto"/>
        </w:rPr>
        <w:t xml:space="preserve">строку </w:t>
      </w:r>
      <w:r>
        <w:rPr>
          <w:color w:val="auto"/>
        </w:rPr>
        <w:t>експлуатації/</w:t>
      </w:r>
      <w:r w:rsidRPr="00BC2695">
        <w:rPr>
          <w:color w:val="auto"/>
        </w:rPr>
        <w:t>використання</w:t>
      </w:r>
      <w:r>
        <w:rPr>
          <w:color w:val="auto"/>
        </w:rPr>
        <w:t>)</w:t>
      </w:r>
      <w:r w:rsidRPr="00BC2695">
        <w:rPr>
          <w:color w:val="auto"/>
        </w:rPr>
        <w:t xml:space="preserve">, </w:t>
      </w:r>
    </w:p>
    <w:p w14:paraId="1613C836" w14:textId="77777777" w:rsidR="001C3206" w:rsidRDefault="001C3206" w:rsidP="001C3206">
      <w:pPr>
        <w:pStyle w:val="a1"/>
        <w:numPr>
          <w:ilvl w:val="0"/>
          <w:numId w:val="54"/>
        </w:numPr>
        <w:ind w:left="993"/>
        <w:rPr>
          <w:color w:val="auto"/>
        </w:rPr>
      </w:pPr>
      <w:r>
        <w:rPr>
          <w:color w:val="auto"/>
        </w:rPr>
        <w:t xml:space="preserve">забезпечення здатності </w:t>
      </w:r>
      <w:r w:rsidRPr="00BC2695">
        <w:rPr>
          <w:color w:val="auto"/>
        </w:rPr>
        <w:t>продукції</w:t>
      </w:r>
      <w:r>
        <w:rPr>
          <w:color w:val="auto"/>
        </w:rPr>
        <w:t xml:space="preserve"> до ремонту</w:t>
      </w:r>
      <w:r w:rsidRPr="00BC2695">
        <w:rPr>
          <w:color w:val="auto"/>
        </w:rPr>
        <w:t>, повторного використання та модернізації</w:t>
      </w:r>
      <w:r>
        <w:rPr>
          <w:color w:val="auto"/>
        </w:rPr>
        <w:t>.</w:t>
      </w:r>
    </w:p>
    <w:p w14:paraId="0FF46E00" w14:textId="77777777" w:rsidR="001C3206" w:rsidRDefault="001C3206" w:rsidP="001C3206">
      <w:pPr>
        <w:pStyle w:val="a1"/>
        <w:numPr>
          <w:ilvl w:val="0"/>
          <w:numId w:val="54"/>
        </w:numPr>
        <w:ind w:left="993"/>
        <w:rPr>
          <w:color w:val="auto"/>
        </w:rPr>
      </w:pPr>
      <w:r>
        <w:rPr>
          <w:color w:val="auto"/>
        </w:rPr>
        <w:t>заборона прискореного старіння продукції</w:t>
      </w:r>
    </w:p>
    <w:p w14:paraId="2F2CBA30" w14:textId="77777777" w:rsidR="001C3206" w:rsidRPr="004908D1" w:rsidRDefault="001C3206" w:rsidP="001C3206">
      <w:pPr>
        <w:pStyle w:val="a1"/>
        <w:numPr>
          <w:ilvl w:val="0"/>
          <w:numId w:val="54"/>
        </w:numPr>
        <w:ind w:left="993"/>
        <w:rPr>
          <w:color w:val="auto"/>
        </w:rPr>
      </w:pPr>
      <w:r w:rsidRPr="004908D1">
        <w:rPr>
          <w:color w:val="auto"/>
        </w:rPr>
        <w:t>попередження запланованого старіння</w:t>
      </w:r>
    </w:p>
    <w:p w14:paraId="61EF8227" w14:textId="77777777" w:rsidR="001C3206" w:rsidRDefault="001C3206" w:rsidP="001C3206">
      <w:pPr>
        <w:pStyle w:val="a1"/>
        <w:rPr>
          <w:color w:val="auto"/>
        </w:rPr>
      </w:pPr>
      <w:r w:rsidRPr="004908D1">
        <w:rPr>
          <w:color w:val="auto"/>
        </w:rPr>
        <w:t>Імплементація положень директиви про побічні продукти, які утворюються при виробництві.</w:t>
      </w:r>
    </w:p>
    <w:p w14:paraId="3C60ED48" w14:textId="07A18CB3" w:rsidR="001C3206" w:rsidRDefault="001C3206" w:rsidP="001C3206">
      <w:pPr>
        <w:pStyle w:val="a1"/>
        <w:rPr>
          <w:color w:val="auto"/>
        </w:rPr>
      </w:pPr>
      <w:r>
        <w:rPr>
          <w:color w:val="auto"/>
        </w:rPr>
        <w:t>Реалізація заходів з запобігання утворенню відходів на регіональному та місцевому рівні, шляхом визначення таких заходів у планах управління відходами.</w:t>
      </w:r>
    </w:p>
    <w:p w14:paraId="6D7BB833" w14:textId="77777777" w:rsidR="001C3206" w:rsidRPr="004908D1" w:rsidRDefault="001C3206" w:rsidP="001C3206">
      <w:pPr>
        <w:pStyle w:val="a1"/>
        <w:numPr>
          <w:ilvl w:val="0"/>
          <w:numId w:val="0"/>
        </w:numPr>
        <w:ind w:left="644"/>
        <w:rPr>
          <w:color w:val="auto"/>
        </w:rPr>
      </w:pPr>
    </w:p>
    <w:p w14:paraId="3E565C96" w14:textId="1B7D344C" w:rsidR="001C3206" w:rsidRPr="00335AEB" w:rsidRDefault="001C3206" w:rsidP="001C3206">
      <w:pPr>
        <w:ind w:left="142" w:right="242"/>
        <w:rPr>
          <w:b/>
          <w:bCs/>
          <w:i/>
          <w:iCs/>
        </w:rPr>
      </w:pPr>
      <w:r w:rsidRPr="00335AEB">
        <w:rPr>
          <w:b/>
          <w:bCs/>
          <w:i/>
          <w:iCs/>
        </w:rPr>
        <w:t xml:space="preserve">Оскільки запобігання </w:t>
      </w:r>
      <w:r>
        <w:rPr>
          <w:b/>
          <w:bCs/>
          <w:i/>
          <w:iCs/>
        </w:rPr>
        <w:t>утворенню відходів</w:t>
      </w:r>
      <w:r w:rsidRPr="00335AEB">
        <w:rPr>
          <w:b/>
          <w:bCs/>
          <w:i/>
          <w:iCs/>
        </w:rPr>
        <w:t xml:space="preserve"> стосується продукції, яка ще не стала відходом, для ефективної реалізації </w:t>
      </w:r>
      <w:r>
        <w:rPr>
          <w:b/>
          <w:bCs/>
          <w:i/>
          <w:iCs/>
        </w:rPr>
        <w:t>НПЗУВ</w:t>
      </w:r>
      <w:r w:rsidRPr="00335AEB">
        <w:rPr>
          <w:b/>
          <w:bCs/>
          <w:i/>
          <w:iCs/>
        </w:rPr>
        <w:t xml:space="preserve"> та самого принципу «запобігання», слід інтегрувати це зобов’язання в законодавство та програмні документи, які стосуються видобування сировини, виготовлення продукції та експорту матеріалів </w:t>
      </w:r>
      <w:r>
        <w:rPr>
          <w:b/>
          <w:bCs/>
          <w:i/>
          <w:iCs/>
        </w:rPr>
        <w:t>і</w:t>
      </w:r>
      <w:r w:rsidRPr="00335AEB">
        <w:rPr>
          <w:b/>
          <w:bCs/>
          <w:i/>
          <w:iCs/>
        </w:rPr>
        <w:t xml:space="preserve"> продукції. </w:t>
      </w:r>
      <w:r>
        <w:rPr>
          <w:b/>
          <w:bCs/>
          <w:i/>
          <w:iCs/>
        </w:rPr>
        <w:t>Вжиття заходів з запобігання необхідне</w:t>
      </w:r>
      <w:r w:rsidRPr="00335AEB">
        <w:rPr>
          <w:b/>
          <w:bCs/>
          <w:i/>
          <w:iCs/>
        </w:rPr>
        <w:t xml:space="preserve"> на всіх стадіях життєвого циклу продукції та ланцюгів постачання.</w:t>
      </w:r>
    </w:p>
    <w:p w14:paraId="122ABB3D" w14:textId="77777777" w:rsidR="001C3206" w:rsidRDefault="001C3206" w:rsidP="001C3206">
      <w:pPr>
        <w:rPr>
          <w:b/>
          <w:bCs/>
        </w:rPr>
      </w:pPr>
    </w:p>
    <w:p w14:paraId="0C5DD759" w14:textId="77777777" w:rsidR="001C3206" w:rsidRDefault="001C3206" w:rsidP="001C3206">
      <w:r w:rsidRPr="002467E5">
        <w:rPr>
          <w:b/>
          <w:bCs/>
        </w:rPr>
        <w:t xml:space="preserve">Мета </w:t>
      </w:r>
      <w:r>
        <w:rPr>
          <w:b/>
          <w:bCs/>
        </w:rPr>
        <w:t>НПЗУВ</w:t>
      </w:r>
      <w:r w:rsidRPr="002467E5">
        <w:rPr>
          <w:b/>
          <w:bCs/>
        </w:rPr>
        <w:t xml:space="preserve"> </w:t>
      </w:r>
      <w:r>
        <w:rPr>
          <w:b/>
          <w:bCs/>
        </w:rPr>
        <w:t>–</w:t>
      </w:r>
      <w:r>
        <w:t xml:space="preserve"> з</w:t>
      </w:r>
      <w:r w:rsidRPr="00A54A11">
        <w:t>абезпечити стійке споживання та виробництво</w:t>
      </w:r>
      <w:r>
        <w:t xml:space="preserve"> через застосування комплексу заходів, які </w:t>
      </w:r>
      <w:r w:rsidRPr="00A54A11">
        <w:t>зменш</w:t>
      </w:r>
      <w:r>
        <w:t>ують</w:t>
      </w:r>
      <w:r w:rsidRPr="00A54A11">
        <w:t xml:space="preserve"> кількість утворених відходів, сприя</w:t>
      </w:r>
      <w:r>
        <w:t>ють</w:t>
      </w:r>
      <w:r w:rsidRPr="00A54A11">
        <w:t xml:space="preserve"> повторному використанню</w:t>
      </w:r>
      <w:r>
        <w:t>, зменшенню вмісту небезпечних</w:t>
      </w:r>
      <w:r w:rsidRPr="00A54A11">
        <w:t xml:space="preserve"> речовин у матеріалах та продукції</w:t>
      </w:r>
      <w:r>
        <w:t xml:space="preserve"> та </w:t>
      </w:r>
      <w:r w:rsidRPr="00A54A11">
        <w:t>мініміз</w:t>
      </w:r>
      <w:r>
        <w:t xml:space="preserve">ують негативний </w:t>
      </w:r>
      <w:r w:rsidRPr="00A54A11">
        <w:t xml:space="preserve">вплив </w:t>
      </w:r>
      <w:r>
        <w:t>від видалення</w:t>
      </w:r>
      <w:r w:rsidRPr="00A54A11">
        <w:t xml:space="preserve"> відходів </w:t>
      </w:r>
      <w:r>
        <w:t>на здоров’я людей та</w:t>
      </w:r>
      <w:r w:rsidRPr="00A54A11">
        <w:t xml:space="preserve"> навколишнє середовище.</w:t>
      </w:r>
    </w:p>
    <w:p w14:paraId="071B300D" w14:textId="77777777" w:rsidR="001C3206" w:rsidRDefault="001C3206" w:rsidP="001C3206">
      <w:pPr>
        <w:pStyle w:val="NormalBold"/>
      </w:pPr>
      <w:r>
        <w:t>Цілі НПЗУВ:</w:t>
      </w:r>
    </w:p>
    <w:p w14:paraId="390F1779" w14:textId="77777777" w:rsidR="001C3206" w:rsidRDefault="001C3206" w:rsidP="001C3206">
      <w:pPr>
        <w:pStyle w:val="BulletRED"/>
        <w:ind w:left="924" w:hanging="357"/>
      </w:pPr>
      <w:r w:rsidRPr="00717D2D">
        <w:rPr>
          <w:rStyle w:val="REDBoldonlyChar"/>
        </w:rPr>
        <w:t>Зменшення утворення відходів</w:t>
      </w:r>
      <w:r>
        <w:rPr>
          <w:rStyle w:val="REDBoldonlyChar"/>
        </w:rPr>
        <w:t>.</w:t>
      </w:r>
      <w:r>
        <w:t xml:space="preserve"> Досягнення зниження обсягу побутових та промислових відходів </w:t>
      </w:r>
      <w:r w:rsidRPr="00194613">
        <w:t>на одиницю валового внутрішнього продукту (ВВП) або валової доданої вартості (ВДВ)</w:t>
      </w:r>
      <w:r>
        <w:t xml:space="preserve"> на протягом наступних 10 років.</w:t>
      </w:r>
    </w:p>
    <w:p w14:paraId="13045201" w14:textId="77777777" w:rsidR="001C3206" w:rsidRDefault="001C3206" w:rsidP="001C3206">
      <w:pPr>
        <w:pStyle w:val="BulletRED"/>
        <w:ind w:left="924" w:hanging="357"/>
      </w:pPr>
      <w:r w:rsidRPr="00BD395E">
        <w:rPr>
          <w:rStyle w:val="REDBoldonlyChar"/>
        </w:rPr>
        <w:t>Продовження терміну служби продукції</w:t>
      </w:r>
      <w:r>
        <w:rPr>
          <w:rStyle w:val="REDBoldonlyChar"/>
        </w:rPr>
        <w:t>.</w:t>
      </w:r>
      <w:r>
        <w:t xml:space="preserve"> Запровадження ініціатив, які стимулюють виробництво та споживання товарів з тривалим терміном служби, з метою зниження відходів продукції, заборона запланованого передчасного старіння продукції.</w:t>
      </w:r>
    </w:p>
    <w:p w14:paraId="27CAAA0F" w14:textId="77777777" w:rsidR="001C3206" w:rsidRDefault="001C3206" w:rsidP="001C3206">
      <w:pPr>
        <w:pStyle w:val="BulletRED"/>
        <w:ind w:left="924" w:hanging="357"/>
      </w:pPr>
      <w:r w:rsidRPr="00194613">
        <w:rPr>
          <w:rStyle w:val="REDBoldonlyChar"/>
        </w:rPr>
        <w:t>Сприяння повторному використанню</w:t>
      </w:r>
      <w:r>
        <w:rPr>
          <w:rStyle w:val="REDBoldonlyChar"/>
        </w:rPr>
        <w:t>.</w:t>
      </w:r>
      <w:r>
        <w:t xml:space="preserve"> Впровадження системи для повторного використання предметів, що знизить обсяг відходів, що викидаються.</w:t>
      </w:r>
    </w:p>
    <w:p w14:paraId="24EAD60C" w14:textId="77777777" w:rsidR="001C3206" w:rsidRDefault="001C3206" w:rsidP="001C3206">
      <w:pPr>
        <w:pStyle w:val="BulletRED"/>
        <w:ind w:left="924" w:hanging="357"/>
      </w:pPr>
      <w:r w:rsidRPr="00194613">
        <w:rPr>
          <w:rStyle w:val="REDBoldonlyChar"/>
        </w:rPr>
        <w:t xml:space="preserve">Моніторинг та зменшення </w:t>
      </w:r>
      <w:r>
        <w:rPr>
          <w:rStyle w:val="REDBoldonlyChar"/>
        </w:rPr>
        <w:t xml:space="preserve">вмісту </w:t>
      </w:r>
      <w:r w:rsidRPr="00194613">
        <w:rPr>
          <w:rStyle w:val="REDBoldonlyChar"/>
        </w:rPr>
        <w:t>небезпечних речовин</w:t>
      </w:r>
      <w:r>
        <w:t>. Впровадження системи контролю та маркування продукції, що містить небезпечні речовини, а також ініціатив, спрямованих на їх заміну безпечними альтернативами.</w:t>
      </w:r>
    </w:p>
    <w:p w14:paraId="6022409B" w14:textId="77777777" w:rsidR="001C3206" w:rsidRDefault="001C3206" w:rsidP="001C3206">
      <w:pPr>
        <w:pStyle w:val="BulletRED"/>
        <w:ind w:left="924" w:hanging="357"/>
      </w:pPr>
      <w:r>
        <w:rPr>
          <w:rStyle w:val="REDBoldonlyChar"/>
        </w:rPr>
        <w:t xml:space="preserve">Просвіта та </w:t>
      </w:r>
      <w:r w:rsidRPr="00194613">
        <w:rPr>
          <w:rStyle w:val="REDBoldonlyChar"/>
        </w:rPr>
        <w:t>інформаційні кампанії</w:t>
      </w:r>
      <w:r>
        <w:t>. Проведення щорічних кампаній з підвищення обізнаності та просвітництва для громадян та підприємств з питань запобігання та зменшення утворення відходів та безпечного управління ними.</w:t>
      </w:r>
    </w:p>
    <w:p w14:paraId="1D1567A2" w14:textId="77777777" w:rsidR="001C3206" w:rsidRDefault="001C3206" w:rsidP="001C3206">
      <w:pPr>
        <w:pStyle w:val="BulletRED"/>
        <w:ind w:left="924" w:hanging="357"/>
      </w:pPr>
      <w:r w:rsidRPr="00194613">
        <w:rPr>
          <w:rStyle w:val="REDBoldonlyChar"/>
        </w:rPr>
        <w:t>Добровільні угоди.</w:t>
      </w:r>
      <w:r>
        <w:t xml:space="preserve"> Співпраця з промисловими підприємствами для розроблення та впровадження технологій та практик, які зменшують утворення відходів та сприяють стійкому виробництву.</w:t>
      </w:r>
    </w:p>
    <w:p w14:paraId="593565DA" w14:textId="77777777" w:rsidR="001C3206" w:rsidRDefault="001C3206" w:rsidP="001C3206">
      <w:pPr>
        <w:pStyle w:val="BulletRED"/>
        <w:ind w:left="924" w:hanging="357"/>
      </w:pPr>
      <w:r w:rsidRPr="00194613">
        <w:rPr>
          <w:rStyle w:val="REDBoldonlyChar"/>
        </w:rPr>
        <w:t>Законодавча підтримка</w:t>
      </w:r>
      <w:r>
        <w:rPr>
          <w:rStyle w:val="REDBoldonlyChar"/>
        </w:rPr>
        <w:t>.</w:t>
      </w:r>
      <w:r>
        <w:t xml:space="preserve"> Розроблення та прийняття нормативних актів, що стимулюють запобігання відходів, заборону використання окремих небезпечних речовин та посилення відповідальності за порушення.</w:t>
      </w:r>
    </w:p>
    <w:p w14:paraId="70913848" w14:textId="77777777" w:rsidR="001C3206" w:rsidRDefault="001C3206" w:rsidP="001C3206">
      <w:pPr>
        <w:pStyle w:val="BulletRED"/>
        <w:ind w:left="924" w:hanging="357"/>
      </w:pPr>
      <w:r w:rsidRPr="00194613">
        <w:rPr>
          <w:rStyle w:val="REDBoldonlyChar"/>
        </w:rPr>
        <w:t>Сприяння переходу до більш сталих та циркулярних моделей виробництва та споживання.</w:t>
      </w:r>
      <w:r>
        <w:t xml:space="preserve"> Розроблення та реалізація стратегії циркулярної економіки.</w:t>
      </w:r>
    </w:p>
    <w:p w14:paraId="0E290511" w14:textId="77777777" w:rsidR="001C3206" w:rsidRDefault="001C3206" w:rsidP="001C3206">
      <w:pPr>
        <w:pStyle w:val="BulletRED"/>
        <w:ind w:left="924" w:hanging="357"/>
      </w:pPr>
      <w:r w:rsidRPr="00194613">
        <w:rPr>
          <w:rStyle w:val="REDBoldonlyChar"/>
        </w:rPr>
        <w:t>Зменшення відходів, які відправляються на захоронення на полігони та звалища.</w:t>
      </w:r>
      <w:r>
        <w:t xml:space="preserve"> Виконання Програми зменшення захоронення відходів, що біологічно розкладаються.</w:t>
      </w:r>
    </w:p>
    <w:p w14:paraId="56B407A9" w14:textId="77777777" w:rsidR="001C3206" w:rsidRDefault="001C3206" w:rsidP="001C3206">
      <w:pPr>
        <w:pStyle w:val="BulletRED"/>
        <w:ind w:left="924" w:hanging="357"/>
      </w:pPr>
      <w:r>
        <w:rPr>
          <w:rStyle w:val="REDBoldonlyChar"/>
        </w:rPr>
        <w:t>Зелені публічні закупівлі, п</w:t>
      </w:r>
      <w:r w:rsidRPr="00880BB3">
        <w:rPr>
          <w:rStyle w:val="REDBoldonlyChar"/>
        </w:rPr>
        <w:t>ублічні закупівлі із оцінкою вартості життєвого циклу.</w:t>
      </w:r>
      <w:r>
        <w:t xml:space="preserve"> З</w:t>
      </w:r>
      <w:r w:rsidRPr="00880BB3">
        <w:t>астосування критерію оцінки вартості життєвого циклу в публічних закупівлях</w:t>
      </w:r>
      <w:r>
        <w:t xml:space="preserve">, включивши </w:t>
      </w:r>
      <w:r w:rsidRPr="00880BB3">
        <w:t>витрати, пов’язані з</w:t>
      </w:r>
      <w:r>
        <w:t xml:space="preserve"> </w:t>
      </w:r>
      <w:r w:rsidRPr="00880BB3">
        <w:t>збором та утилізацією товару (товарів)</w:t>
      </w:r>
      <w:r>
        <w:t xml:space="preserve"> у 10% публічних закупівель.</w:t>
      </w:r>
    </w:p>
    <w:p w14:paraId="5396B7DC" w14:textId="77777777" w:rsidR="001C3206" w:rsidRDefault="001C3206" w:rsidP="001C3206">
      <w:pPr>
        <w:pStyle w:val="BulletRED"/>
        <w:ind w:left="924" w:hanging="357"/>
      </w:pPr>
      <w:r>
        <w:rPr>
          <w:rStyle w:val="REDBoldonlyChar"/>
        </w:rPr>
        <w:t xml:space="preserve">Встановлення вимог щодо частки сировини, отриманої з будівельних відходів для заміни первинної сировини у будівництві об’єктів. </w:t>
      </w:r>
      <w:r w:rsidRPr="00880BB3">
        <w:t>3% - до 2030 року, 10% до 2035%.</w:t>
      </w:r>
      <w:r>
        <w:rPr>
          <w:rStyle w:val="REDBoldonlyChar"/>
        </w:rPr>
        <w:t xml:space="preserve"> </w:t>
      </w:r>
    </w:p>
    <w:p w14:paraId="5818481D" w14:textId="77777777" w:rsidR="001C3206" w:rsidRDefault="001C3206" w:rsidP="001C3206">
      <w:r>
        <w:t xml:space="preserve">Встановлення кількісних цілей із запобігання утворенню відходів не можливе на даному етапі, оскільки відсутнє повне покриття послугами з управління побутовими відходами для населення, дані щодо звітування компаніями про кількість утворення відходів не є повними та релевантними, що покликана змінити нова інформаційна система збирання даних, яка на момент розроблення НПЗУВ знаходиться в режимі тестування та не розпочала роботу. Переліченні чинники унеможливлюють підрахунок обсягів утворення відходів різними секторами для використання їх як відправної (орієнтовної) точки для зменшення відходів. Встановлення кількісних цільових показників рекомендоване під час оновлення НПЗУВ для ефективної реалізації заходів. </w:t>
      </w:r>
    </w:p>
    <w:p w14:paraId="36936E88" w14:textId="77777777" w:rsidR="001C3206" w:rsidRDefault="001C3206" w:rsidP="00CC5823">
      <w:pPr>
        <w:pStyle w:val="REDBoldonly"/>
      </w:pPr>
      <w:bookmarkStart w:id="108" w:name="_Toc150293347"/>
      <w:r w:rsidRPr="009F5B1C">
        <w:t>Принципи</w:t>
      </w:r>
      <w:r>
        <w:t xml:space="preserve"> на яких базується НПЗУВ</w:t>
      </w:r>
      <w:bookmarkEnd w:id="108"/>
    </w:p>
    <w:p w14:paraId="510423C2" w14:textId="77777777" w:rsidR="001C3206" w:rsidRDefault="001C3206" w:rsidP="001C3206">
      <w:pPr>
        <w:pStyle w:val="BulletRED"/>
        <w:ind w:left="924" w:hanging="357"/>
      </w:pPr>
      <w:r w:rsidRPr="00DF7C66">
        <w:t>принцип сталого розвитку</w:t>
      </w:r>
      <w:r>
        <w:t>;</w:t>
      </w:r>
    </w:p>
    <w:p w14:paraId="26DCA6D7" w14:textId="77777777" w:rsidR="001C3206" w:rsidRDefault="001C3206" w:rsidP="001C3206">
      <w:pPr>
        <w:pStyle w:val="BulletRED"/>
        <w:ind w:left="924" w:hanging="357"/>
      </w:pPr>
      <w:r w:rsidRPr="00DF7C66">
        <w:t>принцип еко</w:t>
      </w:r>
      <w:r>
        <w:t>-</w:t>
      </w:r>
      <w:r w:rsidRPr="00DF7C66">
        <w:t>ефективності та еко-достатності (мінімальне споживання ресурсів та мінімальний вплив на навколишнє середовище для досягнення високої якості життя на сталому рівні)</w:t>
      </w:r>
      <w:r>
        <w:t>;</w:t>
      </w:r>
    </w:p>
    <w:p w14:paraId="79F94604" w14:textId="77777777" w:rsidR="001C3206" w:rsidRDefault="001C3206" w:rsidP="001C3206">
      <w:pPr>
        <w:pStyle w:val="BulletRED"/>
        <w:ind w:left="924" w:hanging="357"/>
      </w:pPr>
      <w:r w:rsidRPr="00DF7C66">
        <w:t>системне мислення, що охоплює весь життєвий цикл</w:t>
      </w:r>
      <w:r>
        <w:t>;</w:t>
      </w:r>
      <w:r w:rsidRPr="00DF7C66">
        <w:t xml:space="preserve"> </w:t>
      </w:r>
    </w:p>
    <w:p w14:paraId="6B000555" w14:textId="77777777" w:rsidR="001C3206" w:rsidRDefault="001C3206" w:rsidP="001C3206">
      <w:pPr>
        <w:pStyle w:val="BulletRED"/>
        <w:ind w:left="924" w:hanging="357"/>
      </w:pPr>
      <w:r w:rsidRPr="00DF7C66">
        <w:t>принцип відображення витрат</w:t>
      </w:r>
      <w:r>
        <w:t>;</w:t>
      </w:r>
    </w:p>
    <w:p w14:paraId="7AD96DB5" w14:textId="77777777" w:rsidR="001C3206" w:rsidRDefault="001C3206" w:rsidP="001C3206">
      <w:pPr>
        <w:pStyle w:val="BulletRED"/>
        <w:ind w:left="924" w:hanging="357"/>
      </w:pPr>
      <w:r w:rsidRPr="00DF7C66">
        <w:t xml:space="preserve">принцип ефективності (слід </w:t>
      </w:r>
      <w:r>
        <w:t>підтримувати</w:t>
      </w:r>
      <w:r w:rsidRPr="00DF7C66">
        <w:t xml:space="preserve"> процес</w:t>
      </w:r>
      <w:r>
        <w:t>и</w:t>
      </w:r>
      <w:r w:rsidRPr="00DF7C66">
        <w:t xml:space="preserve"> з найбільш сприятливим співвідношенням екологічних витрат і вигод)</w:t>
      </w:r>
      <w:r>
        <w:t>;</w:t>
      </w:r>
    </w:p>
    <w:p w14:paraId="0252C540" w14:textId="77777777" w:rsidR="001C3206" w:rsidRDefault="001C3206" w:rsidP="001C3206">
      <w:pPr>
        <w:pStyle w:val="BulletRED"/>
        <w:ind w:left="924" w:hanging="357"/>
      </w:pPr>
      <w:r w:rsidRPr="00DF7C66">
        <w:t>принцип "забруднювач платить" та</w:t>
      </w:r>
      <w:r>
        <w:t xml:space="preserve"> розширена</w:t>
      </w:r>
      <w:r w:rsidRPr="00DF7C66">
        <w:t xml:space="preserve"> відповідальність виробника</w:t>
      </w:r>
      <w:r>
        <w:t>;</w:t>
      </w:r>
    </w:p>
    <w:p w14:paraId="3C65CB8B" w14:textId="77777777" w:rsidR="001C3206" w:rsidRDefault="001C3206" w:rsidP="001C3206">
      <w:pPr>
        <w:pStyle w:val="BulletRED"/>
        <w:ind w:left="924" w:hanging="357"/>
      </w:pPr>
      <w:r w:rsidRPr="00DF7C66">
        <w:t xml:space="preserve">принцип </w:t>
      </w:r>
      <w:r>
        <w:t>запобігання;</w:t>
      </w:r>
      <w:r w:rsidRPr="00DF7C66">
        <w:t xml:space="preserve"> </w:t>
      </w:r>
    </w:p>
    <w:p w14:paraId="283E5C2E" w14:textId="77777777" w:rsidR="001C3206" w:rsidRDefault="001C3206" w:rsidP="001C3206">
      <w:pPr>
        <w:pStyle w:val="BulletRED"/>
        <w:ind w:left="924" w:hanging="357"/>
      </w:pPr>
      <w:r w:rsidRPr="007512DF">
        <w:t xml:space="preserve">територіальної наближеності </w:t>
      </w:r>
      <w:r w:rsidRPr="00DF7C66">
        <w:t>(короткі транспортні маршрути протягом життєвого циклу)</w:t>
      </w:r>
      <w:r>
        <w:t>;</w:t>
      </w:r>
      <w:r w:rsidRPr="00DF7C66">
        <w:t xml:space="preserve"> </w:t>
      </w:r>
    </w:p>
    <w:p w14:paraId="10CF9B09" w14:textId="77777777" w:rsidR="00CC5823" w:rsidRDefault="001C3206" w:rsidP="00CC5823">
      <w:pPr>
        <w:pStyle w:val="BulletRED"/>
        <w:ind w:left="924" w:hanging="357"/>
        <w:rPr>
          <w:b/>
          <w:bCs/>
        </w:rPr>
      </w:pPr>
      <w:r w:rsidRPr="00DF7C66">
        <w:t>ієрархія управління відходами (спочатку слід використовувати потенціал запобігання утворенню відходів</w:t>
      </w:r>
      <w:r>
        <w:t xml:space="preserve"> та </w:t>
      </w:r>
      <w:r w:rsidRPr="00DF7C66">
        <w:t>потенціал повторного використання продукції, потім</w:t>
      </w:r>
      <w:r>
        <w:t xml:space="preserve"> – інші операції відновлення та видалення).</w:t>
      </w:r>
      <w:r w:rsidRPr="003913C3">
        <w:rPr>
          <w:b/>
          <w:bCs/>
        </w:rPr>
        <w:t xml:space="preserve"> </w:t>
      </w:r>
      <w:bookmarkStart w:id="109" w:name="_Toc150293348"/>
    </w:p>
    <w:p w14:paraId="16EF3B1D" w14:textId="181C4D56" w:rsidR="00870CD4" w:rsidRPr="00CC5823" w:rsidRDefault="00870CD4" w:rsidP="00CC5823">
      <w:pPr>
        <w:pStyle w:val="30"/>
        <w:rPr>
          <w:bCs/>
        </w:rPr>
      </w:pPr>
      <w:bookmarkStart w:id="110" w:name="_Toc151583285"/>
      <w:r w:rsidRPr="00CC5823">
        <w:t>Поточна ситуація запобігання утворенню відходів</w:t>
      </w:r>
      <w:bookmarkEnd w:id="109"/>
      <w:bookmarkEnd w:id="110"/>
      <w:r w:rsidRPr="00CC5823">
        <w:t xml:space="preserve"> </w:t>
      </w:r>
    </w:p>
    <w:p w14:paraId="72BB7982" w14:textId="77777777" w:rsidR="00870CD4" w:rsidRDefault="00870CD4" w:rsidP="00CC5823">
      <w:pPr>
        <w:pStyle w:val="REDBoldonly"/>
      </w:pPr>
      <w:bookmarkStart w:id="111" w:name="_Toc150293349"/>
      <w:r>
        <w:t>Законодавство</w:t>
      </w:r>
      <w:bookmarkEnd w:id="111"/>
    </w:p>
    <w:p w14:paraId="1D31765A" w14:textId="77777777" w:rsidR="00870CD4" w:rsidRDefault="00870CD4" w:rsidP="00870CD4">
      <w:r>
        <w:t>Ухвалення нового закону «Про управління відходами» заклало</w:t>
      </w:r>
      <w:r w:rsidRPr="004378C5">
        <w:t xml:space="preserve"> основи для </w:t>
      </w:r>
      <w:r>
        <w:t xml:space="preserve">створення </w:t>
      </w:r>
      <w:r w:rsidRPr="004378C5">
        <w:t xml:space="preserve">ефективної системи з акцентом на пріоритетність запобігання </w:t>
      </w:r>
      <w:r>
        <w:t>утворення</w:t>
      </w:r>
      <w:r w:rsidRPr="004378C5">
        <w:t xml:space="preserve"> відходів.</w:t>
      </w:r>
      <w:r>
        <w:t xml:space="preserve"> </w:t>
      </w:r>
      <w:r w:rsidRPr="00257A75">
        <w:t xml:space="preserve">Хоча поточні закони та законопроєкти можуть бути не ідеальними та мати певні недоліки, вони відображають зростаючу увагу держави до проблем утворення відходів і акцентують необхідність переходу до принципів циркулярної економіки. Існує ряд </w:t>
      </w:r>
      <w:r>
        <w:t xml:space="preserve">законодавчих </w:t>
      </w:r>
      <w:r w:rsidRPr="00257A75">
        <w:t xml:space="preserve">ініціатив, які спрямовані на удосконалення та доповнення цього законодавства, щоб відповідати сучасним викликам та стандартам у сфері </w:t>
      </w:r>
      <w:r>
        <w:t>управління відходами</w:t>
      </w:r>
      <w:r w:rsidRPr="00257A75">
        <w:t xml:space="preserve">. </w:t>
      </w:r>
    </w:p>
    <w:p w14:paraId="0D961392" w14:textId="77777777" w:rsidR="00870CD4" w:rsidRDefault="00870CD4" w:rsidP="00870CD4">
      <w:r>
        <w:t xml:space="preserve">У 2021 році було </w:t>
      </w:r>
      <w:r w:rsidRPr="00EA076E">
        <w:rPr>
          <w:b/>
          <w:bCs/>
        </w:rPr>
        <w:t>прийнято Закон України «Про обмеження обігу пластикових пакетів на території».</w:t>
      </w:r>
      <w:r w:rsidRPr="003E2788">
        <w:t xml:space="preserve"> </w:t>
      </w:r>
      <w:r w:rsidRPr="002947A8">
        <w:t xml:space="preserve">Цей </w:t>
      </w:r>
      <w:r>
        <w:t>з</w:t>
      </w:r>
      <w:r w:rsidRPr="002947A8">
        <w:t>акон спрямований на зменшення обсягу використання в Україні пластикових пакетів, обмеження їх розповсюдження з метою поліпшення стану навколишнього природного середовища та благоустрою територій.</w:t>
      </w:r>
      <w:r>
        <w:t xml:space="preserve"> За результатами півторарічної дії закону роздрібні продуктові мережі говорять про спад у купівлі </w:t>
      </w:r>
      <w:r w:rsidRPr="00CF0E1F">
        <w:t>поліетиленових пакетів</w:t>
      </w:r>
      <w:r>
        <w:t xml:space="preserve"> близько на 50%, в той же час зростають продажі </w:t>
      </w:r>
      <w:r w:rsidRPr="00370891">
        <w:t>біорозкладних пакетів для фасування</w:t>
      </w:r>
      <w:r>
        <w:t xml:space="preserve">. </w:t>
      </w:r>
    </w:p>
    <w:p w14:paraId="51797658" w14:textId="77777777" w:rsidR="00870CD4" w:rsidRDefault="00870CD4" w:rsidP="00870CD4">
      <w:r>
        <w:t>Закон потребує вдосконалення в частині маркування пластикових пакетів із зазначенням здатності пакетів до компостування та посилення контролю за дотриманням його норм.</w:t>
      </w:r>
    </w:p>
    <w:p w14:paraId="3BBDF18D" w14:textId="77777777" w:rsidR="00870CD4" w:rsidRDefault="00870CD4" w:rsidP="00870CD4">
      <w:r w:rsidRPr="00EA076E">
        <w:rPr>
          <w:b/>
          <w:bCs/>
        </w:rPr>
        <w:t>Законом України «Про управління відходами»</w:t>
      </w:r>
      <w:r>
        <w:t xml:space="preserve"> передбачено впровадження систем розширеної відповідальності виробника. Всі, хто вводить в обіг товари в упаковці, сервісну упаковку, батареї та акумулятори, електричне та електронне обладнання та іншу продукцію, щодо якої встановлена РВВ, нестиме відповідальність за управління відходами, які утворюються від їх продукції. </w:t>
      </w:r>
    </w:p>
    <w:p w14:paraId="00E87110" w14:textId="77777777" w:rsidR="00870CD4" w:rsidRDefault="00870CD4" w:rsidP="00870CD4">
      <w:r>
        <w:t xml:space="preserve">Для реалізації цієї вимоги на практиці необхідно розробити та прийняти відповідні секторальні закони, зокрема «Про </w:t>
      </w:r>
      <w:r w:rsidRPr="003A5413">
        <w:t>батареї та акумулятори</w:t>
      </w:r>
      <w:r>
        <w:t xml:space="preserve">», «Про відходи </w:t>
      </w:r>
      <w:r w:rsidRPr="003A5413">
        <w:t>електричн</w:t>
      </w:r>
      <w:r>
        <w:t>ого</w:t>
      </w:r>
      <w:r w:rsidRPr="003A5413">
        <w:t xml:space="preserve"> та електронн</w:t>
      </w:r>
      <w:r>
        <w:t>ого</w:t>
      </w:r>
      <w:r w:rsidRPr="003A5413">
        <w:t xml:space="preserve"> обладнання</w:t>
      </w:r>
      <w:r>
        <w:t xml:space="preserve">», «Про </w:t>
      </w:r>
      <w:r w:rsidRPr="00F65BFB">
        <w:t>упаковку та відходи упаковки</w:t>
      </w:r>
      <w:r>
        <w:t xml:space="preserve">» та підзаконні нормативні акти. </w:t>
      </w:r>
      <w:r w:rsidRPr="008E1277">
        <w:t xml:space="preserve">У </w:t>
      </w:r>
      <w:r>
        <w:t>законопроектах також необхідно</w:t>
      </w:r>
      <w:r w:rsidRPr="008E1277">
        <w:t xml:space="preserve"> окресл</w:t>
      </w:r>
      <w:r>
        <w:t>ити</w:t>
      </w:r>
      <w:r w:rsidRPr="008E1277">
        <w:t xml:space="preserve"> вимоги </w:t>
      </w:r>
      <w:r>
        <w:t>щодо</w:t>
      </w:r>
      <w:r w:rsidRPr="008E1277">
        <w:t xml:space="preserve"> зменшення </w:t>
      </w:r>
      <w:r>
        <w:t>вмісту</w:t>
      </w:r>
      <w:r w:rsidRPr="008E1277">
        <w:t xml:space="preserve"> небезпечних речовин</w:t>
      </w:r>
      <w:r>
        <w:t xml:space="preserve"> у продукції. Наразі зареєстровано </w:t>
      </w:r>
      <w:r w:rsidRPr="00EA076E">
        <w:rPr>
          <w:b/>
          <w:bCs/>
        </w:rPr>
        <w:t>законопроєкт «Про упаковку та відходи упаковки»</w:t>
      </w:r>
      <w:r>
        <w:t xml:space="preserve"> під №</w:t>
      </w:r>
      <w:r w:rsidRPr="00E10EE8">
        <w:t>10066</w:t>
      </w:r>
      <w:r>
        <w:t xml:space="preserve"> та два альтернативних, серед іншого </w:t>
      </w:r>
      <w:r w:rsidRPr="00F472F5">
        <w:t>заход</w:t>
      </w:r>
      <w:r>
        <w:t>ам</w:t>
      </w:r>
      <w:r w:rsidRPr="00F472F5">
        <w:t>,</w:t>
      </w:r>
      <w:r>
        <w:t xml:space="preserve"> які</w:t>
      </w:r>
      <w:r w:rsidRPr="00F472F5">
        <w:t xml:space="preserve"> спрямовані на запобігання утворення</w:t>
      </w:r>
      <w:r>
        <w:t xml:space="preserve"> відходів та впровадження багаторазової упаковки </w:t>
      </w:r>
      <w:r w:rsidRPr="005663E6">
        <w:t>не приділяється достатньої уваги</w:t>
      </w:r>
      <w:r>
        <w:t>.</w:t>
      </w:r>
    </w:p>
    <w:p w14:paraId="7046272F" w14:textId="77777777" w:rsidR="00870CD4" w:rsidRDefault="00870CD4" w:rsidP="00870CD4">
      <w:r>
        <w:t xml:space="preserve">Розроблено </w:t>
      </w:r>
      <w:r w:rsidRPr="00EA076E">
        <w:rPr>
          <w:b/>
          <w:bCs/>
        </w:rPr>
        <w:t>проєкт Закону України “Про обмеження виробництва та обігу пластикової продукції одноразового використання на території України”</w:t>
      </w:r>
      <w:r>
        <w:t>, який був зареєстрований під</w:t>
      </w:r>
      <w:r w:rsidRPr="00D126B8">
        <w:t xml:space="preserve"> № 6077 від</w:t>
      </w:r>
      <w:r>
        <w:t xml:space="preserve"> 21.09.2021 у Верховній Раді. Проєкт закону:</w:t>
      </w:r>
    </w:p>
    <w:p w14:paraId="4E5A3501" w14:textId="77777777" w:rsidR="00870CD4" w:rsidRDefault="00870CD4" w:rsidP="00870CD4">
      <w:pPr>
        <w:pStyle w:val="BulletRED"/>
        <w:ind w:left="924" w:hanging="357"/>
      </w:pPr>
      <w:r>
        <w:t>забороняє одноразові вироби із оксорозкладного пластику;</w:t>
      </w:r>
    </w:p>
    <w:p w14:paraId="75B04133" w14:textId="77777777" w:rsidR="00870CD4" w:rsidRDefault="00870CD4" w:rsidP="00870CD4">
      <w:pPr>
        <w:pStyle w:val="BulletRED"/>
        <w:ind w:left="924" w:hanging="357"/>
      </w:pPr>
      <w:r>
        <w:t>забороняє одноразові виделки, ножі, ложки та палички із будь якого пластику. На перехід до екологічної альтернативи буде надано певний час;</w:t>
      </w:r>
    </w:p>
    <w:p w14:paraId="05C23991" w14:textId="77777777" w:rsidR="00870CD4" w:rsidRDefault="00870CD4" w:rsidP="00870CD4">
      <w:pPr>
        <w:pStyle w:val="BulletRED"/>
        <w:ind w:left="924" w:hanging="357"/>
      </w:pPr>
      <w:r>
        <w:t>частково забороняє одноразові пластикові контейнери і стаканчики. Частина цих виробів тимчасово лишається в обігу через відсутність доступної альтернативи;</w:t>
      </w:r>
    </w:p>
    <w:p w14:paraId="072722DB" w14:textId="77777777" w:rsidR="00870CD4" w:rsidRDefault="00870CD4" w:rsidP="00870CD4">
      <w:pPr>
        <w:pStyle w:val="BulletRED"/>
        <w:ind w:left="924" w:hanging="357"/>
      </w:pPr>
      <w:r>
        <w:t>вводить європейське маркування для одноразової продукції, яка не потрапила під заборону.</w:t>
      </w:r>
    </w:p>
    <w:p w14:paraId="0370E15C" w14:textId="77777777" w:rsidR="00870CD4" w:rsidRDefault="00870CD4" w:rsidP="00870CD4">
      <w:pPr>
        <w:pStyle w:val="BulletRED"/>
        <w:numPr>
          <w:ilvl w:val="0"/>
          <w:numId w:val="0"/>
        </w:numPr>
      </w:pPr>
      <w:r>
        <w:t xml:space="preserve">Цей проєкт закону </w:t>
      </w:r>
      <w:r w:rsidRPr="00A13EAF">
        <w:t>05.09.2023 його знято з розгляду</w:t>
      </w:r>
      <w:r>
        <w:t xml:space="preserve">. </w:t>
      </w:r>
    </w:p>
    <w:p w14:paraId="1C8249EF" w14:textId="77777777" w:rsidR="00870CD4" w:rsidRDefault="00870CD4" w:rsidP="00CC5823">
      <w:pPr>
        <w:pStyle w:val="REDBoldonly"/>
      </w:pPr>
      <w:bookmarkStart w:id="112" w:name="_Toc150293350"/>
      <w:r w:rsidRPr="009F5B1C">
        <w:t>Необхідність дій</w:t>
      </w:r>
      <w:bookmarkEnd w:id="112"/>
    </w:p>
    <w:p w14:paraId="4D5B228D" w14:textId="77777777" w:rsidR="00870CD4" w:rsidRDefault="00870CD4" w:rsidP="00870CD4">
      <w:r w:rsidRPr="00380B3C">
        <w:t>Утворення відходів є серйозною екологічною проблемою. Зокрема, тверді відходи спричиняють забруднення повітря та води, збільшують викиди парникових газів, утворюють небезпечні гази та фільтрат, призводять до втрати земельних ресурсів та впливу небезпечних хімічних речовин. Незважаючи на зусилля, спрямовані на зменшення утворення відходів, їхня кількість зростає</w:t>
      </w:r>
      <w:r>
        <w:t xml:space="preserve">. Загальний обсяг  утворення відходів, за даними Держстату, з 2010 по 2020 рік зріс на 9%. </w:t>
      </w:r>
      <w:r w:rsidRPr="00A034A8">
        <w:t>У 2010 році</w:t>
      </w:r>
      <w:r>
        <w:t xml:space="preserve"> обсяг у</w:t>
      </w:r>
      <w:r w:rsidRPr="009360B4">
        <w:t>творення відходів у розрахунку на квадратний кілометр території</w:t>
      </w:r>
      <w:r>
        <w:t xml:space="preserve"> </w:t>
      </w:r>
      <w:r w:rsidRPr="00A034A8">
        <w:t>станов</w:t>
      </w:r>
      <w:r>
        <w:t>ив</w:t>
      </w:r>
      <w:r w:rsidRPr="00A034A8">
        <w:t xml:space="preserve"> </w:t>
      </w:r>
      <w:r>
        <w:t>694,6 т</w:t>
      </w:r>
      <w:r w:rsidRPr="00A034A8">
        <w:t xml:space="preserve">, </w:t>
      </w:r>
      <w:r>
        <w:t xml:space="preserve">а в </w:t>
      </w:r>
      <w:r w:rsidRPr="00A034A8">
        <w:t xml:space="preserve"> 2020 цей показник сягнув </w:t>
      </w:r>
      <w:r>
        <w:t>765,7</w:t>
      </w:r>
      <w:r w:rsidRPr="00A034A8">
        <w:t xml:space="preserve"> </w:t>
      </w:r>
      <w:r>
        <w:t>т</w:t>
      </w:r>
      <w:r w:rsidRPr="00A034A8">
        <w:t>.</w:t>
      </w:r>
      <w:r>
        <w:t xml:space="preserve">, що в  розрахунку на </w:t>
      </w:r>
      <w:r w:rsidRPr="00FE6F39">
        <w:t>одну особу</w:t>
      </w:r>
      <w:r>
        <w:t xml:space="preserve"> становить   9285 кг (2010 р.)  до 10505 кг (2020 р.).</w:t>
      </w:r>
    </w:p>
    <w:p w14:paraId="3C495510" w14:textId="77777777" w:rsidR="00870CD4" w:rsidRPr="00380B3C" w:rsidRDefault="00870CD4" w:rsidP="00870CD4">
      <w:r w:rsidRPr="006B0DB7">
        <w:t>Підраховано, що повторне використання або підготовка до повторного використання може значно скоротити викиди CO</w:t>
      </w:r>
      <w:r w:rsidRPr="00522F3F">
        <w:rPr>
          <w:vertAlign w:val="subscript"/>
        </w:rPr>
        <w:t>2</w:t>
      </w:r>
      <w:r w:rsidRPr="006B0DB7">
        <w:t xml:space="preserve">, </w:t>
      </w:r>
      <w:r>
        <w:t>сприяючи</w:t>
      </w:r>
      <w:r w:rsidRPr="006B0DB7">
        <w:t xml:space="preserve"> при цьому </w:t>
      </w:r>
      <w:r>
        <w:t>створенню нових</w:t>
      </w:r>
      <w:r w:rsidRPr="006B0DB7">
        <w:t xml:space="preserve"> робочих місць. Дані соціальних підприємств у секторі повторного використання показують, що в середньому 70 робочих місць може бути створено на кожну 1000 тонн</w:t>
      </w:r>
      <w:r>
        <w:t xml:space="preserve"> відходів</w:t>
      </w:r>
      <w:r w:rsidRPr="006B0DB7">
        <w:t>, зібран</w:t>
      </w:r>
      <w:r>
        <w:t>их</w:t>
      </w:r>
      <w:r w:rsidRPr="006B0DB7">
        <w:t xml:space="preserve"> з метою повторного використання</w:t>
      </w:r>
      <w:r>
        <w:t>.</w:t>
      </w:r>
      <w:r>
        <w:rPr>
          <w:rStyle w:val="ac"/>
        </w:rPr>
        <w:footnoteReference w:id="5"/>
      </w:r>
    </w:p>
    <w:p w14:paraId="6451187C" w14:textId="77777777" w:rsidR="00870CD4" w:rsidRDefault="00870CD4" w:rsidP="00681D30">
      <w:pPr>
        <w:pStyle w:val="REDBoldonly"/>
      </w:pPr>
      <w:bookmarkStart w:id="113" w:name="_Toc150293351"/>
      <w:r w:rsidRPr="009F5B1C">
        <w:t>Вимоги до Програми запобігання утворенню відходів</w:t>
      </w:r>
      <w:bookmarkEnd w:id="113"/>
    </w:p>
    <w:p w14:paraId="16252670" w14:textId="77777777" w:rsidR="00870CD4" w:rsidRDefault="00870CD4" w:rsidP="00870CD4">
      <w:r>
        <w:t>Згідно із статтею 5 закону України «Про управління відходами» запобігання утворенню відходів досягається реалізацією таких заходів:</w:t>
      </w:r>
    </w:p>
    <w:p w14:paraId="2A4064EA" w14:textId="77777777" w:rsidR="00870CD4" w:rsidRPr="00870CD4" w:rsidRDefault="00870CD4" w:rsidP="00870CD4">
      <w:pPr>
        <w:pStyle w:val="a1"/>
        <w:numPr>
          <w:ilvl w:val="0"/>
          <w:numId w:val="56"/>
        </w:numPr>
        <w:rPr>
          <w:color w:val="auto"/>
        </w:rPr>
      </w:pPr>
      <w:r w:rsidRPr="00870CD4">
        <w:rPr>
          <w:color w:val="auto"/>
        </w:rPr>
        <w:t>заохочення та підтримка сталого виробництва і споживання продукції;</w:t>
      </w:r>
    </w:p>
    <w:p w14:paraId="036C30C4" w14:textId="77777777" w:rsidR="00870CD4" w:rsidRPr="00E26C6E" w:rsidRDefault="00870CD4" w:rsidP="00870CD4">
      <w:pPr>
        <w:pStyle w:val="a1"/>
        <w:rPr>
          <w:color w:val="auto"/>
        </w:rPr>
      </w:pPr>
      <w:r w:rsidRPr="00E26C6E">
        <w:rPr>
          <w:color w:val="auto"/>
        </w:rPr>
        <w:t>заохочення проектування, виробництва та використання ресурсоефективної та більш довговічної продукції, у тому числі подовження строку її використання, а також продукції, придатної до ремонту, повторного використання та модернізації;</w:t>
      </w:r>
    </w:p>
    <w:p w14:paraId="689774D1" w14:textId="77777777" w:rsidR="00870CD4" w:rsidRPr="00E26C6E" w:rsidRDefault="00870CD4" w:rsidP="00870CD4">
      <w:pPr>
        <w:pStyle w:val="a1"/>
        <w:rPr>
          <w:color w:val="auto"/>
        </w:rPr>
      </w:pPr>
      <w:r w:rsidRPr="00E26C6E">
        <w:rPr>
          <w:color w:val="auto"/>
        </w:rPr>
        <w:t>виділення з відходів сировини, яка може бути використана повторно;</w:t>
      </w:r>
    </w:p>
    <w:p w14:paraId="156956D0" w14:textId="77777777" w:rsidR="00870CD4" w:rsidRPr="00E26C6E" w:rsidRDefault="00870CD4" w:rsidP="00870CD4">
      <w:pPr>
        <w:pStyle w:val="a1"/>
        <w:rPr>
          <w:color w:val="auto"/>
        </w:rPr>
      </w:pPr>
      <w:r w:rsidRPr="00E26C6E">
        <w:rPr>
          <w:color w:val="auto"/>
        </w:rPr>
        <w:t>забезпечення доступності запасних частин, інструкцій з експлуатації, технічної інформації чи інших інструментів, обладнання або програмного забезпечення, що дозволяють проводити ремонт і забезпечують повторне використання продукції без зниження рівня її якості та безпечності функціонування;</w:t>
      </w:r>
    </w:p>
    <w:p w14:paraId="053417B9" w14:textId="77777777" w:rsidR="00870CD4" w:rsidRPr="00E26C6E" w:rsidRDefault="00870CD4" w:rsidP="00870CD4">
      <w:pPr>
        <w:pStyle w:val="a1"/>
        <w:rPr>
          <w:color w:val="auto"/>
        </w:rPr>
      </w:pPr>
      <w:r w:rsidRPr="00E26C6E">
        <w:rPr>
          <w:color w:val="auto"/>
        </w:rPr>
        <w:t>зменшення обсягів утворення відходів з урахуванням впровадження найкращих доступних технологій і методів управління у процесі промислового виробництва;</w:t>
      </w:r>
    </w:p>
    <w:p w14:paraId="3A7EC37D" w14:textId="77777777" w:rsidR="00870CD4" w:rsidRPr="00E26C6E" w:rsidRDefault="00870CD4" w:rsidP="00870CD4">
      <w:pPr>
        <w:pStyle w:val="a1"/>
        <w:rPr>
          <w:color w:val="auto"/>
        </w:rPr>
      </w:pPr>
      <w:r w:rsidRPr="00E26C6E">
        <w:rPr>
          <w:color w:val="auto"/>
        </w:rPr>
        <w:t>зменшення вмісту небезпечних речовин у продукції відповідно до технічних регламентів;</w:t>
      </w:r>
    </w:p>
    <w:p w14:paraId="2C1E5D7D" w14:textId="77777777" w:rsidR="00870CD4" w:rsidRPr="00E26C6E" w:rsidRDefault="00870CD4" w:rsidP="00870CD4">
      <w:pPr>
        <w:pStyle w:val="a1"/>
        <w:rPr>
          <w:color w:val="auto"/>
        </w:rPr>
      </w:pPr>
      <w:r w:rsidRPr="00E26C6E">
        <w:rPr>
          <w:color w:val="auto"/>
        </w:rPr>
        <w:t>зменшення утворення відходів, непридатних з технічних чи економічних причин до рециклінгу або інших операцій з відновлення відходів;</w:t>
      </w:r>
    </w:p>
    <w:p w14:paraId="23F55E67" w14:textId="77777777" w:rsidR="00870CD4" w:rsidRPr="00E26C6E" w:rsidRDefault="00870CD4" w:rsidP="00870CD4">
      <w:pPr>
        <w:pStyle w:val="a1"/>
        <w:rPr>
          <w:color w:val="auto"/>
        </w:rPr>
      </w:pPr>
      <w:r w:rsidRPr="00E26C6E">
        <w:rPr>
          <w:color w:val="auto"/>
        </w:rPr>
        <w:t>визначення продукції, яка є основним джерелом засмічення навколишнього природного середовища, та вжиття відповідних заходів для запобігання та зменшення утворення відходів такої продукції;</w:t>
      </w:r>
    </w:p>
    <w:p w14:paraId="17334EAA" w14:textId="77777777" w:rsidR="00870CD4" w:rsidRPr="00E26C6E" w:rsidRDefault="00870CD4" w:rsidP="00870CD4">
      <w:pPr>
        <w:pStyle w:val="a1"/>
        <w:rPr>
          <w:color w:val="auto"/>
        </w:rPr>
      </w:pPr>
      <w:r w:rsidRPr="00E26C6E">
        <w:rPr>
          <w:color w:val="auto"/>
        </w:rPr>
        <w:t>проведення інформаційних кампаній для підвищення обізнаності громадськості з питань запобігання утворенню відходів та забрудненню навколишнього природного середовища;</w:t>
      </w:r>
    </w:p>
    <w:p w14:paraId="265DA0E8" w14:textId="77777777" w:rsidR="00870CD4" w:rsidRPr="00E26C6E" w:rsidRDefault="00870CD4" w:rsidP="00870CD4">
      <w:pPr>
        <w:pStyle w:val="a1"/>
        <w:rPr>
          <w:color w:val="auto"/>
        </w:rPr>
      </w:pPr>
      <w:r w:rsidRPr="00E26C6E">
        <w:rPr>
          <w:color w:val="auto"/>
        </w:rPr>
        <w:t>створення суб’єктами господарювання, органами виконавчої влади, органами місцевого самоврядування відповідно до компетенції та забезпечення діяльності пунктів приймання відходів продукції для ремонту та підготовки їх до повторного використання;</w:t>
      </w:r>
    </w:p>
    <w:p w14:paraId="70F2B341" w14:textId="77777777" w:rsidR="00870CD4" w:rsidRPr="00E26C6E" w:rsidRDefault="00870CD4" w:rsidP="00870CD4">
      <w:pPr>
        <w:pStyle w:val="a1"/>
        <w:rPr>
          <w:color w:val="auto"/>
        </w:rPr>
      </w:pPr>
      <w:r w:rsidRPr="00E26C6E">
        <w:rPr>
          <w:color w:val="auto"/>
        </w:rPr>
        <w:t>зменшення обсягів утворення відходів харчових продуктів у роздрібних та інших торговельних мережах, закладах громадського харчування та домогосподарствах.</w:t>
      </w:r>
    </w:p>
    <w:p w14:paraId="29D3AFB0" w14:textId="77777777" w:rsidR="00870CD4" w:rsidRPr="00A63A22" w:rsidRDefault="00870CD4" w:rsidP="00870CD4">
      <w:r>
        <w:t>В той же час слід зазначити, що</w:t>
      </w:r>
      <w:r w:rsidRPr="00A63A22">
        <w:t>, запобігання утворенню відходів може бути кількісним або якісним. Перше може бути досягнуто шляхом зменшення кількісних обсягів утворення відходів або подовження терміну служби продукту, відтермінування моменту, коли він стає відходами. Якісне запобігання відходам, натомість, означає - зменшення вмісту шкідливих речовин у матеріалах і продуктах або запобігання якісному утворенню відходів, що містять небезпечні речовини.</w:t>
      </w:r>
    </w:p>
    <w:p w14:paraId="3907BC25" w14:textId="77777777" w:rsidR="00870CD4" w:rsidRPr="00E36220" w:rsidRDefault="00870CD4" w:rsidP="00681D30">
      <w:pPr>
        <w:pStyle w:val="REDBoldonly"/>
      </w:pPr>
      <w:bookmarkStart w:id="114" w:name="_Toc150293352"/>
      <w:r w:rsidRPr="00E36220">
        <w:t>Сфера застосування Національної програми запобігання утворенню відходів</w:t>
      </w:r>
      <w:bookmarkEnd w:id="114"/>
      <w:r w:rsidRPr="00E36220">
        <w:t xml:space="preserve"> </w:t>
      </w:r>
    </w:p>
    <w:p w14:paraId="78C99CAC" w14:textId="77777777" w:rsidR="00870CD4" w:rsidRPr="00E36220" w:rsidRDefault="00870CD4" w:rsidP="00870CD4">
      <w:r w:rsidRPr="00E36220">
        <w:t xml:space="preserve">Програма запобігання утворенню відходів </w:t>
      </w:r>
      <w:r>
        <w:t>передбачена</w:t>
      </w:r>
      <w:r w:rsidRPr="00E36220">
        <w:t xml:space="preserve"> в секторі управління відходами, проте її сфера охоплює економіку, матеріальні потоки та продукти, що використовуються в країні, від їхнього виробництва до викидання. Таким чином, Програма запобігання утворенню відходів стосується не лише сектору управління відходами, а й видобувної та переробної промисловості, проектувальників і постачальників послуг, державних і приватних споживачів. Отже, всі сектори економіки можуть бути зацікавленими сторонами в реалізації Програми запобігання утворення відходів та її підготовки.</w:t>
      </w:r>
    </w:p>
    <w:p w14:paraId="698C6C64" w14:textId="77777777" w:rsidR="00870CD4" w:rsidRDefault="00870CD4" w:rsidP="00870CD4">
      <w:r w:rsidRPr="00E36220">
        <w:t>Для досягнення цілей Програми обрано наступні шляхи запобігання утворенню відходів:</w:t>
      </w:r>
    </w:p>
    <w:p w14:paraId="4B27268C" w14:textId="77777777" w:rsidR="00870CD4" w:rsidRPr="005B7679" w:rsidRDefault="00870CD4" w:rsidP="00870CD4">
      <w:pPr>
        <w:pStyle w:val="BulletRED"/>
        <w:ind w:left="924" w:hanging="357"/>
      </w:pPr>
      <w:r w:rsidRPr="005B7679">
        <w:t>Спрям</w:t>
      </w:r>
      <w:r>
        <w:t>ування</w:t>
      </w:r>
      <w:r w:rsidRPr="005B7679">
        <w:t xml:space="preserve"> на джерело утворення відходів, </w:t>
      </w:r>
      <w:r>
        <w:t>це</w:t>
      </w:r>
      <w:r w:rsidRPr="005B7679">
        <w:t xml:space="preserve"> зменш</w:t>
      </w:r>
      <w:r>
        <w:t>ить</w:t>
      </w:r>
      <w:r w:rsidRPr="005B7679">
        <w:t xml:space="preserve"> кількість і токсичність відходів до того, як рециклінг, компостування, відновлення енергії та захоронення стануть можливими варіантами їх</w:t>
      </w:r>
      <w:r>
        <w:t xml:space="preserve"> наступного оброблення</w:t>
      </w:r>
      <w:r w:rsidRPr="005B7679">
        <w:t xml:space="preserve">. </w:t>
      </w:r>
    </w:p>
    <w:p w14:paraId="37FEAA1E" w14:textId="77777777" w:rsidR="00870CD4" w:rsidRPr="005B7679" w:rsidRDefault="00870CD4" w:rsidP="00870CD4">
      <w:pPr>
        <w:pStyle w:val="BulletRED"/>
        <w:ind w:left="924" w:hanging="357"/>
      </w:pPr>
      <w:r w:rsidRPr="005B7679">
        <w:t xml:space="preserve">Запобігання утворенню відходів шляхом зменшення кількості матеріалів, що використовуються при створенні продукції, та підвищення ефективності використання вже створеної продукції. </w:t>
      </w:r>
    </w:p>
    <w:p w14:paraId="3FD111E5" w14:textId="77777777" w:rsidR="00870CD4" w:rsidRPr="005B7679" w:rsidRDefault="00870CD4" w:rsidP="00870CD4">
      <w:pPr>
        <w:pStyle w:val="BulletRED"/>
        <w:ind w:left="924" w:hanging="357"/>
      </w:pPr>
      <w:r w:rsidRPr="005B7679">
        <w:t>Запобігання утворенню відходів шляхом обмеження непотрібного споживання, а також про</w:t>
      </w:r>
      <w:r>
        <w:t>є</w:t>
      </w:r>
      <w:r w:rsidRPr="005B7679">
        <w:t>ктування та споживання продуктів, які створюють менше відходів,</w:t>
      </w:r>
      <w:r>
        <w:t xml:space="preserve"> що</w:t>
      </w:r>
      <w:r w:rsidRPr="005B7679">
        <w:t xml:space="preserve"> є </w:t>
      </w:r>
      <w:r>
        <w:t>«</w:t>
      </w:r>
      <w:r w:rsidRPr="005B7679">
        <w:t>уникнення</w:t>
      </w:r>
      <w:r>
        <w:t>м»</w:t>
      </w:r>
      <w:r w:rsidRPr="005B7679">
        <w:t xml:space="preserve"> відходів</w:t>
      </w:r>
      <w:r>
        <w:t>)</w:t>
      </w:r>
      <w:r w:rsidRPr="005B7679">
        <w:t xml:space="preserve">. </w:t>
      </w:r>
    </w:p>
    <w:p w14:paraId="52A86597" w14:textId="77777777" w:rsidR="00870CD4" w:rsidRDefault="00870CD4" w:rsidP="00870CD4">
      <w:pPr>
        <w:pStyle w:val="BulletRED"/>
        <w:ind w:left="924" w:hanging="357"/>
      </w:pPr>
      <w:r w:rsidRPr="005B7679">
        <w:t xml:space="preserve">Запобігання утворенню відходів </w:t>
      </w:r>
      <w:r>
        <w:t>що передбачає</w:t>
      </w:r>
      <w:r w:rsidRPr="005B7679">
        <w:t xml:space="preserve"> дії, які можна вжити після закінчення терміну служби продукту: замість того, щоб викидати продукт, кінцевий користувач повинен розглянути можливість його повторного використання, ремонту або модернізації. </w:t>
      </w:r>
      <w:r>
        <w:t>(</w:t>
      </w:r>
      <w:r w:rsidRPr="005B7679">
        <w:t>запобігання через перенаправлення потоків відходів</w:t>
      </w:r>
      <w:r>
        <w:t>)</w:t>
      </w:r>
      <w:r w:rsidRPr="005B7679">
        <w:t>.</w:t>
      </w:r>
    </w:p>
    <w:p w14:paraId="214E452C" w14:textId="77777777" w:rsidR="00870CD4" w:rsidRDefault="00870CD4" w:rsidP="00870CD4">
      <w:pPr>
        <w:pStyle w:val="BulletRED"/>
        <w:ind w:left="924" w:hanging="357"/>
      </w:pPr>
      <w:r w:rsidRPr="00C261A9">
        <w:t xml:space="preserve">Якісне запобігання </w:t>
      </w:r>
      <w:r>
        <w:t>- з</w:t>
      </w:r>
      <w:r w:rsidRPr="00C261A9">
        <w:t>меншення вмісту небезпечних речовин у відходах</w:t>
      </w:r>
      <w:r>
        <w:t>, що веде до</w:t>
      </w:r>
      <w:r w:rsidRPr="007A0D9A">
        <w:t xml:space="preserve"> зменшенн</w:t>
      </w:r>
      <w:r>
        <w:t>я</w:t>
      </w:r>
      <w:r w:rsidRPr="007A0D9A">
        <w:t xml:space="preserve"> </w:t>
      </w:r>
      <w:r>
        <w:t xml:space="preserve">небезпечного </w:t>
      </w:r>
      <w:r w:rsidRPr="007A0D9A">
        <w:t>впливу на</w:t>
      </w:r>
      <w:r>
        <w:t xml:space="preserve"> здоров’я</w:t>
      </w:r>
      <w:r w:rsidRPr="007A0D9A">
        <w:t xml:space="preserve"> люд</w:t>
      </w:r>
      <w:r>
        <w:t>ей</w:t>
      </w:r>
      <w:r w:rsidRPr="007A0D9A">
        <w:t xml:space="preserve"> та навколишнє середовище.</w:t>
      </w:r>
    </w:p>
    <w:p w14:paraId="52C0715D" w14:textId="77777777" w:rsidR="00870CD4" w:rsidRDefault="00870CD4" w:rsidP="00870CD4">
      <w:pPr>
        <w:pStyle w:val="BulletRED"/>
        <w:numPr>
          <w:ilvl w:val="0"/>
          <w:numId w:val="0"/>
        </w:numPr>
        <w:ind w:left="924" w:hanging="357"/>
      </w:pPr>
    </w:p>
    <w:p w14:paraId="3BC9E875" w14:textId="77777777" w:rsidR="00870CD4" w:rsidRDefault="00870CD4" w:rsidP="00681D30">
      <w:pPr>
        <w:pStyle w:val="REDBoldonly"/>
      </w:pPr>
      <w:bookmarkStart w:id="115" w:name="_Toc150293353"/>
      <w:r>
        <w:t xml:space="preserve">Реалізація </w:t>
      </w:r>
      <w:r w:rsidRPr="000833FC">
        <w:t>Національної програми запобігання утворенню відходів</w:t>
      </w:r>
      <w:r>
        <w:t xml:space="preserve"> на регіональному рівні</w:t>
      </w:r>
      <w:bookmarkEnd w:id="115"/>
    </w:p>
    <w:p w14:paraId="4BE7AB04" w14:textId="77777777" w:rsidR="00870CD4" w:rsidRPr="00E731B4" w:rsidRDefault="00870CD4" w:rsidP="00870CD4">
      <w:r w:rsidRPr="00E731B4">
        <w:t>НПЗУВ реалізується на регіональному рівні через регіональні плани управління відходами. При розроблені регіональних планів управління відходами необхідно:</w:t>
      </w:r>
    </w:p>
    <w:p w14:paraId="1198A27B" w14:textId="77777777" w:rsidR="00870CD4" w:rsidRPr="00E731B4" w:rsidRDefault="00870CD4" w:rsidP="00870CD4">
      <w:pPr>
        <w:pStyle w:val="BulletRED"/>
        <w:ind w:left="924" w:hanging="357"/>
      </w:pPr>
      <w:r w:rsidRPr="00E731B4">
        <w:t>Проаналізувати відходи, що утворюються на регіональному рівні, та розробити кампанії із запобігання утворенню відходів, виходячи з локальних обставин</w:t>
      </w:r>
      <w:r>
        <w:t>.</w:t>
      </w:r>
    </w:p>
    <w:p w14:paraId="279DFCFC" w14:textId="77777777" w:rsidR="00870CD4" w:rsidRPr="00E731B4" w:rsidRDefault="00870CD4" w:rsidP="00870CD4">
      <w:pPr>
        <w:pStyle w:val="BulletRED"/>
        <w:ind w:left="924" w:hanging="357"/>
      </w:pPr>
      <w:r w:rsidRPr="00E731B4">
        <w:t>Стимулювати залучення громадськості через інформаційні кампанії</w:t>
      </w:r>
      <w:r>
        <w:t>.</w:t>
      </w:r>
    </w:p>
    <w:p w14:paraId="72FF2124" w14:textId="77777777" w:rsidR="00870CD4" w:rsidRPr="00E731B4" w:rsidRDefault="00870CD4" w:rsidP="00870CD4">
      <w:pPr>
        <w:pStyle w:val="BulletRED"/>
        <w:ind w:left="924" w:hanging="357"/>
      </w:pPr>
      <w:r w:rsidRPr="00E731B4">
        <w:t>Сприяти компостуванню в домогосподарствах</w:t>
      </w:r>
      <w:r>
        <w:t>.</w:t>
      </w:r>
    </w:p>
    <w:p w14:paraId="40A75ADD" w14:textId="77777777" w:rsidR="00870CD4" w:rsidRPr="00E731B4" w:rsidRDefault="00870CD4" w:rsidP="00870CD4">
      <w:pPr>
        <w:pStyle w:val="BulletRED"/>
        <w:ind w:left="924" w:hanging="357"/>
      </w:pPr>
      <w:r w:rsidRPr="00E731B4">
        <w:t>Опублікувати рекомендації щодо оренди, ремонту та перепродажу товарів, як частина заходів із недопущення утворення відходів</w:t>
      </w:r>
      <w:r>
        <w:t>.</w:t>
      </w:r>
    </w:p>
    <w:p w14:paraId="6F55A2A1" w14:textId="77777777" w:rsidR="00870CD4" w:rsidRPr="00E731B4" w:rsidRDefault="00870CD4" w:rsidP="00870CD4">
      <w:pPr>
        <w:pStyle w:val="BulletRED"/>
        <w:ind w:left="924" w:hanging="357"/>
      </w:pPr>
      <w:r w:rsidRPr="00E731B4">
        <w:t>Мінімізувати відходи під час громадських робіт та збільшити використання перероблених будівельних матеріалів при державних закупівлях</w:t>
      </w:r>
      <w:r>
        <w:t>.</w:t>
      </w:r>
    </w:p>
    <w:p w14:paraId="434CEC3B" w14:textId="77777777" w:rsidR="00870CD4" w:rsidRPr="005B7679" w:rsidRDefault="00870CD4" w:rsidP="00870CD4">
      <w:pPr>
        <w:pStyle w:val="BulletRED"/>
        <w:ind w:left="924" w:hanging="357"/>
      </w:pPr>
      <w:r w:rsidRPr="00E731B4">
        <w:t>Ознайомлення місцевого бізнесу з системами екологічного менеджменту (EMAS) для підтримки скорочення відходів у бізнесі</w:t>
      </w:r>
      <w:r>
        <w:t>.</w:t>
      </w:r>
    </w:p>
    <w:p w14:paraId="790F6314" w14:textId="77777777" w:rsidR="00870CD4" w:rsidRDefault="00870CD4" w:rsidP="00681D30">
      <w:pPr>
        <w:pStyle w:val="30"/>
      </w:pPr>
      <w:bookmarkStart w:id="116" w:name="_Toc150293354"/>
      <w:bookmarkStart w:id="117" w:name="_Toc151583286"/>
      <w:r>
        <w:t>Прогалини з</w:t>
      </w:r>
      <w:r w:rsidRPr="005C1EA4">
        <w:t>апобігання утворенню відходів</w:t>
      </w:r>
      <w:bookmarkEnd w:id="116"/>
      <w:bookmarkEnd w:id="117"/>
    </w:p>
    <w:p w14:paraId="5E58F9B0" w14:textId="77777777" w:rsidR="00870CD4" w:rsidRPr="00971914" w:rsidRDefault="00870CD4" w:rsidP="00870CD4">
      <w:r w:rsidRPr="00971914">
        <w:t>Запобігання утворенню відходів є важливим елементом сучасної стратегії управління відходами. Проте, існує багато проблем, які ускладнюють цей процес. Ось деякі з них:</w:t>
      </w:r>
    </w:p>
    <w:p w14:paraId="166FC5DB" w14:textId="77777777" w:rsidR="00870CD4" w:rsidRPr="00971914" w:rsidRDefault="00870CD4" w:rsidP="00870CD4">
      <w:pPr>
        <w:ind w:left="284"/>
      </w:pPr>
      <w:r w:rsidRPr="00D11166">
        <w:rPr>
          <w:rStyle w:val="REDBoldonlyChar"/>
        </w:rPr>
        <w:t>Недостатня обізнаність громадськості.</w:t>
      </w:r>
      <w:r w:rsidRPr="00971914">
        <w:t xml:space="preserve"> Багато людей не мають уявлення про </w:t>
      </w:r>
      <w:r>
        <w:t>шлях відходів після їх викидання, негативний вплив від відходів</w:t>
      </w:r>
      <w:r w:rsidRPr="00971914">
        <w:t xml:space="preserve"> та важливість зменшення відходів.</w:t>
      </w:r>
    </w:p>
    <w:p w14:paraId="59063222" w14:textId="77777777" w:rsidR="00870CD4" w:rsidRPr="00971914" w:rsidRDefault="00870CD4" w:rsidP="00870CD4">
      <w:pPr>
        <w:ind w:left="284"/>
      </w:pPr>
      <w:r w:rsidRPr="00D11166">
        <w:rPr>
          <w:rStyle w:val="REDBoldonlyChar"/>
        </w:rPr>
        <w:t>Відсутність стимулів для підприємств.</w:t>
      </w:r>
      <w:r w:rsidRPr="00971914">
        <w:t xml:space="preserve"> </w:t>
      </w:r>
      <w:r>
        <w:t>В</w:t>
      </w:r>
      <w:r w:rsidRPr="00971914">
        <w:t>ідсутні економічні стимули для впровадження практик запобігання утворенню відходів.</w:t>
      </w:r>
    </w:p>
    <w:p w14:paraId="5DBE1871" w14:textId="77777777" w:rsidR="00870CD4" w:rsidRPr="00971914" w:rsidRDefault="00870CD4" w:rsidP="00870CD4">
      <w:pPr>
        <w:ind w:left="284"/>
      </w:pPr>
      <w:r w:rsidRPr="00D11166">
        <w:rPr>
          <w:rStyle w:val="REDBoldonlyChar"/>
        </w:rPr>
        <w:t>Економічні бар'єри.</w:t>
      </w:r>
      <w:r w:rsidRPr="00971914">
        <w:t xml:space="preserve"> </w:t>
      </w:r>
      <w:r>
        <w:t>В</w:t>
      </w:r>
      <w:r w:rsidRPr="00971914">
        <w:t>исок</w:t>
      </w:r>
      <w:r>
        <w:t>і п</w:t>
      </w:r>
      <w:r w:rsidRPr="00971914">
        <w:t xml:space="preserve">очаткові витрати на технології або практики, які зменшують </w:t>
      </w:r>
      <w:r>
        <w:t xml:space="preserve">утворення </w:t>
      </w:r>
      <w:r w:rsidRPr="00971914">
        <w:t>відход</w:t>
      </w:r>
      <w:r>
        <w:t>ів</w:t>
      </w:r>
      <w:r w:rsidRPr="00971914">
        <w:t>.</w:t>
      </w:r>
    </w:p>
    <w:p w14:paraId="60BC9BF0" w14:textId="77777777" w:rsidR="00870CD4" w:rsidRPr="00971914" w:rsidRDefault="00870CD4" w:rsidP="00870CD4">
      <w:pPr>
        <w:ind w:left="284"/>
      </w:pPr>
      <w:r w:rsidRPr="00D11166">
        <w:rPr>
          <w:rStyle w:val="REDBoldonlyChar"/>
        </w:rPr>
        <w:t>Недостатнє законодавство.</w:t>
      </w:r>
      <w:r w:rsidRPr="00971914">
        <w:t xml:space="preserve"> </w:t>
      </w:r>
      <w:r>
        <w:t>В</w:t>
      </w:r>
      <w:r w:rsidRPr="00971914">
        <w:t>ідсут</w:t>
      </w:r>
      <w:r>
        <w:t>ність та затягування з прийняттям</w:t>
      </w:r>
      <w:r w:rsidRPr="00971914">
        <w:t xml:space="preserve"> </w:t>
      </w:r>
      <w:r>
        <w:t xml:space="preserve">секторального </w:t>
      </w:r>
      <w:r w:rsidRPr="00971914">
        <w:t>законодавств</w:t>
      </w:r>
      <w:r>
        <w:t>а</w:t>
      </w:r>
      <w:r w:rsidRPr="00971914">
        <w:t>, яке</w:t>
      </w:r>
      <w:r>
        <w:t xml:space="preserve"> запровадить розширену відповідальність виробника та вимоги до дизайну продукції та інших методів</w:t>
      </w:r>
      <w:r w:rsidRPr="00971914">
        <w:t xml:space="preserve"> запобігання утворенню відходів.</w:t>
      </w:r>
    </w:p>
    <w:p w14:paraId="3EB72DD0" w14:textId="77777777" w:rsidR="00870CD4" w:rsidRPr="00971914" w:rsidRDefault="00870CD4" w:rsidP="00870CD4">
      <w:pPr>
        <w:ind w:left="284"/>
      </w:pPr>
      <w:r w:rsidRPr="00D11166">
        <w:rPr>
          <w:rStyle w:val="REDBoldonlyChar"/>
        </w:rPr>
        <w:t>Обмеженість інфраструктури.</w:t>
      </w:r>
      <w:r w:rsidRPr="00971914">
        <w:t xml:space="preserve"> </w:t>
      </w:r>
      <w:r>
        <w:t>Існують платформи для безкоштовного віддавання продукції та майстерні з ремонту. Але ця діяльність не є дуже прибутковою та затребуваною. Бізнес моделі надання товарів в користування не знаходять широкої підтримки через вартість послуг та можливі ризики використання продукції.</w:t>
      </w:r>
    </w:p>
    <w:p w14:paraId="1465666C" w14:textId="77777777" w:rsidR="00870CD4" w:rsidRPr="00971914" w:rsidRDefault="00870CD4" w:rsidP="00870CD4">
      <w:pPr>
        <w:ind w:left="284"/>
      </w:pPr>
      <w:r w:rsidRPr="00D11166">
        <w:rPr>
          <w:rStyle w:val="REDBoldonlyChar"/>
        </w:rPr>
        <w:t>Культурні та соціальні бар'єри.</w:t>
      </w:r>
      <w:r w:rsidRPr="00971914">
        <w:t xml:space="preserve"> </w:t>
      </w:r>
      <w:r>
        <w:t>За останнє десятиріччя відбувся ріст споживання товарів, перевага надається постійній купівлі нових товарів як символу достатку</w:t>
      </w:r>
      <w:r w:rsidRPr="00971914">
        <w:t>.</w:t>
      </w:r>
    </w:p>
    <w:p w14:paraId="1116F941" w14:textId="77777777" w:rsidR="00870CD4" w:rsidRPr="00971914" w:rsidRDefault="00870CD4" w:rsidP="00870CD4">
      <w:pPr>
        <w:ind w:left="284"/>
      </w:pPr>
      <w:r w:rsidRPr="00D11166">
        <w:rPr>
          <w:rStyle w:val="REDBoldonlyChar"/>
        </w:rPr>
        <w:t>Відсутність досліджень та даних.</w:t>
      </w:r>
      <w:r>
        <w:t xml:space="preserve"> Відсутність реальних даних щодо обсягів утворення відходів в Україні, обмеженні дослідження у сфері управління відходами</w:t>
      </w:r>
      <w:r w:rsidRPr="00971914">
        <w:t>.</w:t>
      </w:r>
    </w:p>
    <w:p w14:paraId="3964F90C" w14:textId="77777777" w:rsidR="00870CD4" w:rsidRPr="00971914" w:rsidRDefault="00870CD4" w:rsidP="00870CD4">
      <w:r w:rsidRPr="00971914">
        <w:t>Ці проблеми вимагають комплексного підходу, який включає в себе законодавчі, технічні, економічні та соціальні ініціативи для їх вирішення.</w:t>
      </w:r>
    </w:p>
    <w:p w14:paraId="612AA4E3" w14:textId="0B8FB7A9" w:rsidR="00154EE9" w:rsidRDefault="00BE1288" w:rsidP="00681D30">
      <w:pPr>
        <w:pStyle w:val="30"/>
      </w:pPr>
      <w:bookmarkStart w:id="118" w:name="_Toc151583287"/>
      <w:r w:rsidRPr="00BE1288">
        <w:t>Реалізація Національної програми запобігання утворенню відходів</w:t>
      </w:r>
      <w:bookmarkEnd w:id="118"/>
    </w:p>
    <w:p w14:paraId="11966C87" w14:textId="64ED5934" w:rsidR="00154EE9" w:rsidRPr="00D22201" w:rsidRDefault="00BE1288" w:rsidP="00C46254">
      <w:pPr>
        <w:pStyle w:val="a1"/>
        <w:numPr>
          <w:ilvl w:val="0"/>
          <w:numId w:val="0"/>
        </w:numPr>
        <w:rPr>
          <w:color w:val="auto"/>
        </w:rPr>
      </w:pPr>
      <w:r w:rsidRPr="00D22201">
        <w:rPr>
          <w:color w:val="auto"/>
        </w:rPr>
        <w:t>План заходів</w:t>
      </w:r>
      <w:r w:rsidR="00D22201">
        <w:rPr>
          <w:color w:val="auto"/>
        </w:rPr>
        <w:t xml:space="preserve"> </w:t>
      </w:r>
      <w:r w:rsidR="00D22201" w:rsidRPr="00D22201">
        <w:rPr>
          <w:color w:val="auto"/>
        </w:rPr>
        <w:t>Національної програми запобігання утворенню відходів</w:t>
      </w:r>
      <w:r w:rsidRPr="00D22201">
        <w:rPr>
          <w:color w:val="auto"/>
        </w:rPr>
        <w:t xml:space="preserve"> </w:t>
      </w:r>
      <w:r w:rsidR="00D71269" w:rsidRPr="00D22201">
        <w:rPr>
          <w:color w:val="auto"/>
        </w:rPr>
        <w:t>наведений у</w:t>
      </w:r>
      <w:r w:rsidR="00D22201">
        <w:rPr>
          <w:color w:val="auto"/>
        </w:rPr>
        <w:t xml:space="preserve"> відповідному розділі</w:t>
      </w:r>
      <w:r w:rsidR="00D71269" w:rsidRPr="00D22201">
        <w:rPr>
          <w:color w:val="auto"/>
        </w:rPr>
        <w:t xml:space="preserve"> Плану Заходів НПУВ.</w:t>
      </w:r>
    </w:p>
    <w:p w14:paraId="68B96F95" w14:textId="77777777" w:rsidR="00A514EB" w:rsidRDefault="00A514EB" w:rsidP="00C46254">
      <w:pPr>
        <w:pStyle w:val="30"/>
      </w:pPr>
      <w:bookmarkStart w:id="119" w:name="_Toc150293360"/>
      <w:bookmarkStart w:id="120" w:name="_Toc151583288"/>
      <w:r w:rsidRPr="00AC5B62">
        <w:t xml:space="preserve">Ініціативи </w:t>
      </w:r>
      <w:r>
        <w:t xml:space="preserve">з </w:t>
      </w:r>
      <w:r w:rsidRPr="00AC5B62">
        <w:t>запобігання утворенню відходів в Україні</w:t>
      </w:r>
      <w:bookmarkEnd w:id="119"/>
      <w:bookmarkEnd w:id="120"/>
      <w:r w:rsidRPr="00AC5B62">
        <w:t xml:space="preserve"> </w:t>
      </w:r>
    </w:p>
    <w:p w14:paraId="2CFA9AE5" w14:textId="5CFAED67" w:rsidR="00A514EB" w:rsidRDefault="00A514EB" w:rsidP="00A514EB">
      <w:pPr>
        <w:pStyle w:val="5"/>
        <w:numPr>
          <w:ilvl w:val="0"/>
          <w:numId w:val="0"/>
        </w:numPr>
      </w:pPr>
      <w:r w:rsidRPr="00F969C2">
        <w:rPr>
          <w:b/>
          <w:bCs/>
        </w:rPr>
        <w:t>Кейс “Люботин – місто нуль відходів”</w:t>
      </w:r>
      <w:r w:rsidRPr="00584676">
        <w:t>У 2021 році Люботин підписав зобов’язання зменшити кількість залишкових відходів та став другим містом-кандидатом після Львова на шляху до zero waste сертифікованого міста.</w:t>
      </w:r>
      <w:r>
        <w:t xml:space="preserve"> </w:t>
      </w:r>
      <w:r w:rsidRPr="00540269">
        <w:t>Міська адміністрація разом з організацією “Центр громадських та медійних ініціатив” (Kharkiv Zero Waste) розробили план дій на досягнення показників та почали перші кроки: інфокампанія, співорганізація зустрічей з депутатами, головним екологом міста, робота з бізнесом, школами та дитсадками. Їхній проєкт підтримав Фонд “Відродження” та Посольство Швеції в Україні</w:t>
      </w:r>
      <w:r>
        <w:t xml:space="preserve">. </w:t>
      </w:r>
      <w:r w:rsidRPr="006F5C31">
        <w:t xml:space="preserve">За час проєкту </w:t>
      </w:r>
      <w:r w:rsidRPr="0048594D">
        <w:t>команда встановила</w:t>
      </w:r>
      <w:r w:rsidRPr="006F5C31">
        <w:t xml:space="preserve"> 2 шафи для повторного використання речей, провели інформаційну кампанію та опитування місцевих жителів на початку та наприкінці проєкту.</w:t>
      </w:r>
      <w:r>
        <w:t xml:space="preserve"> </w:t>
      </w:r>
      <w:r w:rsidRPr="009F02D2">
        <w:t>За результатами цього опитувань команда виявила, що 22% почали віддавати речі, а 13% не тільки віддавати, але й брати.</w:t>
      </w:r>
    </w:p>
    <w:p w14:paraId="25150F05" w14:textId="6B52C521" w:rsidR="00A514EB" w:rsidRDefault="00A514EB" w:rsidP="00A514EB">
      <w:r w:rsidRPr="00E4557C">
        <w:rPr>
          <w:b/>
          <w:bCs/>
        </w:rPr>
        <w:t>Кейс Lviv Smart Food</w:t>
      </w:r>
      <w:r>
        <w:t xml:space="preserve"> - </w:t>
      </w:r>
      <w:r w:rsidRPr="009627D2">
        <w:t>сервіс доставки їжі</w:t>
      </w:r>
      <w:r>
        <w:t xml:space="preserve"> в багаторазових контейнерах. </w:t>
      </w:r>
      <w:r w:rsidRPr="00533813">
        <w:t xml:space="preserve">Як це працює: кур’єр привозить людині їжу у скляних контейнерах і тканинній сумці, а на наступний день забирає брудний посуд разом із сумкою й віддає новий набір страв. </w:t>
      </w:r>
      <w:r>
        <w:t>М</w:t>
      </w:r>
      <w:r w:rsidRPr="00533813">
        <w:t xml:space="preserve">ити посуд необов’язково, тому що </w:t>
      </w:r>
      <w:r>
        <w:t xml:space="preserve">компанія </w:t>
      </w:r>
      <w:r w:rsidRPr="00533813">
        <w:t>в будь-якому разі перемиває його в посудомийній машині.</w:t>
      </w:r>
    </w:p>
    <w:p w14:paraId="33EE05C3" w14:textId="3DAC587B" w:rsidR="00A514EB" w:rsidRDefault="00A514EB" w:rsidP="00A514EB">
      <w:r w:rsidRPr="00E80051">
        <w:rPr>
          <w:b/>
          <w:bCs/>
        </w:rPr>
        <w:t>Кейс Закупівля «Укрпошти» із вартістю життєвого циклу</w:t>
      </w:r>
      <w:r>
        <w:t xml:space="preserve">. </w:t>
      </w:r>
      <w:r w:rsidRPr="00190527">
        <w:t>Єдиним критерієм оцінки тендерних пропозицій була вартість життєвого циклу. Вона включала у себе ціну придбання, яку й пропонували учасники, та витрати</w:t>
      </w:r>
      <w:r>
        <w:t xml:space="preserve"> на ресурси</w:t>
      </w:r>
      <w:r w:rsidRPr="00190527">
        <w:t>, пов’язані з користуванням. Під витратами малася на увазі вартість електроенергії, витраченої для зарядки акумулятора ліхтаря протягом прогнозованого дворічного життєвого циклу його використання.</w:t>
      </w:r>
      <w:r>
        <w:t xml:space="preserve"> </w:t>
      </w:r>
      <w:r w:rsidRPr="007F064A">
        <w:t>Це 494 робочих дні, тобто 494 зарядки.</w:t>
      </w:r>
      <w:r>
        <w:t xml:space="preserve"> </w:t>
      </w:r>
      <w:r w:rsidRPr="00E80051">
        <w:t>Розрахунок вартості життєвого циклу застосовувався для вибору найбільш економічно вигідної пропозиції.</w:t>
      </w:r>
      <w:r>
        <w:t xml:space="preserve"> </w:t>
      </w:r>
      <w:r w:rsidRPr="004560B2">
        <w:t>Формальна економія склала 46%.</w:t>
      </w:r>
    </w:p>
    <w:p w14:paraId="4D5FE69A" w14:textId="1BED7C86" w:rsidR="00A514EB" w:rsidRDefault="00A514EB" w:rsidP="00A514EB">
      <w:r w:rsidRPr="00241AA7">
        <w:rPr>
          <w:b/>
          <w:bCs/>
        </w:rPr>
        <w:t>Кейс компанія 0ZERO</w:t>
      </w:r>
      <w:r>
        <w:t>. Ц</w:t>
      </w:r>
      <w:r w:rsidRPr="00196CB6">
        <w:t>е перша Zero Waste компанія в Україні, яка допомагає людям вести свідомий спосіб життя для глобальних змін у світі.</w:t>
      </w:r>
      <w:r>
        <w:t xml:space="preserve"> Перший в Україні магазин товарів “нуль відходів” із екологічними альтернативами товарам щоденного споживання. Багаторазові пляшки та чашки для гарячих напоїв, еко-торбинки, засоби для прибирання та чищення, люфа, якісна косметика в еко-упаковці, засоби гігієни та інші. Крім того компанія надає Sustainability консалтинг для бізнесу та працює у напрямку Екоосвіти.</w:t>
      </w:r>
    </w:p>
    <w:p w14:paraId="32CFA1A4" w14:textId="0CDD37BD" w:rsidR="00794C53" w:rsidRDefault="00A514EB" w:rsidP="00D12E32">
      <w:pPr>
        <w:rPr>
          <w:b/>
          <w:bCs/>
        </w:rPr>
      </w:pPr>
      <w:r w:rsidRPr="00ED6DA1">
        <w:rPr>
          <w:b/>
          <w:bCs/>
        </w:rPr>
        <w:t>Кейс upcycle-рішення килимки для тварин з старих терморюкзаків.</w:t>
      </w:r>
      <w:r>
        <w:t xml:space="preserve"> </w:t>
      </w:r>
      <w:r w:rsidRPr="00687F8B">
        <w:t>Компанія Glovo мала проблемне питання — екологічним шляхом та без шкоди для довкілля утилізувати зношені рюкзаки, що втратили свій початковий зовнішній вигляд. Оскільки їх не можна здати на переробку, виникла ідея зробити з них термокилимки для тварин у притулках.</w:t>
      </w:r>
      <w:r>
        <w:t xml:space="preserve"> </w:t>
      </w:r>
      <w:r w:rsidRPr="00ED6DA1">
        <w:t xml:space="preserve">Спільно з ініціативою «Україна без сміття», команда якої займалася організаційною частиною проєкту, дізналися про потреби притулку «Сіріус» та розпочали співпрацю. </w:t>
      </w:r>
      <w:r w:rsidRPr="00F52FEC">
        <w:t>Наразі</w:t>
      </w:r>
      <w:r>
        <w:t xml:space="preserve"> компанія</w:t>
      </w:r>
      <w:r w:rsidRPr="00F52FEC">
        <w:t xml:space="preserve"> </w:t>
      </w:r>
      <w:r w:rsidRPr="001A6FCE">
        <w:t xml:space="preserve">Bagland </w:t>
      </w:r>
      <w:r w:rsidRPr="00F52FEC">
        <w:t>має договір на один рік, протягом якого перероб</w:t>
      </w:r>
      <w:r>
        <w:t>ить</w:t>
      </w:r>
      <w:r w:rsidRPr="00F52FEC">
        <w:t xml:space="preserve"> 1200 використаних </w:t>
      </w:r>
      <w:r>
        <w:t>рюкзаків</w:t>
      </w:r>
      <w:r w:rsidRPr="00F52FEC">
        <w:t xml:space="preserve"> для їжі від Glovo на 4800 термокилимків.</w:t>
      </w:r>
    </w:p>
    <w:p w14:paraId="5D16C866" w14:textId="31C264B4" w:rsidR="00991C8A" w:rsidRPr="00C22C49" w:rsidRDefault="00991C8A" w:rsidP="00681D30">
      <w:pPr>
        <w:pStyle w:val="20"/>
      </w:pPr>
      <w:bookmarkStart w:id="121" w:name="_Toc151583289"/>
      <w:r w:rsidRPr="00C22C49">
        <w:t>ІНДИКАТОРИ ОЦІНКИ ВИКОНАННЯ ПЛАНУ</w:t>
      </w:r>
      <w:bookmarkEnd w:id="121"/>
    </w:p>
    <w:p w14:paraId="4E12E1F9" w14:textId="1DB00BB4" w:rsidR="00991C8A" w:rsidRPr="00C22C49" w:rsidRDefault="00991C8A" w:rsidP="00991C8A">
      <w:r w:rsidRPr="00C22C49">
        <w:t xml:space="preserve">За допомогою індикаторів, наведених у таблиці нижче, буде здійснюватися моніторинг та оцінка виконання завдань, визначених у НПУВ до 2035 року. Джерелом даних для проведення вищезазначеної оцінки буде інформація із новоствореної інформаційної системи управління відходами, зібрана в існуючих базах даних, та статистичних обстежень, звітів про виконання регіональних та місцевих планів управління відходами та інших джерел. </w:t>
      </w:r>
    </w:p>
    <w:p w14:paraId="4573DD08" w14:textId="77777777" w:rsidR="00991C8A" w:rsidRPr="00C22C49" w:rsidRDefault="00991C8A" w:rsidP="00991C8A">
      <w:r w:rsidRPr="00C22C49">
        <w:t>Розроблений комплексу індикаторів слугуватиме для:</w:t>
      </w:r>
    </w:p>
    <w:p w14:paraId="08F35201" w14:textId="77777777" w:rsidR="00991C8A" w:rsidRPr="00C22C49" w:rsidRDefault="00991C8A" w:rsidP="00991C8A">
      <w:pPr>
        <w:pStyle w:val="BulletRED"/>
      </w:pPr>
      <w:r w:rsidRPr="00C22C49">
        <w:t xml:space="preserve">оцінки ефективності виконання запланованих заходів; </w:t>
      </w:r>
    </w:p>
    <w:p w14:paraId="799D9886" w14:textId="77777777" w:rsidR="00991C8A" w:rsidRPr="00C22C49" w:rsidRDefault="00991C8A" w:rsidP="00991C8A">
      <w:pPr>
        <w:pStyle w:val="BulletRED"/>
      </w:pPr>
      <w:r w:rsidRPr="00C22C49">
        <w:t>своєчасного коригування НПУВ в процесі його реалізації;</w:t>
      </w:r>
    </w:p>
    <w:p w14:paraId="2DF1344F" w14:textId="77777777" w:rsidR="00991C8A" w:rsidRPr="00C22C49" w:rsidRDefault="00991C8A" w:rsidP="00991C8A">
      <w:pPr>
        <w:pStyle w:val="BulletRED"/>
      </w:pPr>
      <w:r w:rsidRPr="00C22C49">
        <w:t>здійснення узагальненої оцінки результативності плану після завершення терміну його реалізації.</w:t>
      </w:r>
    </w:p>
    <w:p w14:paraId="19707645" w14:textId="77777777" w:rsidR="00991C8A" w:rsidRPr="00C22C49" w:rsidRDefault="00991C8A" w:rsidP="00991C8A">
      <w:pPr>
        <w:pStyle w:val="BulletRED"/>
      </w:pPr>
      <w:r w:rsidRPr="00C22C49">
        <w:t>оцінення ступеня досягнення встановлених цільових показників.</w:t>
      </w:r>
    </w:p>
    <w:p w14:paraId="0A75F80E" w14:textId="77777777" w:rsidR="00991C8A" w:rsidRPr="00C22C49" w:rsidRDefault="00991C8A" w:rsidP="00991C8A">
      <w:pPr>
        <w:pStyle w:val="ad"/>
        <w:rPr>
          <w:lang w:val="uk-UA"/>
        </w:rPr>
      </w:pPr>
      <w:r w:rsidRPr="00C22C49">
        <w:rPr>
          <w:lang w:val="uk-UA"/>
        </w:rPr>
        <w:t xml:space="preserve">Таблиця </w:t>
      </w:r>
      <w:r w:rsidRPr="00C22C49">
        <w:rPr>
          <w:lang w:val="uk-UA"/>
        </w:rPr>
        <w:fldChar w:fldCharType="begin"/>
      </w:r>
      <w:r w:rsidRPr="00C22C49">
        <w:rPr>
          <w:lang w:val="uk-UA"/>
        </w:rPr>
        <w:instrText xml:space="preserve"> SEQ Таблиця \* ARABIC </w:instrText>
      </w:r>
      <w:r w:rsidRPr="00C22C49">
        <w:rPr>
          <w:lang w:val="uk-UA"/>
        </w:rPr>
        <w:fldChar w:fldCharType="separate"/>
      </w:r>
      <w:r>
        <w:rPr>
          <w:noProof/>
          <w:lang w:val="uk-UA"/>
        </w:rPr>
        <w:t>18</w:t>
      </w:r>
      <w:r w:rsidRPr="00C22C49">
        <w:rPr>
          <w:lang w:val="uk-UA"/>
        </w:rPr>
        <w:fldChar w:fldCharType="end"/>
      </w:r>
      <w:r w:rsidRPr="00C22C49">
        <w:rPr>
          <w:lang w:val="uk-UA"/>
        </w:rPr>
        <w:t>. Індикатори моніторингу та оцінки виконання плану</w:t>
      </w:r>
    </w:p>
    <w:tbl>
      <w:tblPr>
        <w:tblpPr w:leftFromText="180" w:rightFromText="180" w:vertAnchor="text" w:tblpY="1"/>
        <w:tblOverlap w:val="never"/>
        <w:tblW w:w="979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28" w:type="dxa"/>
          <w:right w:w="28" w:type="dxa"/>
        </w:tblCellMar>
        <w:tblLook w:val="04A0" w:firstRow="1" w:lastRow="0" w:firstColumn="1" w:lastColumn="0" w:noHBand="0" w:noVBand="1"/>
      </w:tblPr>
      <w:tblGrid>
        <w:gridCol w:w="1009"/>
        <w:gridCol w:w="6421"/>
        <w:gridCol w:w="2353"/>
        <w:gridCol w:w="9"/>
      </w:tblGrid>
      <w:tr w:rsidR="00991C8A" w:rsidRPr="00C22C49" w14:paraId="56153AA2" w14:textId="77777777" w:rsidTr="00681D30">
        <w:trPr>
          <w:gridAfter w:val="1"/>
          <w:wAfter w:w="9" w:type="dxa"/>
          <w:trHeight w:val="170"/>
          <w:tblHeader/>
        </w:trPr>
        <w:tc>
          <w:tcPr>
            <w:tcW w:w="1009" w:type="dxa"/>
            <w:shd w:val="clear" w:color="auto" w:fill="8EAADB"/>
            <w:vAlign w:val="center"/>
          </w:tcPr>
          <w:p w14:paraId="6AB9F365"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w:t>
            </w:r>
          </w:p>
        </w:tc>
        <w:tc>
          <w:tcPr>
            <w:tcW w:w="6421" w:type="dxa"/>
            <w:shd w:val="clear" w:color="auto" w:fill="8EAADB"/>
            <w:vAlign w:val="center"/>
          </w:tcPr>
          <w:p w14:paraId="7ABB6060"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Найменування показника</w:t>
            </w:r>
          </w:p>
        </w:tc>
        <w:tc>
          <w:tcPr>
            <w:tcW w:w="2353" w:type="dxa"/>
            <w:shd w:val="clear" w:color="auto" w:fill="8EAADB"/>
            <w:vAlign w:val="center"/>
          </w:tcPr>
          <w:p w14:paraId="016D384B"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Одиниці</w:t>
            </w:r>
          </w:p>
        </w:tc>
      </w:tr>
      <w:tr w:rsidR="00991C8A" w:rsidRPr="00C22C49" w14:paraId="4D8E3CA2" w14:textId="77777777" w:rsidTr="00681D30">
        <w:trPr>
          <w:gridAfter w:val="1"/>
          <w:wAfter w:w="9" w:type="dxa"/>
          <w:trHeight w:val="170"/>
        </w:trPr>
        <w:tc>
          <w:tcPr>
            <w:tcW w:w="1009" w:type="dxa"/>
            <w:shd w:val="clear" w:color="auto" w:fill="B4C6E7"/>
            <w:vAlign w:val="center"/>
          </w:tcPr>
          <w:p w14:paraId="07774B32" w14:textId="77777777" w:rsidR="00991C8A" w:rsidRPr="00C22C49" w:rsidRDefault="00991C8A" w:rsidP="00D81F1B">
            <w:pPr>
              <w:spacing w:before="0" w:line="259" w:lineRule="auto"/>
              <w:jc w:val="center"/>
              <w:rPr>
                <w:rFonts w:eastAsia="Calibri" w:cs="Times New Roman"/>
                <w:b/>
                <w:bCs/>
                <w:szCs w:val="24"/>
              </w:rPr>
            </w:pPr>
          </w:p>
        </w:tc>
        <w:tc>
          <w:tcPr>
            <w:tcW w:w="6421" w:type="dxa"/>
            <w:shd w:val="clear" w:color="auto" w:fill="B4C6E7"/>
            <w:vAlign w:val="center"/>
          </w:tcPr>
          <w:p w14:paraId="068C8327"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Загальне</w:t>
            </w:r>
          </w:p>
        </w:tc>
        <w:tc>
          <w:tcPr>
            <w:tcW w:w="2353" w:type="dxa"/>
            <w:shd w:val="clear" w:color="auto" w:fill="B4C6E7"/>
            <w:vAlign w:val="center"/>
          </w:tcPr>
          <w:p w14:paraId="5790154E" w14:textId="77777777" w:rsidR="00991C8A" w:rsidRPr="00C22C49" w:rsidRDefault="00991C8A" w:rsidP="00D81F1B">
            <w:pPr>
              <w:spacing w:before="0" w:line="259" w:lineRule="auto"/>
              <w:jc w:val="center"/>
              <w:rPr>
                <w:rFonts w:eastAsia="Calibri" w:cs="Times New Roman"/>
                <w:b/>
                <w:bCs/>
                <w:szCs w:val="24"/>
              </w:rPr>
            </w:pPr>
          </w:p>
        </w:tc>
      </w:tr>
      <w:tr w:rsidR="00991C8A" w:rsidRPr="00C22C49" w14:paraId="6148AE69" w14:textId="77777777" w:rsidTr="00681D30">
        <w:trPr>
          <w:gridAfter w:val="1"/>
          <w:wAfter w:w="9" w:type="dxa"/>
          <w:trHeight w:val="170"/>
        </w:trPr>
        <w:tc>
          <w:tcPr>
            <w:tcW w:w="1009" w:type="dxa"/>
          </w:tcPr>
          <w:p w14:paraId="64B8F0E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5FE0CBB"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Прийнято нормативно-правових актів відповідно до Додатку 1</w:t>
            </w:r>
          </w:p>
        </w:tc>
        <w:tc>
          <w:tcPr>
            <w:tcW w:w="2353" w:type="dxa"/>
          </w:tcPr>
          <w:p w14:paraId="1E3B3ABA"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одиниць</w:t>
            </w:r>
          </w:p>
        </w:tc>
      </w:tr>
      <w:tr w:rsidR="00991C8A" w:rsidRPr="00C22C49" w14:paraId="4B140A9E" w14:textId="77777777" w:rsidTr="00681D30">
        <w:trPr>
          <w:gridAfter w:val="1"/>
          <w:wAfter w:w="9" w:type="dxa"/>
          <w:trHeight w:val="170"/>
        </w:trPr>
        <w:tc>
          <w:tcPr>
            <w:tcW w:w="1009" w:type="dxa"/>
          </w:tcPr>
          <w:p w14:paraId="3C57DED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20DB3A2"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Прийнято технічних стандартів відповідно до Додатку 1</w:t>
            </w:r>
          </w:p>
        </w:tc>
        <w:tc>
          <w:tcPr>
            <w:tcW w:w="2353" w:type="dxa"/>
          </w:tcPr>
          <w:p w14:paraId="32B0FE2E"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одиниць</w:t>
            </w:r>
          </w:p>
        </w:tc>
      </w:tr>
      <w:tr w:rsidR="00991C8A" w:rsidRPr="00C22C49" w14:paraId="2284E5B4" w14:textId="77777777" w:rsidTr="00681D30">
        <w:trPr>
          <w:gridAfter w:val="1"/>
          <w:wAfter w:w="9" w:type="dxa"/>
          <w:trHeight w:val="170"/>
        </w:trPr>
        <w:tc>
          <w:tcPr>
            <w:tcW w:w="1009" w:type="dxa"/>
          </w:tcPr>
          <w:p w14:paraId="5AE83C6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A62B9BA"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Впроваджено економічних інструментів відповідно до Додатку 1</w:t>
            </w:r>
          </w:p>
        </w:tc>
        <w:tc>
          <w:tcPr>
            <w:tcW w:w="2353" w:type="dxa"/>
          </w:tcPr>
          <w:p w14:paraId="587BDAC7"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одиниць</w:t>
            </w:r>
          </w:p>
        </w:tc>
      </w:tr>
      <w:tr w:rsidR="00991C8A" w:rsidRPr="00C22C49" w14:paraId="66E24ECC" w14:textId="77777777" w:rsidTr="00681D30">
        <w:trPr>
          <w:gridAfter w:val="1"/>
          <w:wAfter w:w="9" w:type="dxa"/>
          <w:trHeight w:val="170"/>
        </w:trPr>
        <w:tc>
          <w:tcPr>
            <w:tcW w:w="1009" w:type="dxa"/>
          </w:tcPr>
          <w:p w14:paraId="5F6CE2F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F4BD686"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Збільшено інституційну спроможність органів влади відповідно до Додатку 1</w:t>
            </w:r>
          </w:p>
        </w:tc>
        <w:tc>
          <w:tcPr>
            <w:tcW w:w="2353" w:type="dxa"/>
          </w:tcPr>
          <w:p w14:paraId="4B71C6BE"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Кількість працівників, створено нових органів </w:t>
            </w:r>
          </w:p>
        </w:tc>
      </w:tr>
      <w:tr w:rsidR="00991C8A" w:rsidRPr="00C22C49" w14:paraId="3A20A8E8" w14:textId="77777777" w:rsidTr="00681D30">
        <w:trPr>
          <w:gridAfter w:val="1"/>
          <w:wAfter w:w="9" w:type="dxa"/>
          <w:trHeight w:val="170"/>
        </w:trPr>
        <w:tc>
          <w:tcPr>
            <w:tcW w:w="1009" w:type="dxa"/>
          </w:tcPr>
          <w:p w14:paraId="12F5D7E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C68930E"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Запроваджено інформаційну систему відповідно до Додатку 1</w:t>
            </w:r>
          </w:p>
        </w:tc>
        <w:tc>
          <w:tcPr>
            <w:tcW w:w="2353" w:type="dxa"/>
          </w:tcPr>
          <w:p w14:paraId="52DE6DA1"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одиниць</w:t>
            </w:r>
          </w:p>
        </w:tc>
      </w:tr>
      <w:tr w:rsidR="00991C8A" w:rsidRPr="00C22C49" w14:paraId="19A5AC8D" w14:textId="77777777" w:rsidTr="00681D30">
        <w:trPr>
          <w:gridAfter w:val="1"/>
          <w:wAfter w:w="9" w:type="dxa"/>
          <w:trHeight w:val="170"/>
        </w:trPr>
        <w:tc>
          <w:tcPr>
            <w:tcW w:w="1009" w:type="dxa"/>
          </w:tcPr>
          <w:p w14:paraId="11FCA9F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5105E57"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Проведення заходів для підвищення обізнаності населення щодо управління відходами відповідно до Додатку 1</w:t>
            </w:r>
          </w:p>
        </w:tc>
        <w:tc>
          <w:tcPr>
            <w:tcW w:w="2353" w:type="dxa"/>
          </w:tcPr>
          <w:p w14:paraId="7FFFF6A2"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інформаційних кампаній, сюжетів та публікацій в медіа, навчальних програм</w:t>
            </w:r>
          </w:p>
        </w:tc>
      </w:tr>
      <w:tr w:rsidR="00991C8A" w:rsidRPr="00C22C49" w14:paraId="48D9223B" w14:textId="77777777" w:rsidTr="00681D30">
        <w:trPr>
          <w:gridAfter w:val="1"/>
          <w:wAfter w:w="9" w:type="dxa"/>
          <w:trHeight w:val="170"/>
        </w:trPr>
        <w:tc>
          <w:tcPr>
            <w:tcW w:w="1009" w:type="dxa"/>
          </w:tcPr>
          <w:p w14:paraId="03D94EE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2B4B7CE" w14:textId="05BDBB28" w:rsidR="00991C8A" w:rsidRPr="00C22C49" w:rsidRDefault="005253EA" w:rsidP="00D81F1B">
            <w:pPr>
              <w:spacing w:before="0" w:line="259" w:lineRule="auto"/>
              <w:rPr>
                <w:rFonts w:eastAsia="Times New Roman" w:cs="Times New Roman"/>
                <w:szCs w:val="24"/>
              </w:rPr>
            </w:pPr>
            <w:r w:rsidRPr="005253EA">
              <w:rPr>
                <w:rFonts w:eastAsia="Calibri" w:cs="Times New Roman"/>
                <w:szCs w:val="24"/>
              </w:rPr>
              <w:t>Обсяг</w:t>
            </w:r>
            <w:r w:rsidR="00991C8A" w:rsidRPr="00C22C49">
              <w:rPr>
                <w:rFonts w:eastAsia="Calibri" w:cs="Times New Roman"/>
                <w:szCs w:val="24"/>
              </w:rPr>
              <w:t xml:space="preserve"> відходів, що утворюються – загалом</w:t>
            </w:r>
          </w:p>
        </w:tc>
        <w:tc>
          <w:tcPr>
            <w:tcW w:w="2353" w:type="dxa"/>
          </w:tcPr>
          <w:p w14:paraId="29FC230B"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тис.т/рік</w:t>
            </w:r>
          </w:p>
        </w:tc>
      </w:tr>
      <w:tr w:rsidR="00991C8A" w:rsidRPr="00C22C49" w14:paraId="285301DA" w14:textId="77777777" w:rsidTr="00681D30">
        <w:trPr>
          <w:gridAfter w:val="1"/>
          <w:wAfter w:w="9" w:type="dxa"/>
          <w:trHeight w:val="170"/>
        </w:trPr>
        <w:tc>
          <w:tcPr>
            <w:tcW w:w="1009" w:type="dxa"/>
          </w:tcPr>
          <w:p w14:paraId="4D0304FA"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7E2D8F8"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відходів, що утворюються в країні по відношенню до ВВП у фіксованих цінах (2011 = 100%)</w:t>
            </w:r>
          </w:p>
        </w:tc>
        <w:tc>
          <w:tcPr>
            <w:tcW w:w="2353" w:type="dxa"/>
          </w:tcPr>
          <w:p w14:paraId="24AA5605"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т</w:t>
            </w:r>
            <w:r w:rsidRPr="008E4C1E">
              <w:rPr>
                <w:rFonts w:eastAsia="Calibri" w:cs="Times New Roman"/>
                <w:szCs w:val="24"/>
              </w:rPr>
              <w:t xml:space="preserve">ис.т </w:t>
            </w:r>
            <w:r w:rsidRPr="00C22C49">
              <w:rPr>
                <w:rFonts w:eastAsia="Calibri" w:cs="Times New Roman"/>
                <w:szCs w:val="24"/>
              </w:rPr>
              <w:t>/</w:t>
            </w:r>
          </w:p>
          <w:p w14:paraId="35B2D2F0"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млн.</w:t>
            </w:r>
            <w:r w:rsidRPr="00C22C49">
              <w:rPr>
                <w:rFonts w:eastAsia="Calibri" w:cs="Times New Roman"/>
                <w:szCs w:val="24"/>
              </w:rPr>
              <w:t xml:space="preserve"> грн</w:t>
            </w:r>
          </w:p>
        </w:tc>
      </w:tr>
      <w:tr w:rsidR="00991C8A" w:rsidRPr="00C22C49" w14:paraId="5552846E" w14:textId="77777777" w:rsidTr="00681D30">
        <w:trPr>
          <w:gridAfter w:val="1"/>
          <w:wAfter w:w="9" w:type="dxa"/>
          <w:trHeight w:val="170"/>
        </w:trPr>
        <w:tc>
          <w:tcPr>
            <w:tcW w:w="1009" w:type="dxa"/>
          </w:tcPr>
          <w:p w14:paraId="137AD8A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AD6F51B"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продукції, яка була повторно використана</w:t>
            </w:r>
          </w:p>
        </w:tc>
        <w:tc>
          <w:tcPr>
            <w:tcW w:w="2353" w:type="dxa"/>
          </w:tcPr>
          <w:p w14:paraId="5385F69B" w14:textId="77777777" w:rsidR="00991C8A" w:rsidRPr="00C22C49" w:rsidRDefault="00991C8A" w:rsidP="00D81F1B">
            <w:pPr>
              <w:spacing w:before="0" w:line="259" w:lineRule="auto"/>
              <w:rPr>
                <w:rFonts w:eastAsia="Calibri" w:cs="Times New Roman"/>
                <w:szCs w:val="24"/>
              </w:rPr>
            </w:pPr>
            <w:r>
              <w:rPr>
                <w:rFonts w:eastAsia="Calibri" w:cs="Times New Roman"/>
                <w:szCs w:val="24"/>
              </w:rPr>
              <w:t>т</w:t>
            </w:r>
            <w:r w:rsidRPr="008E4C1E">
              <w:rPr>
                <w:rFonts w:eastAsia="Calibri" w:cs="Times New Roman"/>
                <w:szCs w:val="24"/>
              </w:rPr>
              <w:t>ис.т</w:t>
            </w:r>
          </w:p>
        </w:tc>
      </w:tr>
      <w:tr w:rsidR="00991C8A" w:rsidRPr="00C22C49" w14:paraId="2D9E0FC2" w14:textId="77777777" w:rsidTr="00681D30">
        <w:trPr>
          <w:gridAfter w:val="1"/>
          <w:wAfter w:w="9" w:type="dxa"/>
          <w:trHeight w:val="170"/>
        </w:trPr>
        <w:tc>
          <w:tcPr>
            <w:tcW w:w="1009" w:type="dxa"/>
          </w:tcPr>
          <w:p w14:paraId="59AF4DE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54D2808"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продукції, яка оголошена як побічний продукт</w:t>
            </w:r>
          </w:p>
        </w:tc>
        <w:tc>
          <w:tcPr>
            <w:tcW w:w="2353" w:type="dxa"/>
          </w:tcPr>
          <w:p w14:paraId="6C0597D1" w14:textId="77777777" w:rsidR="00991C8A" w:rsidRPr="00C22C49" w:rsidRDefault="00991C8A" w:rsidP="00D81F1B">
            <w:pPr>
              <w:spacing w:before="0" w:line="259" w:lineRule="auto"/>
              <w:rPr>
                <w:rFonts w:eastAsia="Calibri" w:cs="Times New Roman"/>
                <w:szCs w:val="24"/>
              </w:rPr>
            </w:pPr>
            <w:r>
              <w:rPr>
                <w:rFonts w:eastAsia="Calibri" w:cs="Times New Roman"/>
                <w:szCs w:val="24"/>
              </w:rPr>
              <w:t>т</w:t>
            </w:r>
            <w:r w:rsidRPr="008E4C1E">
              <w:rPr>
                <w:rFonts w:eastAsia="Calibri" w:cs="Times New Roman"/>
                <w:szCs w:val="24"/>
              </w:rPr>
              <w:t>ис.т</w:t>
            </w:r>
          </w:p>
        </w:tc>
      </w:tr>
      <w:tr w:rsidR="00991C8A" w:rsidRPr="00C22C49" w14:paraId="2C41F532" w14:textId="77777777" w:rsidTr="00681D30">
        <w:trPr>
          <w:gridAfter w:val="1"/>
          <w:wAfter w:w="9" w:type="dxa"/>
          <w:trHeight w:val="170"/>
        </w:trPr>
        <w:tc>
          <w:tcPr>
            <w:tcW w:w="1009" w:type="dxa"/>
          </w:tcPr>
          <w:p w14:paraId="23CF4F6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3271383" w14:textId="5AC19AF0"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здійснено опреції з підготовки до повторного використання</w:t>
            </w:r>
          </w:p>
        </w:tc>
        <w:tc>
          <w:tcPr>
            <w:tcW w:w="2353" w:type="dxa"/>
          </w:tcPr>
          <w:p w14:paraId="6D247FA6"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40E78A18" w14:textId="77777777" w:rsidTr="00681D30">
        <w:trPr>
          <w:gridAfter w:val="1"/>
          <w:wAfter w:w="9" w:type="dxa"/>
          <w:trHeight w:val="170"/>
        </w:trPr>
        <w:tc>
          <w:tcPr>
            <w:tcW w:w="1009" w:type="dxa"/>
          </w:tcPr>
          <w:p w14:paraId="79685C9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3B546D4" w14:textId="5061C5E0"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оголошено припинення статусу відходів</w:t>
            </w:r>
          </w:p>
        </w:tc>
        <w:tc>
          <w:tcPr>
            <w:tcW w:w="2353" w:type="dxa"/>
          </w:tcPr>
          <w:p w14:paraId="4C6B068F"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5033BB9C" w14:textId="77777777" w:rsidTr="00681D30">
        <w:trPr>
          <w:gridAfter w:val="1"/>
          <w:wAfter w:w="9" w:type="dxa"/>
          <w:trHeight w:val="170"/>
        </w:trPr>
        <w:tc>
          <w:tcPr>
            <w:tcW w:w="1009" w:type="dxa"/>
          </w:tcPr>
          <w:p w14:paraId="0DA9950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DC642D8" w14:textId="51F0F04D"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здійснено операції з рециклінгу</w:t>
            </w:r>
          </w:p>
        </w:tc>
        <w:tc>
          <w:tcPr>
            <w:tcW w:w="2353" w:type="dxa"/>
          </w:tcPr>
          <w:p w14:paraId="79FF3F7E"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52DEBD2" w14:textId="77777777" w:rsidTr="00681D30">
        <w:trPr>
          <w:gridAfter w:val="1"/>
          <w:wAfter w:w="9" w:type="dxa"/>
          <w:trHeight w:val="170"/>
        </w:trPr>
        <w:tc>
          <w:tcPr>
            <w:tcW w:w="1009" w:type="dxa"/>
          </w:tcPr>
          <w:p w14:paraId="6BB12CC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710D293" w14:textId="233F9038"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здійснено операції з відновлення</w:t>
            </w:r>
          </w:p>
        </w:tc>
        <w:tc>
          <w:tcPr>
            <w:tcW w:w="2353" w:type="dxa"/>
          </w:tcPr>
          <w:p w14:paraId="2B6B0F1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0F464096" w14:textId="77777777" w:rsidTr="00681D30">
        <w:trPr>
          <w:gridAfter w:val="1"/>
          <w:wAfter w:w="9" w:type="dxa"/>
          <w:trHeight w:val="170"/>
        </w:trPr>
        <w:tc>
          <w:tcPr>
            <w:tcW w:w="1009" w:type="dxa"/>
          </w:tcPr>
          <w:p w14:paraId="0DBCBFA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D11B793" w14:textId="588C6A71"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здійснено операції з відновлення (спалювання з отриманням енергії)</w:t>
            </w:r>
          </w:p>
        </w:tc>
        <w:tc>
          <w:tcPr>
            <w:tcW w:w="2353" w:type="dxa"/>
          </w:tcPr>
          <w:p w14:paraId="4BBC3B9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7074EF31" w14:textId="77777777" w:rsidTr="00681D30">
        <w:trPr>
          <w:gridAfter w:val="1"/>
          <w:wAfter w:w="9" w:type="dxa"/>
          <w:trHeight w:val="170"/>
        </w:trPr>
        <w:tc>
          <w:tcPr>
            <w:tcW w:w="1009" w:type="dxa"/>
          </w:tcPr>
          <w:p w14:paraId="1528673A"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A0CE068" w14:textId="1DDC5070"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здійснено операції по захороненню</w:t>
            </w:r>
          </w:p>
        </w:tc>
        <w:tc>
          <w:tcPr>
            <w:tcW w:w="2353" w:type="dxa"/>
          </w:tcPr>
          <w:p w14:paraId="6B09C26E"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558CF9F7" w14:textId="77777777" w:rsidTr="00681D30">
        <w:trPr>
          <w:gridAfter w:val="1"/>
          <w:wAfter w:w="9" w:type="dxa"/>
          <w:trHeight w:val="170"/>
        </w:trPr>
        <w:tc>
          <w:tcPr>
            <w:tcW w:w="1009" w:type="dxa"/>
          </w:tcPr>
          <w:p w14:paraId="5109271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72E1DD5" w14:textId="3FA323F1"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 xml:space="preserve"> утворених відходів, щодо яких здійснено інші операції по видаленню</w:t>
            </w:r>
          </w:p>
        </w:tc>
        <w:tc>
          <w:tcPr>
            <w:tcW w:w="2353" w:type="dxa"/>
          </w:tcPr>
          <w:p w14:paraId="6F3B6B36"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3CA7F3EB" w14:textId="77777777" w:rsidTr="00681D30">
        <w:trPr>
          <w:gridAfter w:val="1"/>
          <w:wAfter w:w="9" w:type="dxa"/>
          <w:trHeight w:val="170"/>
        </w:trPr>
        <w:tc>
          <w:tcPr>
            <w:tcW w:w="1009" w:type="dxa"/>
          </w:tcPr>
          <w:p w14:paraId="1C5E629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BF9A108" w14:textId="70A6AA6B"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FA1F8C" w:rsidRPr="00FA1F8C">
              <w:rPr>
                <w:rFonts w:eastAsia="Calibri" w:cs="Times New Roman"/>
                <w:szCs w:val="24"/>
              </w:rPr>
              <w:t xml:space="preserve">обсягів </w:t>
            </w:r>
            <w:r w:rsidRPr="00C22C49">
              <w:rPr>
                <w:rFonts w:eastAsia="Calibri" w:cs="Times New Roman"/>
                <w:szCs w:val="24"/>
              </w:rPr>
              <w:t>утворених відходів, щодо яких здійснено операції по біологічному обробленню методами анаеробне зброджування та компостування</w:t>
            </w:r>
          </w:p>
        </w:tc>
        <w:tc>
          <w:tcPr>
            <w:tcW w:w="2353" w:type="dxa"/>
          </w:tcPr>
          <w:p w14:paraId="62A3B01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39E3664C" w14:textId="77777777" w:rsidTr="00681D30">
        <w:trPr>
          <w:gridAfter w:val="1"/>
          <w:wAfter w:w="9" w:type="dxa"/>
          <w:trHeight w:val="170"/>
        </w:trPr>
        <w:tc>
          <w:tcPr>
            <w:tcW w:w="1009" w:type="dxa"/>
          </w:tcPr>
          <w:p w14:paraId="12455EB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A4FF60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Відсоток утворених відходів, щодо яких здійснено операції по обробленню іншими термічними методами (піроліз, газифікація, плазмовий процес)</w:t>
            </w:r>
          </w:p>
        </w:tc>
        <w:tc>
          <w:tcPr>
            <w:tcW w:w="2353" w:type="dxa"/>
          </w:tcPr>
          <w:p w14:paraId="389EA9C3"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032CD826" w14:textId="77777777" w:rsidTr="00681D30">
        <w:trPr>
          <w:gridAfter w:val="1"/>
          <w:wAfter w:w="9" w:type="dxa"/>
          <w:trHeight w:val="170"/>
        </w:trPr>
        <w:tc>
          <w:tcPr>
            <w:tcW w:w="1009" w:type="dxa"/>
          </w:tcPr>
          <w:p w14:paraId="63D83DE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9CB03D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від маси утворених відходів, щодо яких здійснено операції по видаленню без попереднього оброблення </w:t>
            </w:r>
          </w:p>
        </w:tc>
        <w:tc>
          <w:tcPr>
            <w:tcW w:w="2353" w:type="dxa"/>
          </w:tcPr>
          <w:p w14:paraId="7C5FD2F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63206041" w14:textId="77777777" w:rsidTr="00681D30">
        <w:trPr>
          <w:gridAfter w:val="1"/>
          <w:wAfter w:w="9" w:type="dxa"/>
          <w:trHeight w:val="170"/>
        </w:trPr>
        <w:tc>
          <w:tcPr>
            <w:tcW w:w="1009" w:type="dxa"/>
          </w:tcPr>
          <w:p w14:paraId="6A6CE6D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EE1D446"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Значення ВВП</w:t>
            </w:r>
          </w:p>
        </w:tc>
        <w:tc>
          <w:tcPr>
            <w:tcW w:w="2353" w:type="dxa"/>
          </w:tcPr>
          <w:p w14:paraId="68997B69"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млн</w:t>
            </w:r>
            <w:r w:rsidRPr="00C22C49">
              <w:rPr>
                <w:rFonts w:eastAsia="Calibri" w:cs="Times New Roman"/>
                <w:szCs w:val="24"/>
              </w:rPr>
              <w:t>. грн</w:t>
            </w:r>
          </w:p>
        </w:tc>
      </w:tr>
      <w:tr w:rsidR="00991C8A" w:rsidRPr="00C22C49" w14:paraId="33A31E9E" w14:textId="77777777" w:rsidTr="00681D30">
        <w:trPr>
          <w:gridAfter w:val="1"/>
          <w:wAfter w:w="9" w:type="dxa"/>
          <w:trHeight w:val="170"/>
        </w:trPr>
        <w:tc>
          <w:tcPr>
            <w:tcW w:w="1009" w:type="dxa"/>
          </w:tcPr>
          <w:p w14:paraId="6C199A2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2D3B52F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Значення ВВП </w:t>
            </w:r>
            <w:r w:rsidRPr="00C22C49">
              <w:rPr>
                <w:rFonts w:eastAsia="Calibri" w:cs="Times New Roman"/>
                <w:i/>
                <w:szCs w:val="24"/>
              </w:rPr>
              <w:t>на душу населення</w:t>
            </w:r>
          </w:p>
        </w:tc>
        <w:tc>
          <w:tcPr>
            <w:tcW w:w="2353" w:type="dxa"/>
          </w:tcPr>
          <w:p w14:paraId="57E97E67"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г</w:t>
            </w:r>
            <w:r w:rsidRPr="00C22C49">
              <w:rPr>
                <w:rFonts w:eastAsia="Calibri" w:cs="Times New Roman"/>
                <w:szCs w:val="24"/>
              </w:rPr>
              <w:t>рн</w:t>
            </w:r>
            <w:r>
              <w:rPr>
                <w:rFonts w:eastAsia="Calibri" w:cs="Times New Roman"/>
                <w:szCs w:val="24"/>
              </w:rPr>
              <w:t>/особу</w:t>
            </w:r>
          </w:p>
        </w:tc>
      </w:tr>
      <w:tr w:rsidR="00991C8A" w:rsidRPr="00C22C49" w14:paraId="6BA3C839" w14:textId="77777777" w:rsidTr="00681D30">
        <w:trPr>
          <w:gridAfter w:val="1"/>
          <w:wAfter w:w="9" w:type="dxa"/>
          <w:trHeight w:val="170"/>
        </w:trPr>
        <w:tc>
          <w:tcPr>
            <w:tcW w:w="1009" w:type="dxa"/>
          </w:tcPr>
          <w:p w14:paraId="13DA6E2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DC00D48"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розроблених регіональних планів управління відходами</w:t>
            </w:r>
          </w:p>
        </w:tc>
        <w:tc>
          <w:tcPr>
            <w:tcW w:w="2353" w:type="dxa"/>
          </w:tcPr>
          <w:p w14:paraId="0BCA5176"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одиниць</w:t>
            </w:r>
          </w:p>
        </w:tc>
      </w:tr>
      <w:tr w:rsidR="00991C8A" w:rsidRPr="00C22C49" w14:paraId="39137B61" w14:textId="77777777" w:rsidTr="00681D30">
        <w:trPr>
          <w:gridAfter w:val="1"/>
          <w:wAfter w:w="9" w:type="dxa"/>
          <w:trHeight w:val="170"/>
        </w:trPr>
        <w:tc>
          <w:tcPr>
            <w:tcW w:w="1009" w:type="dxa"/>
          </w:tcPr>
          <w:p w14:paraId="054520E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80D056E"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розроблених місцевих планів управління відходами</w:t>
            </w:r>
          </w:p>
        </w:tc>
        <w:tc>
          <w:tcPr>
            <w:tcW w:w="2353" w:type="dxa"/>
          </w:tcPr>
          <w:p w14:paraId="369624ED"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одиниць</w:t>
            </w:r>
          </w:p>
        </w:tc>
      </w:tr>
      <w:tr w:rsidR="00991C8A" w:rsidRPr="00C22C49" w14:paraId="0535E448" w14:textId="77777777" w:rsidTr="00681D30">
        <w:trPr>
          <w:gridAfter w:val="1"/>
          <w:wAfter w:w="9" w:type="dxa"/>
          <w:trHeight w:val="170"/>
        </w:trPr>
        <w:tc>
          <w:tcPr>
            <w:tcW w:w="1009" w:type="dxa"/>
          </w:tcPr>
          <w:p w14:paraId="3B71059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9EF5088"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розроблених планів управління відходами підприємств установ та організацій</w:t>
            </w:r>
          </w:p>
        </w:tc>
        <w:tc>
          <w:tcPr>
            <w:tcW w:w="2353" w:type="dxa"/>
          </w:tcPr>
          <w:p w14:paraId="6CF16ED5"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одиниць</w:t>
            </w:r>
          </w:p>
        </w:tc>
      </w:tr>
      <w:tr w:rsidR="00991C8A" w:rsidRPr="00C22C49" w14:paraId="7624C5A4" w14:textId="77777777" w:rsidTr="00681D30">
        <w:trPr>
          <w:gridAfter w:val="1"/>
          <w:wAfter w:w="9" w:type="dxa"/>
          <w:trHeight w:val="170"/>
        </w:trPr>
        <w:tc>
          <w:tcPr>
            <w:tcW w:w="1009" w:type="dxa"/>
          </w:tcPr>
          <w:p w14:paraId="7F835E3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DC26FC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Кількість суб'єктів господарювання з верифікованою системою екологічного менеджменту (з дійсною реєстрацією в EMAS) </w:t>
            </w:r>
          </w:p>
        </w:tc>
        <w:tc>
          <w:tcPr>
            <w:tcW w:w="2353" w:type="dxa"/>
          </w:tcPr>
          <w:p w14:paraId="5747BCD9"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4F2D69AF" w14:textId="77777777" w:rsidTr="00681D30">
        <w:trPr>
          <w:gridAfter w:val="1"/>
          <w:wAfter w:w="9" w:type="dxa"/>
          <w:trHeight w:val="170"/>
        </w:trPr>
        <w:tc>
          <w:tcPr>
            <w:tcW w:w="1009" w:type="dxa"/>
          </w:tcPr>
          <w:p w14:paraId="7BBF2B9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FF872B5" w14:textId="77777777" w:rsidR="00991C8A" w:rsidRPr="00C22C49" w:rsidRDefault="00991C8A" w:rsidP="00D81F1B">
            <w:pPr>
              <w:spacing w:before="0" w:line="259" w:lineRule="auto"/>
              <w:rPr>
                <w:rFonts w:eastAsia="Calibri" w:cs="Times New Roman"/>
                <w:szCs w:val="24"/>
              </w:rPr>
            </w:pPr>
            <w:r w:rsidRPr="003A5E46">
              <w:rPr>
                <w:rFonts w:eastAsia="Calibri" w:cs="Times New Roman"/>
                <w:szCs w:val="24"/>
              </w:rPr>
              <w:t xml:space="preserve">Кількість рекультивованих </w:t>
            </w:r>
            <w:r>
              <w:rPr>
                <w:rFonts w:eastAsia="Calibri" w:cs="Times New Roman"/>
                <w:szCs w:val="24"/>
              </w:rPr>
              <w:t>історичних</w:t>
            </w:r>
            <w:r w:rsidRPr="003A5E46">
              <w:rPr>
                <w:rFonts w:eastAsia="Calibri" w:cs="Times New Roman"/>
                <w:szCs w:val="24"/>
              </w:rPr>
              <w:t xml:space="preserve"> місць </w:t>
            </w:r>
            <w:r>
              <w:rPr>
                <w:rFonts w:eastAsia="Calibri" w:cs="Times New Roman"/>
                <w:szCs w:val="24"/>
              </w:rPr>
              <w:t>розміщення</w:t>
            </w:r>
            <w:r w:rsidRPr="003A5E46">
              <w:rPr>
                <w:rFonts w:eastAsia="Calibri" w:cs="Times New Roman"/>
                <w:szCs w:val="24"/>
              </w:rPr>
              <w:t xml:space="preserve"> відходів</w:t>
            </w:r>
          </w:p>
        </w:tc>
        <w:tc>
          <w:tcPr>
            <w:tcW w:w="2353" w:type="dxa"/>
          </w:tcPr>
          <w:p w14:paraId="295579C6" w14:textId="77777777" w:rsidR="00991C8A" w:rsidRPr="00C22C49" w:rsidRDefault="00991C8A" w:rsidP="00D81F1B">
            <w:pPr>
              <w:spacing w:before="0" w:line="259" w:lineRule="auto"/>
              <w:rPr>
                <w:rFonts w:eastAsia="Calibri" w:cs="Times New Roman"/>
                <w:szCs w:val="24"/>
              </w:rPr>
            </w:pPr>
            <w:r w:rsidRPr="003A5E46">
              <w:rPr>
                <w:rFonts w:eastAsia="Calibri" w:cs="Times New Roman"/>
                <w:szCs w:val="24"/>
              </w:rPr>
              <w:t>одиниць, гектарів</w:t>
            </w:r>
          </w:p>
        </w:tc>
      </w:tr>
      <w:tr w:rsidR="00991C8A" w:rsidRPr="00C22C49" w14:paraId="66621B37" w14:textId="77777777" w:rsidTr="00681D30">
        <w:trPr>
          <w:trHeight w:val="170"/>
        </w:trPr>
        <w:tc>
          <w:tcPr>
            <w:tcW w:w="1009" w:type="dxa"/>
            <w:shd w:val="clear" w:color="auto" w:fill="8EAADB"/>
          </w:tcPr>
          <w:p w14:paraId="1C3C46BA" w14:textId="77777777" w:rsidR="00991C8A" w:rsidRPr="00C22C49" w:rsidRDefault="00991C8A" w:rsidP="00D81F1B">
            <w:pPr>
              <w:spacing w:before="0" w:line="259" w:lineRule="auto"/>
              <w:ind w:left="720"/>
              <w:contextualSpacing/>
              <w:jc w:val="left"/>
              <w:rPr>
                <w:rFonts w:eastAsia="Calibri" w:cs="Times New Roman"/>
                <w:b/>
                <w:bCs/>
                <w:szCs w:val="24"/>
              </w:rPr>
            </w:pPr>
          </w:p>
        </w:tc>
        <w:tc>
          <w:tcPr>
            <w:tcW w:w="8783" w:type="dxa"/>
            <w:gridSpan w:val="3"/>
            <w:shd w:val="clear" w:color="auto" w:fill="8EAADB"/>
          </w:tcPr>
          <w:p w14:paraId="4F72137A"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Основні потоки відходів</w:t>
            </w:r>
          </w:p>
        </w:tc>
      </w:tr>
      <w:tr w:rsidR="00991C8A" w:rsidRPr="00C22C49" w14:paraId="77180818" w14:textId="77777777" w:rsidTr="00681D30">
        <w:trPr>
          <w:gridAfter w:val="1"/>
          <w:wAfter w:w="9" w:type="dxa"/>
          <w:trHeight w:val="170"/>
        </w:trPr>
        <w:tc>
          <w:tcPr>
            <w:tcW w:w="1009" w:type="dxa"/>
            <w:shd w:val="clear" w:color="auto" w:fill="B4C6E7"/>
          </w:tcPr>
          <w:p w14:paraId="5CBAFC66" w14:textId="77777777" w:rsidR="00991C8A" w:rsidRPr="00C22C49" w:rsidRDefault="00991C8A" w:rsidP="00D81F1B">
            <w:pPr>
              <w:spacing w:before="0" w:line="259" w:lineRule="auto"/>
              <w:ind w:left="720"/>
              <w:contextualSpacing/>
              <w:jc w:val="left"/>
              <w:rPr>
                <w:rFonts w:eastAsia="Times New Roman" w:cs="Times New Roman"/>
                <w:b/>
                <w:szCs w:val="24"/>
              </w:rPr>
            </w:pPr>
          </w:p>
        </w:tc>
        <w:tc>
          <w:tcPr>
            <w:tcW w:w="6421" w:type="dxa"/>
            <w:shd w:val="clear" w:color="auto" w:fill="B4C6E7"/>
          </w:tcPr>
          <w:p w14:paraId="0C71B2B8"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Побутові відходи</w:t>
            </w:r>
          </w:p>
        </w:tc>
        <w:tc>
          <w:tcPr>
            <w:tcW w:w="2353" w:type="dxa"/>
            <w:shd w:val="clear" w:color="auto" w:fill="B4C6E7"/>
          </w:tcPr>
          <w:p w14:paraId="00E1F246" w14:textId="77777777" w:rsidR="00991C8A" w:rsidRPr="00C22C49" w:rsidRDefault="00991C8A" w:rsidP="00D81F1B">
            <w:pPr>
              <w:spacing w:before="0" w:line="259" w:lineRule="auto"/>
              <w:jc w:val="center"/>
              <w:rPr>
                <w:rFonts w:eastAsia="Times New Roman" w:cs="Times New Roman"/>
                <w:b/>
                <w:szCs w:val="24"/>
              </w:rPr>
            </w:pPr>
          </w:p>
        </w:tc>
      </w:tr>
      <w:tr w:rsidR="00991C8A" w:rsidRPr="00C22C49" w14:paraId="63C77168" w14:textId="77777777" w:rsidTr="00681D30">
        <w:trPr>
          <w:gridAfter w:val="1"/>
          <w:wAfter w:w="9" w:type="dxa"/>
          <w:trHeight w:val="170"/>
        </w:trPr>
        <w:tc>
          <w:tcPr>
            <w:tcW w:w="1009" w:type="dxa"/>
          </w:tcPr>
          <w:p w14:paraId="6FFB886A"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FAD2E17"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населення</w:t>
            </w:r>
          </w:p>
        </w:tc>
        <w:tc>
          <w:tcPr>
            <w:tcW w:w="2353" w:type="dxa"/>
          </w:tcPr>
          <w:p w14:paraId="51CDEB44"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осіб</w:t>
            </w:r>
          </w:p>
        </w:tc>
      </w:tr>
      <w:tr w:rsidR="00991C8A" w:rsidRPr="00C22C49" w14:paraId="08767BAB" w14:textId="77777777" w:rsidTr="00681D30">
        <w:trPr>
          <w:gridAfter w:val="1"/>
          <w:wAfter w:w="9" w:type="dxa"/>
          <w:trHeight w:val="170"/>
        </w:trPr>
        <w:tc>
          <w:tcPr>
            <w:tcW w:w="1009" w:type="dxa"/>
          </w:tcPr>
          <w:p w14:paraId="75569D9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6E87888" w14:textId="44E4C1DB" w:rsidR="00991C8A" w:rsidRPr="00C22C49" w:rsidRDefault="005253EA" w:rsidP="00D81F1B">
            <w:pPr>
              <w:spacing w:before="0" w:line="259" w:lineRule="auto"/>
              <w:rPr>
                <w:rFonts w:eastAsia="Calibri" w:cs="Times New Roman"/>
                <w:szCs w:val="24"/>
              </w:rPr>
            </w:pPr>
            <w:r w:rsidRPr="005253EA">
              <w:rPr>
                <w:rFonts w:eastAsia="Calibri" w:cs="Times New Roman"/>
                <w:szCs w:val="24"/>
              </w:rPr>
              <w:t>Обсяг</w:t>
            </w:r>
            <w:r w:rsidR="00991C8A" w:rsidRPr="00C22C49">
              <w:rPr>
                <w:rFonts w:eastAsia="Calibri" w:cs="Times New Roman"/>
                <w:szCs w:val="24"/>
              </w:rPr>
              <w:t xml:space="preserve"> утворених побутових відходів</w:t>
            </w:r>
          </w:p>
        </w:tc>
        <w:tc>
          <w:tcPr>
            <w:tcW w:w="2353" w:type="dxa"/>
          </w:tcPr>
          <w:p w14:paraId="6F64C8C1" w14:textId="77777777" w:rsidR="00991C8A" w:rsidRPr="00C22C49" w:rsidRDefault="00991C8A" w:rsidP="00D81F1B">
            <w:pPr>
              <w:spacing w:before="0" w:line="259" w:lineRule="auto"/>
              <w:rPr>
                <w:rFonts w:eastAsia="Calibri" w:cs="Times New Roman"/>
                <w:szCs w:val="24"/>
              </w:rPr>
            </w:pPr>
            <w:r w:rsidRPr="00FD3868">
              <w:rPr>
                <w:rFonts w:eastAsia="Calibri" w:cs="Times New Roman"/>
                <w:szCs w:val="24"/>
              </w:rPr>
              <w:t>тис.т</w:t>
            </w:r>
            <w:r>
              <w:rPr>
                <w:rFonts w:eastAsia="Calibri" w:cs="Times New Roman"/>
                <w:szCs w:val="24"/>
              </w:rPr>
              <w:t>/рік</w:t>
            </w:r>
          </w:p>
        </w:tc>
      </w:tr>
      <w:tr w:rsidR="00991C8A" w:rsidRPr="00C22C49" w14:paraId="0B53D3D6" w14:textId="77777777" w:rsidTr="00681D30">
        <w:trPr>
          <w:gridAfter w:val="1"/>
          <w:wAfter w:w="9" w:type="dxa"/>
          <w:trHeight w:val="170"/>
        </w:trPr>
        <w:tc>
          <w:tcPr>
            <w:tcW w:w="1009" w:type="dxa"/>
          </w:tcPr>
          <w:p w14:paraId="447303C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B657730" w14:textId="16EDD97C" w:rsidR="00991C8A" w:rsidRPr="00C22C49" w:rsidRDefault="005253EA" w:rsidP="00D81F1B">
            <w:pPr>
              <w:spacing w:before="0" w:line="259" w:lineRule="auto"/>
              <w:rPr>
                <w:rFonts w:eastAsia="Times New Roman" w:cs="Times New Roman"/>
                <w:szCs w:val="24"/>
              </w:rPr>
            </w:pPr>
            <w:r w:rsidRPr="005253EA">
              <w:rPr>
                <w:rFonts w:eastAsia="Calibri" w:cs="Times New Roman"/>
                <w:szCs w:val="24"/>
              </w:rPr>
              <w:t>Обсяг</w:t>
            </w:r>
            <w:r w:rsidR="00991C8A" w:rsidRPr="00C22C49">
              <w:rPr>
                <w:rFonts w:eastAsia="Calibri" w:cs="Times New Roman"/>
                <w:szCs w:val="24"/>
              </w:rPr>
              <w:t xml:space="preserve"> зібраних побутових відходів (змішані та роздільно зібрані)</w:t>
            </w:r>
          </w:p>
        </w:tc>
        <w:tc>
          <w:tcPr>
            <w:tcW w:w="2353" w:type="dxa"/>
          </w:tcPr>
          <w:p w14:paraId="4E9A2A41"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r w:rsidRPr="004045B6">
              <w:rPr>
                <w:rFonts w:eastAsia="Calibri" w:cs="Times New Roman"/>
                <w:szCs w:val="24"/>
              </w:rPr>
              <w:t>/рік</w:t>
            </w:r>
          </w:p>
        </w:tc>
      </w:tr>
      <w:tr w:rsidR="00991C8A" w:rsidRPr="00C22C49" w14:paraId="73A769B9" w14:textId="77777777" w:rsidTr="00681D30">
        <w:trPr>
          <w:gridAfter w:val="1"/>
          <w:wAfter w:w="9" w:type="dxa"/>
          <w:trHeight w:val="170"/>
        </w:trPr>
        <w:tc>
          <w:tcPr>
            <w:tcW w:w="1009" w:type="dxa"/>
          </w:tcPr>
          <w:p w14:paraId="29F2728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551FE727" w14:textId="3DBD253E" w:rsidR="00991C8A" w:rsidRPr="00C22C49" w:rsidRDefault="005253EA" w:rsidP="00D81F1B">
            <w:pPr>
              <w:spacing w:before="0" w:line="259" w:lineRule="auto"/>
              <w:rPr>
                <w:rFonts w:eastAsia="Times New Roman" w:cs="Times New Roman"/>
                <w:szCs w:val="24"/>
              </w:rPr>
            </w:pPr>
            <w:r w:rsidRPr="005253EA">
              <w:rPr>
                <w:rFonts w:eastAsia="Calibri" w:cs="Times New Roman"/>
                <w:szCs w:val="24"/>
              </w:rPr>
              <w:t>Обсяг</w:t>
            </w:r>
            <w:r w:rsidR="00991C8A" w:rsidRPr="00C22C49">
              <w:rPr>
                <w:rFonts w:eastAsia="Calibri" w:cs="Times New Roman"/>
                <w:szCs w:val="24"/>
              </w:rPr>
              <w:t xml:space="preserve"> роздільно зібраних побутових відходів</w:t>
            </w:r>
          </w:p>
        </w:tc>
        <w:tc>
          <w:tcPr>
            <w:tcW w:w="2353" w:type="dxa"/>
          </w:tcPr>
          <w:p w14:paraId="43F39BA9"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r w:rsidRPr="004045B6">
              <w:rPr>
                <w:rFonts w:eastAsia="Calibri" w:cs="Times New Roman"/>
                <w:szCs w:val="24"/>
              </w:rPr>
              <w:t>/рік</w:t>
            </w:r>
          </w:p>
        </w:tc>
      </w:tr>
      <w:tr w:rsidR="00991C8A" w:rsidRPr="00C22C49" w14:paraId="3DA65D4D" w14:textId="77777777" w:rsidTr="00681D30">
        <w:trPr>
          <w:gridAfter w:val="1"/>
          <w:wAfter w:w="9" w:type="dxa"/>
          <w:trHeight w:val="170"/>
        </w:trPr>
        <w:tc>
          <w:tcPr>
            <w:tcW w:w="1009" w:type="dxa"/>
          </w:tcPr>
          <w:p w14:paraId="788FDB6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1E13911" w14:textId="1C4A8209" w:rsidR="00991C8A" w:rsidRPr="00C22C49" w:rsidRDefault="005253EA" w:rsidP="00D81F1B">
            <w:pPr>
              <w:spacing w:before="0" w:line="259" w:lineRule="auto"/>
              <w:rPr>
                <w:rFonts w:eastAsia="Times New Roman" w:cs="Times New Roman"/>
                <w:szCs w:val="24"/>
              </w:rPr>
            </w:pPr>
            <w:r w:rsidRPr="005253EA">
              <w:rPr>
                <w:rFonts w:eastAsia="Calibri" w:cs="Times New Roman"/>
                <w:szCs w:val="24"/>
              </w:rPr>
              <w:t>Обсяг</w:t>
            </w:r>
            <w:r w:rsidR="00991C8A" w:rsidRPr="00C22C49">
              <w:rPr>
                <w:rFonts w:eastAsia="Calibri" w:cs="Times New Roman"/>
                <w:szCs w:val="24"/>
              </w:rPr>
              <w:t xml:space="preserve"> зібраних змішаних побутові відходів</w:t>
            </w:r>
          </w:p>
        </w:tc>
        <w:tc>
          <w:tcPr>
            <w:tcW w:w="2353" w:type="dxa"/>
          </w:tcPr>
          <w:p w14:paraId="785706A2" w14:textId="77777777" w:rsidR="00991C8A" w:rsidRPr="00C22C49" w:rsidRDefault="00991C8A" w:rsidP="00D81F1B">
            <w:pPr>
              <w:spacing w:before="0" w:line="259" w:lineRule="auto"/>
              <w:rPr>
                <w:rFonts w:eastAsia="Times New Roman" w:cs="Times New Roman"/>
                <w:szCs w:val="24"/>
              </w:rPr>
            </w:pPr>
            <w:r w:rsidRPr="00FD3868">
              <w:rPr>
                <w:rFonts w:eastAsia="Times New Roman" w:cs="Times New Roman"/>
                <w:szCs w:val="24"/>
              </w:rPr>
              <w:t>тис.т</w:t>
            </w:r>
            <w:r w:rsidRPr="004045B6">
              <w:rPr>
                <w:rFonts w:eastAsia="Times New Roman" w:cs="Times New Roman"/>
                <w:szCs w:val="24"/>
              </w:rPr>
              <w:t>/рік</w:t>
            </w:r>
          </w:p>
        </w:tc>
      </w:tr>
      <w:tr w:rsidR="00991C8A" w:rsidRPr="00C22C49" w14:paraId="38807190" w14:textId="77777777" w:rsidTr="00681D30">
        <w:trPr>
          <w:gridAfter w:val="1"/>
          <w:wAfter w:w="9" w:type="dxa"/>
          <w:trHeight w:val="170"/>
        </w:trPr>
        <w:tc>
          <w:tcPr>
            <w:tcW w:w="1009" w:type="dxa"/>
          </w:tcPr>
          <w:p w14:paraId="325634E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0386B45" w14:textId="716B43D2" w:rsidR="00991C8A" w:rsidRPr="00C22C49" w:rsidRDefault="005253EA" w:rsidP="00D81F1B">
            <w:pPr>
              <w:spacing w:before="0" w:line="259" w:lineRule="auto"/>
              <w:rPr>
                <w:rFonts w:eastAsia="Times New Roman" w:cs="Times New Roman"/>
                <w:szCs w:val="24"/>
              </w:rPr>
            </w:pPr>
            <w:r w:rsidRPr="005253EA">
              <w:rPr>
                <w:rFonts w:eastAsia="Calibri" w:cs="Times New Roman"/>
                <w:szCs w:val="24"/>
              </w:rPr>
              <w:t>Обсяг</w:t>
            </w:r>
            <w:r w:rsidR="00991C8A" w:rsidRPr="00C22C49">
              <w:rPr>
                <w:rFonts w:eastAsia="Calibri" w:cs="Times New Roman"/>
                <w:szCs w:val="24"/>
              </w:rPr>
              <w:t xml:space="preserve"> зібраних змішаних побутових відходів </w:t>
            </w:r>
            <w:r w:rsidR="00991C8A" w:rsidRPr="00C22C49">
              <w:rPr>
                <w:rFonts w:eastAsia="Calibri" w:cs="Times New Roman"/>
                <w:i/>
                <w:szCs w:val="24"/>
              </w:rPr>
              <w:t>на душу</w:t>
            </w:r>
            <w:r w:rsidR="00991C8A" w:rsidRPr="00C22C49">
              <w:rPr>
                <w:rFonts w:eastAsia="Calibri" w:cs="Times New Roman"/>
                <w:szCs w:val="24"/>
              </w:rPr>
              <w:t xml:space="preserve"> населення за рік</w:t>
            </w:r>
          </w:p>
        </w:tc>
        <w:tc>
          <w:tcPr>
            <w:tcW w:w="2353" w:type="dxa"/>
          </w:tcPr>
          <w:p w14:paraId="7F77F86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кг/особу/рік</w:t>
            </w:r>
          </w:p>
        </w:tc>
      </w:tr>
      <w:tr w:rsidR="00991C8A" w:rsidRPr="00C22C49" w14:paraId="7572FE29" w14:textId="77777777" w:rsidTr="00681D30">
        <w:trPr>
          <w:gridAfter w:val="1"/>
          <w:wAfter w:w="9" w:type="dxa"/>
          <w:trHeight w:val="170"/>
        </w:trPr>
        <w:tc>
          <w:tcPr>
            <w:tcW w:w="1009" w:type="dxa"/>
          </w:tcPr>
          <w:p w14:paraId="3291705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0906B77"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Охоплення населення послугами управління відходами</w:t>
            </w:r>
          </w:p>
        </w:tc>
        <w:tc>
          <w:tcPr>
            <w:tcW w:w="2353" w:type="dxa"/>
          </w:tcPr>
          <w:p w14:paraId="0F77793E"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6CD57591" w14:textId="77777777" w:rsidTr="00681D30">
        <w:trPr>
          <w:gridAfter w:val="1"/>
          <w:wAfter w:w="9" w:type="dxa"/>
          <w:trHeight w:val="170"/>
        </w:trPr>
        <w:tc>
          <w:tcPr>
            <w:tcW w:w="1009" w:type="dxa"/>
          </w:tcPr>
          <w:p w14:paraId="578D656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677F9A8"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Охоплення населення послугами збирання змішаних побутових відходів</w:t>
            </w:r>
          </w:p>
        </w:tc>
        <w:tc>
          <w:tcPr>
            <w:tcW w:w="2353" w:type="dxa"/>
          </w:tcPr>
          <w:p w14:paraId="23B188AF"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6C84179A" w14:textId="77777777" w:rsidTr="00681D30">
        <w:trPr>
          <w:gridAfter w:val="1"/>
          <w:wAfter w:w="9" w:type="dxa"/>
          <w:trHeight w:val="170"/>
        </w:trPr>
        <w:tc>
          <w:tcPr>
            <w:tcW w:w="1009" w:type="dxa"/>
          </w:tcPr>
          <w:p w14:paraId="540C2D4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23171A0"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Охоплення населення роздільним збиранням побутових відходів</w:t>
            </w:r>
          </w:p>
        </w:tc>
        <w:tc>
          <w:tcPr>
            <w:tcW w:w="2353" w:type="dxa"/>
          </w:tcPr>
          <w:p w14:paraId="6DE104DA"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50CF36B0" w14:textId="77777777" w:rsidTr="00681D30">
        <w:trPr>
          <w:gridAfter w:val="1"/>
          <w:wAfter w:w="9" w:type="dxa"/>
          <w:trHeight w:val="170"/>
        </w:trPr>
        <w:tc>
          <w:tcPr>
            <w:tcW w:w="1009" w:type="dxa"/>
          </w:tcPr>
          <w:p w14:paraId="228A6B4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3415D47"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Частка роздільно зібраних побутових відходів у загальній масі побутових відходів</w:t>
            </w:r>
          </w:p>
        </w:tc>
        <w:tc>
          <w:tcPr>
            <w:tcW w:w="2353" w:type="dxa"/>
          </w:tcPr>
          <w:p w14:paraId="6DA43D43"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FC9F5E1" w14:textId="77777777" w:rsidTr="00681D30">
        <w:trPr>
          <w:gridAfter w:val="1"/>
          <w:wAfter w:w="9" w:type="dxa"/>
          <w:trHeight w:val="170"/>
        </w:trPr>
        <w:tc>
          <w:tcPr>
            <w:tcW w:w="1009" w:type="dxa"/>
          </w:tcPr>
          <w:p w14:paraId="3871E7D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4D6E34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Відсоток побутових відходів, зібраних змішаних побутових відходів відправлених на полігони без попереднього оброблення</w:t>
            </w:r>
          </w:p>
        </w:tc>
        <w:tc>
          <w:tcPr>
            <w:tcW w:w="2353" w:type="dxa"/>
          </w:tcPr>
          <w:p w14:paraId="42DA67B9"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1E77D75A" w14:textId="77777777" w:rsidTr="00681D30">
        <w:trPr>
          <w:gridAfter w:val="1"/>
          <w:wAfter w:w="9" w:type="dxa"/>
          <w:trHeight w:val="170"/>
        </w:trPr>
        <w:tc>
          <w:tcPr>
            <w:tcW w:w="1009" w:type="dxa"/>
          </w:tcPr>
          <w:p w14:paraId="11EA922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EF4CA36"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Досягнуто рівня підготовки до повторного використання та рециклінгу побутових відходів</w:t>
            </w:r>
          </w:p>
        </w:tc>
        <w:tc>
          <w:tcPr>
            <w:tcW w:w="2353" w:type="dxa"/>
          </w:tcPr>
          <w:p w14:paraId="3FFE6BB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77AF893F" w14:textId="77777777" w:rsidTr="00681D30">
        <w:trPr>
          <w:gridAfter w:val="1"/>
          <w:wAfter w:w="9" w:type="dxa"/>
          <w:trHeight w:val="170"/>
        </w:trPr>
        <w:tc>
          <w:tcPr>
            <w:tcW w:w="1009" w:type="dxa"/>
          </w:tcPr>
          <w:p w14:paraId="768D592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7A33079" w14:textId="3B15C41A" w:rsidR="00991C8A" w:rsidRPr="00C22C49" w:rsidRDefault="005253EA" w:rsidP="00D81F1B">
            <w:pPr>
              <w:spacing w:before="0" w:line="259" w:lineRule="auto"/>
              <w:rPr>
                <w:rFonts w:eastAsia="Calibri" w:cs="Times New Roman"/>
                <w:szCs w:val="24"/>
              </w:rPr>
            </w:pPr>
            <w:r w:rsidRPr="005253EA">
              <w:rPr>
                <w:rFonts w:eastAsia="Calibri" w:cs="Times New Roman"/>
                <w:szCs w:val="24"/>
              </w:rPr>
              <w:t>Обсяг</w:t>
            </w:r>
            <w:r w:rsidR="00991C8A" w:rsidRPr="00C22C49">
              <w:rPr>
                <w:rFonts w:eastAsia="Calibri" w:cs="Times New Roman"/>
                <w:szCs w:val="24"/>
              </w:rPr>
              <w:t xml:space="preserve"> відновлених побутових відходів, що біологічно розкладаються</w:t>
            </w:r>
          </w:p>
        </w:tc>
        <w:tc>
          <w:tcPr>
            <w:tcW w:w="2353" w:type="dxa"/>
          </w:tcPr>
          <w:p w14:paraId="3A87680D" w14:textId="77777777" w:rsidR="00991C8A" w:rsidRPr="00C22C49" w:rsidRDefault="00991C8A" w:rsidP="00D81F1B">
            <w:pPr>
              <w:spacing w:before="0" w:line="259" w:lineRule="auto"/>
              <w:rPr>
                <w:rFonts w:eastAsia="Calibri" w:cs="Times New Roman"/>
                <w:szCs w:val="24"/>
              </w:rPr>
            </w:pPr>
            <w:r w:rsidRPr="00FD3868">
              <w:rPr>
                <w:rFonts w:eastAsia="Calibri" w:cs="Times New Roman"/>
                <w:szCs w:val="24"/>
              </w:rPr>
              <w:t>тис.т</w:t>
            </w:r>
          </w:p>
        </w:tc>
      </w:tr>
      <w:tr w:rsidR="00991C8A" w:rsidRPr="00C22C49" w14:paraId="5AD9E96E" w14:textId="77777777" w:rsidTr="00681D30">
        <w:trPr>
          <w:gridAfter w:val="1"/>
          <w:wAfter w:w="9" w:type="dxa"/>
          <w:trHeight w:val="170"/>
        </w:trPr>
        <w:tc>
          <w:tcPr>
            <w:tcW w:w="1009" w:type="dxa"/>
          </w:tcPr>
          <w:p w14:paraId="24311D8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0B460C86" w14:textId="4D10FA2D" w:rsidR="00991C8A" w:rsidRPr="00C22C49" w:rsidRDefault="005253EA" w:rsidP="00D81F1B">
            <w:pPr>
              <w:spacing w:before="0" w:line="259" w:lineRule="auto"/>
              <w:rPr>
                <w:rFonts w:eastAsia="Calibri" w:cs="Times New Roman"/>
                <w:szCs w:val="24"/>
              </w:rPr>
            </w:pPr>
            <w:r w:rsidRPr="005253EA">
              <w:rPr>
                <w:rFonts w:eastAsia="Calibri" w:cs="Times New Roman"/>
                <w:szCs w:val="24"/>
              </w:rPr>
              <w:t>Обсяг</w:t>
            </w:r>
            <w:r w:rsidR="00991C8A" w:rsidRPr="00C22C49">
              <w:rPr>
                <w:rFonts w:eastAsia="Calibri" w:cs="Times New Roman"/>
                <w:szCs w:val="24"/>
              </w:rPr>
              <w:t xml:space="preserve"> спалених побутових відходів, що біологічно розкладаються</w:t>
            </w:r>
          </w:p>
        </w:tc>
        <w:tc>
          <w:tcPr>
            <w:tcW w:w="2353" w:type="dxa"/>
          </w:tcPr>
          <w:p w14:paraId="195B33AB" w14:textId="77777777" w:rsidR="00991C8A" w:rsidRPr="00C22C49" w:rsidRDefault="00991C8A" w:rsidP="00D81F1B">
            <w:pPr>
              <w:spacing w:before="0" w:line="259" w:lineRule="auto"/>
              <w:rPr>
                <w:rFonts w:eastAsia="Calibri" w:cs="Times New Roman"/>
                <w:szCs w:val="24"/>
              </w:rPr>
            </w:pPr>
            <w:r w:rsidRPr="00FD3868">
              <w:rPr>
                <w:rFonts w:eastAsia="Calibri" w:cs="Times New Roman"/>
                <w:szCs w:val="24"/>
              </w:rPr>
              <w:t>тис.т</w:t>
            </w:r>
          </w:p>
        </w:tc>
      </w:tr>
      <w:tr w:rsidR="00991C8A" w:rsidRPr="00C22C49" w14:paraId="0B2CC78B" w14:textId="77777777" w:rsidTr="00681D30">
        <w:trPr>
          <w:gridAfter w:val="1"/>
          <w:wAfter w:w="9" w:type="dxa"/>
          <w:trHeight w:val="170"/>
        </w:trPr>
        <w:tc>
          <w:tcPr>
            <w:tcW w:w="1009" w:type="dxa"/>
          </w:tcPr>
          <w:p w14:paraId="74DD17A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0E10A5A" w14:textId="1F5A7D4C" w:rsidR="00991C8A" w:rsidRPr="00C22C49" w:rsidRDefault="005253EA" w:rsidP="00D81F1B">
            <w:pPr>
              <w:spacing w:before="0" w:line="259" w:lineRule="auto"/>
              <w:rPr>
                <w:rFonts w:eastAsia="Times New Roman" w:cs="Times New Roman"/>
                <w:szCs w:val="24"/>
              </w:rPr>
            </w:pPr>
            <w:r w:rsidRPr="005253EA">
              <w:rPr>
                <w:rFonts w:eastAsia="Calibri" w:cs="Times New Roman"/>
                <w:szCs w:val="24"/>
              </w:rPr>
              <w:t>Обсяг</w:t>
            </w:r>
            <w:r w:rsidR="00991C8A" w:rsidRPr="00C22C49">
              <w:rPr>
                <w:rFonts w:eastAsia="Calibri" w:cs="Times New Roman"/>
                <w:szCs w:val="24"/>
              </w:rPr>
              <w:t xml:space="preserve"> побутових відходів, що біологічно розкладаються захоронених на полігонах</w:t>
            </w:r>
          </w:p>
        </w:tc>
        <w:tc>
          <w:tcPr>
            <w:tcW w:w="2353" w:type="dxa"/>
          </w:tcPr>
          <w:p w14:paraId="345710D0"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p>
        </w:tc>
      </w:tr>
      <w:tr w:rsidR="00991C8A" w:rsidRPr="00C22C49" w14:paraId="07EF5587" w14:textId="77777777" w:rsidTr="00681D30">
        <w:trPr>
          <w:gridAfter w:val="1"/>
          <w:wAfter w:w="9" w:type="dxa"/>
          <w:trHeight w:val="170"/>
        </w:trPr>
        <w:tc>
          <w:tcPr>
            <w:tcW w:w="1009" w:type="dxa"/>
          </w:tcPr>
          <w:p w14:paraId="4FEFDA0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F8B9FF9" w14:textId="77777777" w:rsidR="00991C8A" w:rsidRPr="00C22C49" w:rsidRDefault="00991C8A" w:rsidP="00D81F1B">
            <w:pPr>
              <w:spacing w:before="0" w:line="259" w:lineRule="auto"/>
              <w:rPr>
                <w:rFonts w:eastAsia="Calibri" w:cs="Times New Roman"/>
                <w:szCs w:val="24"/>
              </w:rPr>
            </w:pPr>
            <w:r>
              <w:rPr>
                <w:rFonts w:eastAsia="Calibri" w:cs="Times New Roman"/>
                <w:szCs w:val="24"/>
              </w:rPr>
              <w:t>Кількість</w:t>
            </w:r>
            <w:r>
              <w:t xml:space="preserve"> </w:t>
            </w:r>
            <w:r w:rsidRPr="009B1209">
              <w:rPr>
                <w:rFonts w:eastAsia="Calibri" w:cs="Times New Roman"/>
                <w:szCs w:val="24"/>
              </w:rPr>
              <w:t>пунктів роздільного збирання відходів</w:t>
            </w:r>
          </w:p>
        </w:tc>
        <w:tc>
          <w:tcPr>
            <w:tcW w:w="2353" w:type="dxa"/>
          </w:tcPr>
          <w:p w14:paraId="6A84E919" w14:textId="77777777" w:rsidR="00991C8A" w:rsidRPr="00FD3868" w:rsidRDefault="00991C8A" w:rsidP="00D81F1B">
            <w:pPr>
              <w:spacing w:before="0" w:line="259" w:lineRule="auto"/>
              <w:rPr>
                <w:rFonts w:eastAsia="Calibri" w:cs="Times New Roman"/>
                <w:szCs w:val="24"/>
              </w:rPr>
            </w:pPr>
            <w:r w:rsidRPr="009B1209">
              <w:rPr>
                <w:rFonts w:eastAsia="Calibri" w:cs="Times New Roman"/>
                <w:szCs w:val="24"/>
              </w:rPr>
              <w:t>Одиниць</w:t>
            </w:r>
          </w:p>
        </w:tc>
      </w:tr>
      <w:tr w:rsidR="00991C8A" w:rsidRPr="00C22C49" w14:paraId="57F8D19A" w14:textId="77777777" w:rsidTr="00681D30">
        <w:trPr>
          <w:gridAfter w:val="1"/>
          <w:wAfter w:w="9" w:type="dxa"/>
          <w:trHeight w:val="170"/>
        </w:trPr>
        <w:tc>
          <w:tcPr>
            <w:tcW w:w="1009" w:type="dxa"/>
          </w:tcPr>
          <w:p w14:paraId="03B0CFA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11BB2BB" w14:textId="77777777" w:rsidR="00991C8A" w:rsidRDefault="00991C8A" w:rsidP="00D81F1B">
            <w:pPr>
              <w:spacing w:before="0" w:line="259" w:lineRule="auto"/>
              <w:rPr>
                <w:rFonts w:eastAsia="Calibri" w:cs="Times New Roman"/>
                <w:szCs w:val="24"/>
              </w:rPr>
            </w:pPr>
            <w:r w:rsidRPr="009B1209">
              <w:rPr>
                <w:rFonts w:eastAsia="Calibri" w:cs="Times New Roman"/>
                <w:szCs w:val="24"/>
              </w:rPr>
              <w:t xml:space="preserve">Кількість </w:t>
            </w:r>
            <w:r>
              <w:rPr>
                <w:rFonts w:eastAsia="Calibri" w:cs="Times New Roman"/>
                <w:szCs w:val="24"/>
              </w:rPr>
              <w:t xml:space="preserve">мобільних </w:t>
            </w:r>
            <w:r w:rsidRPr="009B1209">
              <w:rPr>
                <w:rFonts w:eastAsia="Calibri" w:cs="Times New Roman"/>
                <w:szCs w:val="24"/>
              </w:rPr>
              <w:t>пунктів роздільного збирання відходів</w:t>
            </w:r>
          </w:p>
        </w:tc>
        <w:tc>
          <w:tcPr>
            <w:tcW w:w="2353" w:type="dxa"/>
          </w:tcPr>
          <w:p w14:paraId="0EA48116" w14:textId="77777777" w:rsidR="00991C8A" w:rsidRPr="009B1209" w:rsidRDefault="00991C8A" w:rsidP="00D81F1B">
            <w:pPr>
              <w:spacing w:before="0" w:line="259" w:lineRule="auto"/>
              <w:rPr>
                <w:rFonts w:eastAsia="Calibri" w:cs="Times New Roman"/>
                <w:szCs w:val="24"/>
              </w:rPr>
            </w:pPr>
            <w:r w:rsidRPr="009B1209">
              <w:rPr>
                <w:rFonts w:eastAsia="Calibri" w:cs="Times New Roman"/>
                <w:szCs w:val="24"/>
              </w:rPr>
              <w:t>Одиниць</w:t>
            </w:r>
          </w:p>
        </w:tc>
      </w:tr>
      <w:tr w:rsidR="00991C8A" w:rsidRPr="00C22C49" w14:paraId="5D1A982A" w14:textId="77777777" w:rsidTr="00681D30">
        <w:trPr>
          <w:gridAfter w:val="1"/>
          <w:wAfter w:w="9" w:type="dxa"/>
          <w:trHeight w:val="170"/>
        </w:trPr>
        <w:tc>
          <w:tcPr>
            <w:tcW w:w="1009" w:type="dxa"/>
          </w:tcPr>
          <w:p w14:paraId="7F8DEC0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2A444F3" w14:textId="77777777" w:rsidR="00991C8A" w:rsidRPr="009B1209" w:rsidRDefault="00991C8A" w:rsidP="00D81F1B">
            <w:pPr>
              <w:spacing w:before="0" w:line="259" w:lineRule="auto"/>
              <w:rPr>
                <w:rFonts w:eastAsia="Calibri" w:cs="Times New Roman"/>
                <w:szCs w:val="24"/>
              </w:rPr>
            </w:pPr>
            <w:r>
              <w:rPr>
                <w:rFonts w:eastAsia="Calibri" w:cs="Times New Roman"/>
                <w:szCs w:val="24"/>
              </w:rPr>
              <w:t>Кількість об’єктів для компостування</w:t>
            </w:r>
          </w:p>
        </w:tc>
        <w:tc>
          <w:tcPr>
            <w:tcW w:w="2353" w:type="dxa"/>
          </w:tcPr>
          <w:p w14:paraId="72F5DC8A" w14:textId="77777777" w:rsidR="00991C8A" w:rsidRPr="009B1209" w:rsidRDefault="00991C8A" w:rsidP="00D81F1B">
            <w:pPr>
              <w:spacing w:before="0" w:line="259" w:lineRule="auto"/>
              <w:rPr>
                <w:rFonts w:eastAsia="Calibri" w:cs="Times New Roman"/>
                <w:szCs w:val="24"/>
              </w:rPr>
            </w:pPr>
            <w:r w:rsidRPr="00BB5AFC">
              <w:rPr>
                <w:rFonts w:eastAsia="Calibri" w:cs="Times New Roman"/>
                <w:szCs w:val="24"/>
              </w:rPr>
              <w:t>Одиниць</w:t>
            </w:r>
          </w:p>
        </w:tc>
      </w:tr>
      <w:tr w:rsidR="00991C8A" w:rsidRPr="00C22C49" w14:paraId="147D01BD" w14:textId="77777777" w:rsidTr="00681D30">
        <w:trPr>
          <w:gridAfter w:val="1"/>
          <w:wAfter w:w="9" w:type="dxa"/>
          <w:trHeight w:val="170"/>
        </w:trPr>
        <w:tc>
          <w:tcPr>
            <w:tcW w:w="1009" w:type="dxa"/>
          </w:tcPr>
          <w:p w14:paraId="604C61B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D4E91BC" w14:textId="77777777" w:rsidR="00991C8A" w:rsidRDefault="00991C8A" w:rsidP="00D81F1B">
            <w:pPr>
              <w:spacing w:before="0" w:line="259" w:lineRule="auto"/>
              <w:rPr>
                <w:rFonts w:eastAsia="Calibri" w:cs="Times New Roman"/>
                <w:szCs w:val="24"/>
              </w:rPr>
            </w:pPr>
            <w:r>
              <w:rPr>
                <w:rFonts w:eastAsia="Calibri" w:cs="Times New Roman"/>
                <w:szCs w:val="24"/>
              </w:rPr>
              <w:t xml:space="preserve">Потужність </w:t>
            </w:r>
            <w:r w:rsidRPr="00BB5AFC">
              <w:rPr>
                <w:rFonts w:eastAsia="Calibri" w:cs="Times New Roman"/>
                <w:szCs w:val="24"/>
              </w:rPr>
              <w:t>об’єктів для компостування</w:t>
            </w:r>
          </w:p>
        </w:tc>
        <w:tc>
          <w:tcPr>
            <w:tcW w:w="2353" w:type="dxa"/>
          </w:tcPr>
          <w:p w14:paraId="7A39BFB8" w14:textId="77777777" w:rsidR="00991C8A" w:rsidRPr="00BB5AFC" w:rsidRDefault="00991C8A" w:rsidP="00D81F1B">
            <w:pPr>
              <w:spacing w:before="0" w:line="259" w:lineRule="auto"/>
              <w:rPr>
                <w:rFonts w:eastAsia="Calibri" w:cs="Times New Roman"/>
                <w:szCs w:val="24"/>
              </w:rPr>
            </w:pPr>
            <w:r>
              <w:rPr>
                <w:rFonts w:eastAsia="Calibri" w:cs="Times New Roman"/>
                <w:szCs w:val="24"/>
              </w:rPr>
              <w:t>тис. т/рік</w:t>
            </w:r>
          </w:p>
        </w:tc>
      </w:tr>
      <w:tr w:rsidR="00991C8A" w:rsidRPr="00C22C49" w14:paraId="16279043" w14:textId="77777777" w:rsidTr="00681D30">
        <w:trPr>
          <w:gridAfter w:val="1"/>
          <w:wAfter w:w="9" w:type="dxa"/>
          <w:trHeight w:val="170"/>
        </w:trPr>
        <w:tc>
          <w:tcPr>
            <w:tcW w:w="1009" w:type="dxa"/>
          </w:tcPr>
          <w:p w14:paraId="1AB867E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2F77FF1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МБО</w:t>
            </w:r>
          </w:p>
        </w:tc>
        <w:tc>
          <w:tcPr>
            <w:tcW w:w="2353" w:type="dxa"/>
          </w:tcPr>
          <w:p w14:paraId="2982B35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6213575B" w14:textId="77777777" w:rsidTr="00681D30">
        <w:trPr>
          <w:gridAfter w:val="1"/>
          <w:wAfter w:w="9" w:type="dxa"/>
          <w:trHeight w:val="170"/>
        </w:trPr>
        <w:tc>
          <w:tcPr>
            <w:tcW w:w="1009" w:type="dxa"/>
          </w:tcPr>
          <w:p w14:paraId="06D62AE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1382A6B"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П</w:t>
            </w:r>
            <w:r w:rsidRPr="00C22C49">
              <w:rPr>
                <w:rFonts w:eastAsia="Calibri" w:cs="Times New Roman"/>
                <w:szCs w:val="24"/>
              </w:rPr>
              <w:t>отужність МБО (біологічне оброблення)</w:t>
            </w:r>
          </w:p>
        </w:tc>
        <w:tc>
          <w:tcPr>
            <w:tcW w:w="2353" w:type="dxa"/>
          </w:tcPr>
          <w:p w14:paraId="42C0308D"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r>
              <w:rPr>
                <w:rFonts w:eastAsia="Calibri" w:cs="Times New Roman"/>
                <w:szCs w:val="24"/>
              </w:rPr>
              <w:t>/рік</w:t>
            </w:r>
          </w:p>
        </w:tc>
      </w:tr>
      <w:tr w:rsidR="00991C8A" w:rsidRPr="00C22C49" w14:paraId="1D04E4B8" w14:textId="77777777" w:rsidTr="00681D30">
        <w:trPr>
          <w:gridAfter w:val="1"/>
          <w:wAfter w:w="9" w:type="dxa"/>
          <w:trHeight w:val="170"/>
        </w:trPr>
        <w:tc>
          <w:tcPr>
            <w:tcW w:w="1009" w:type="dxa"/>
          </w:tcPr>
          <w:p w14:paraId="1B0B188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3B7A332"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П</w:t>
            </w:r>
            <w:r w:rsidRPr="00C22C49">
              <w:rPr>
                <w:rFonts w:eastAsia="Calibri" w:cs="Times New Roman"/>
                <w:szCs w:val="24"/>
              </w:rPr>
              <w:t>отужність МБО (механічне</w:t>
            </w:r>
            <w:r w:rsidRPr="00C22C49">
              <w:rPr>
                <w:rFonts w:ascii="Calibri" w:eastAsia="Calibri" w:hAnsi="Calibri" w:cs="Times New Roman"/>
                <w:sz w:val="22"/>
                <w:szCs w:val="22"/>
              </w:rPr>
              <w:t xml:space="preserve"> </w:t>
            </w:r>
            <w:r w:rsidRPr="00C22C49">
              <w:rPr>
                <w:rFonts w:eastAsia="Calibri" w:cs="Times New Roman"/>
                <w:szCs w:val="24"/>
              </w:rPr>
              <w:t>оброблення)</w:t>
            </w:r>
          </w:p>
        </w:tc>
        <w:tc>
          <w:tcPr>
            <w:tcW w:w="2353" w:type="dxa"/>
          </w:tcPr>
          <w:p w14:paraId="06FC6D97"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r>
              <w:rPr>
                <w:rFonts w:eastAsia="Calibri" w:cs="Times New Roman"/>
                <w:szCs w:val="24"/>
              </w:rPr>
              <w:t>/рік</w:t>
            </w:r>
          </w:p>
        </w:tc>
      </w:tr>
      <w:tr w:rsidR="00991C8A" w:rsidRPr="00C22C49" w14:paraId="1FB684BC" w14:textId="77777777" w:rsidTr="00681D30">
        <w:trPr>
          <w:gridAfter w:val="1"/>
          <w:wAfter w:w="9" w:type="dxa"/>
          <w:trHeight w:val="170"/>
        </w:trPr>
        <w:tc>
          <w:tcPr>
            <w:tcW w:w="1009" w:type="dxa"/>
          </w:tcPr>
          <w:p w14:paraId="5FC7166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3B4142F"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установок для спалювання змішаних побутових відходів</w:t>
            </w:r>
          </w:p>
        </w:tc>
        <w:tc>
          <w:tcPr>
            <w:tcW w:w="2353" w:type="dxa"/>
          </w:tcPr>
          <w:p w14:paraId="5E773EF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38D65B80" w14:textId="77777777" w:rsidTr="00681D30">
        <w:trPr>
          <w:gridAfter w:val="1"/>
          <w:wAfter w:w="9" w:type="dxa"/>
          <w:trHeight w:val="170"/>
        </w:trPr>
        <w:tc>
          <w:tcPr>
            <w:tcW w:w="1009" w:type="dxa"/>
          </w:tcPr>
          <w:p w14:paraId="380EEA5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2F405DAD"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Потужність установок для спалювання змішаних побутових відходів</w:t>
            </w:r>
          </w:p>
        </w:tc>
        <w:tc>
          <w:tcPr>
            <w:tcW w:w="2353" w:type="dxa"/>
          </w:tcPr>
          <w:p w14:paraId="5356826C"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r w:rsidRPr="00BD33BB">
              <w:rPr>
                <w:rFonts w:eastAsia="Calibri" w:cs="Times New Roman"/>
                <w:szCs w:val="24"/>
              </w:rPr>
              <w:t>/рік</w:t>
            </w:r>
          </w:p>
        </w:tc>
      </w:tr>
      <w:tr w:rsidR="00991C8A" w:rsidRPr="00C22C49" w14:paraId="60EFF8A6" w14:textId="77777777" w:rsidTr="00681D30">
        <w:trPr>
          <w:gridAfter w:val="1"/>
          <w:wAfter w:w="9" w:type="dxa"/>
          <w:trHeight w:val="170"/>
        </w:trPr>
        <w:tc>
          <w:tcPr>
            <w:tcW w:w="1009" w:type="dxa"/>
          </w:tcPr>
          <w:p w14:paraId="1281176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D6C1625"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Кількість діючих полігонів для відходів, що не є небезпечними, які відповідають вимогам законодавства, де захоронюються побутові відходи </w:t>
            </w:r>
          </w:p>
        </w:tc>
        <w:tc>
          <w:tcPr>
            <w:tcW w:w="2353" w:type="dxa"/>
          </w:tcPr>
          <w:p w14:paraId="369A8513"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Одиниць</w:t>
            </w:r>
          </w:p>
        </w:tc>
      </w:tr>
      <w:tr w:rsidR="00991C8A" w:rsidRPr="00C22C49" w14:paraId="278F2C13" w14:textId="77777777" w:rsidTr="00681D30">
        <w:trPr>
          <w:gridAfter w:val="1"/>
          <w:wAfter w:w="9" w:type="dxa"/>
          <w:trHeight w:val="170"/>
        </w:trPr>
        <w:tc>
          <w:tcPr>
            <w:tcW w:w="1009" w:type="dxa"/>
          </w:tcPr>
          <w:p w14:paraId="7122F4D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5178B3C"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Кількість діючих полігонів для відходів, що не є небезпечними, які приведені до вимог законодавства, де захоронюються побутові відходи</w:t>
            </w:r>
          </w:p>
        </w:tc>
        <w:tc>
          <w:tcPr>
            <w:tcW w:w="2353" w:type="dxa"/>
          </w:tcPr>
          <w:p w14:paraId="53456060"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Одиниць</w:t>
            </w:r>
          </w:p>
        </w:tc>
      </w:tr>
      <w:tr w:rsidR="00991C8A" w:rsidRPr="00C22C49" w14:paraId="69E4D7BE" w14:textId="77777777" w:rsidTr="00681D30">
        <w:trPr>
          <w:gridAfter w:val="1"/>
          <w:wAfter w:w="9" w:type="dxa"/>
          <w:trHeight w:val="170"/>
        </w:trPr>
        <w:tc>
          <w:tcPr>
            <w:tcW w:w="1009" w:type="dxa"/>
          </w:tcPr>
          <w:p w14:paraId="3A9AAFA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5B50FF24"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Кількість полігонів для відходів, що не є небезпечними на етапі рекультивації, де захоронюються побутові відходи</w:t>
            </w:r>
          </w:p>
        </w:tc>
        <w:tc>
          <w:tcPr>
            <w:tcW w:w="2353" w:type="dxa"/>
          </w:tcPr>
          <w:p w14:paraId="4D58FCBE"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Одиниць</w:t>
            </w:r>
          </w:p>
        </w:tc>
      </w:tr>
      <w:tr w:rsidR="00991C8A" w:rsidRPr="00C22C49" w14:paraId="36494012" w14:textId="77777777" w:rsidTr="00681D30">
        <w:trPr>
          <w:gridAfter w:val="1"/>
          <w:wAfter w:w="9" w:type="dxa"/>
          <w:trHeight w:val="170"/>
        </w:trPr>
        <w:tc>
          <w:tcPr>
            <w:tcW w:w="1009" w:type="dxa"/>
          </w:tcPr>
          <w:p w14:paraId="0B35823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ED265C8"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Кількість діючих полігонів для відходів, що не є небезпечними та сміттєзвалищ які не відповідають вимогам законодавства, де захоронюються побутові відходи</w:t>
            </w:r>
          </w:p>
        </w:tc>
        <w:tc>
          <w:tcPr>
            <w:tcW w:w="2353" w:type="dxa"/>
          </w:tcPr>
          <w:p w14:paraId="08977AA8"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56611E9E" w14:textId="77777777" w:rsidTr="00681D30">
        <w:trPr>
          <w:gridAfter w:val="1"/>
          <w:wAfter w:w="9" w:type="dxa"/>
          <w:trHeight w:val="170"/>
        </w:trPr>
        <w:tc>
          <w:tcPr>
            <w:tcW w:w="1009" w:type="dxa"/>
          </w:tcPr>
          <w:p w14:paraId="332BBF7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05E0D28"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Залишкова потужність полігонів для відходів, що не є небезпечними, де захоронюються побутові відходи</w:t>
            </w:r>
          </w:p>
        </w:tc>
        <w:tc>
          <w:tcPr>
            <w:tcW w:w="2353" w:type="dxa"/>
          </w:tcPr>
          <w:p w14:paraId="232B7CD8" w14:textId="77777777" w:rsidR="00991C8A" w:rsidRPr="00C22C49" w:rsidRDefault="00991C8A" w:rsidP="00D81F1B">
            <w:pPr>
              <w:spacing w:before="0" w:line="259" w:lineRule="auto"/>
              <w:rPr>
                <w:rFonts w:eastAsia="Times New Roman" w:cs="Times New Roman"/>
                <w:szCs w:val="24"/>
              </w:rPr>
            </w:pPr>
            <w:r w:rsidRPr="00393BB2">
              <w:rPr>
                <w:rFonts w:eastAsia="Calibri" w:cs="Times New Roman"/>
                <w:szCs w:val="24"/>
              </w:rPr>
              <w:t>тис.т</w:t>
            </w:r>
          </w:p>
        </w:tc>
      </w:tr>
      <w:tr w:rsidR="00991C8A" w:rsidRPr="00C22C49" w14:paraId="5B91B196" w14:textId="77777777" w:rsidTr="00681D30">
        <w:trPr>
          <w:gridAfter w:val="1"/>
          <w:wAfter w:w="9" w:type="dxa"/>
          <w:trHeight w:val="170"/>
        </w:trPr>
        <w:tc>
          <w:tcPr>
            <w:tcW w:w="1009" w:type="dxa"/>
          </w:tcPr>
          <w:p w14:paraId="66E07D6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D3872E6" w14:textId="77777777" w:rsidR="00991C8A" w:rsidRPr="00C22C49" w:rsidRDefault="00991C8A" w:rsidP="00D81F1B">
            <w:pPr>
              <w:spacing w:before="0" w:line="259" w:lineRule="auto"/>
              <w:rPr>
                <w:rFonts w:eastAsia="Calibri" w:cs="Times New Roman"/>
                <w:szCs w:val="24"/>
              </w:rPr>
            </w:pPr>
            <w:r>
              <w:rPr>
                <w:rFonts w:eastAsia="Calibri" w:cs="Times New Roman"/>
                <w:szCs w:val="24"/>
              </w:rPr>
              <w:t xml:space="preserve">Кількість </w:t>
            </w:r>
            <w:r w:rsidRPr="009F6189">
              <w:rPr>
                <w:rFonts w:eastAsia="Calibri" w:cs="Times New Roman"/>
                <w:szCs w:val="24"/>
              </w:rPr>
              <w:t>полігон</w:t>
            </w:r>
            <w:r>
              <w:rPr>
                <w:rFonts w:eastAsia="Calibri" w:cs="Times New Roman"/>
                <w:szCs w:val="24"/>
              </w:rPr>
              <w:t>ів</w:t>
            </w:r>
            <w:r w:rsidRPr="009F6189">
              <w:rPr>
                <w:rFonts w:eastAsia="Calibri" w:cs="Times New Roman"/>
                <w:szCs w:val="24"/>
              </w:rPr>
              <w:t xml:space="preserve"> для інертних відходів</w:t>
            </w:r>
          </w:p>
        </w:tc>
        <w:tc>
          <w:tcPr>
            <w:tcW w:w="2353" w:type="dxa"/>
          </w:tcPr>
          <w:p w14:paraId="099CB328" w14:textId="77777777" w:rsidR="00991C8A" w:rsidRPr="00393BB2" w:rsidRDefault="00991C8A" w:rsidP="00D81F1B">
            <w:pPr>
              <w:spacing w:before="0" w:line="259" w:lineRule="auto"/>
              <w:rPr>
                <w:rFonts w:eastAsia="Calibri" w:cs="Times New Roman"/>
                <w:szCs w:val="24"/>
              </w:rPr>
            </w:pPr>
            <w:r>
              <w:rPr>
                <w:rFonts w:eastAsia="Calibri" w:cs="Times New Roman"/>
                <w:szCs w:val="24"/>
              </w:rPr>
              <w:t>одиниць</w:t>
            </w:r>
          </w:p>
        </w:tc>
      </w:tr>
      <w:tr w:rsidR="00991C8A" w:rsidRPr="00C22C49" w14:paraId="44CE9D8B" w14:textId="77777777" w:rsidTr="00681D30">
        <w:trPr>
          <w:gridAfter w:val="1"/>
          <w:wAfter w:w="9" w:type="dxa"/>
          <w:trHeight w:val="170"/>
        </w:trPr>
        <w:tc>
          <w:tcPr>
            <w:tcW w:w="1009" w:type="dxa"/>
          </w:tcPr>
          <w:p w14:paraId="7F56C03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E185645" w14:textId="77777777" w:rsidR="00991C8A" w:rsidRPr="00C22C49" w:rsidRDefault="00991C8A" w:rsidP="00D81F1B">
            <w:pPr>
              <w:spacing w:before="0" w:line="259" w:lineRule="auto"/>
              <w:rPr>
                <w:rFonts w:eastAsia="Calibri" w:cs="Times New Roman"/>
                <w:szCs w:val="24"/>
              </w:rPr>
            </w:pPr>
            <w:r>
              <w:rPr>
                <w:rFonts w:eastAsia="Calibri" w:cs="Times New Roman"/>
                <w:szCs w:val="24"/>
              </w:rPr>
              <w:t xml:space="preserve">Потужність </w:t>
            </w:r>
            <w:r w:rsidRPr="009F6189">
              <w:rPr>
                <w:rFonts w:eastAsia="Calibri" w:cs="Times New Roman"/>
                <w:szCs w:val="24"/>
              </w:rPr>
              <w:t>полігонів для інертних відходів</w:t>
            </w:r>
          </w:p>
        </w:tc>
        <w:tc>
          <w:tcPr>
            <w:tcW w:w="2353" w:type="dxa"/>
          </w:tcPr>
          <w:p w14:paraId="46B264B7" w14:textId="77777777" w:rsidR="00991C8A" w:rsidRPr="00393BB2" w:rsidRDefault="00991C8A" w:rsidP="00D81F1B">
            <w:pPr>
              <w:spacing w:before="0" w:line="259" w:lineRule="auto"/>
              <w:rPr>
                <w:rFonts w:eastAsia="Calibri" w:cs="Times New Roman"/>
                <w:szCs w:val="24"/>
              </w:rPr>
            </w:pPr>
            <w:r>
              <w:rPr>
                <w:rFonts w:eastAsia="Calibri" w:cs="Times New Roman"/>
                <w:szCs w:val="24"/>
              </w:rPr>
              <w:t>Тис./т</w:t>
            </w:r>
          </w:p>
        </w:tc>
      </w:tr>
      <w:tr w:rsidR="00991C8A" w:rsidRPr="00C22C49" w14:paraId="2D5B7683" w14:textId="77777777" w:rsidTr="00681D30">
        <w:trPr>
          <w:gridAfter w:val="1"/>
          <w:wAfter w:w="9" w:type="dxa"/>
          <w:trHeight w:val="170"/>
        </w:trPr>
        <w:tc>
          <w:tcPr>
            <w:tcW w:w="1009" w:type="dxa"/>
            <w:shd w:val="clear" w:color="auto" w:fill="D9E2F3"/>
          </w:tcPr>
          <w:p w14:paraId="457EA7E6" w14:textId="77777777" w:rsidR="00991C8A" w:rsidRPr="00C22C49" w:rsidRDefault="00991C8A" w:rsidP="00D81F1B">
            <w:pPr>
              <w:spacing w:before="0" w:line="259" w:lineRule="auto"/>
              <w:ind w:left="720"/>
              <w:contextualSpacing/>
              <w:rPr>
                <w:rFonts w:eastAsia="Times New Roman" w:cs="Times New Roman"/>
                <w:b/>
                <w:bCs/>
                <w:szCs w:val="24"/>
              </w:rPr>
            </w:pPr>
          </w:p>
        </w:tc>
        <w:tc>
          <w:tcPr>
            <w:tcW w:w="6421" w:type="dxa"/>
            <w:shd w:val="clear" w:color="auto" w:fill="D9E2F3"/>
          </w:tcPr>
          <w:p w14:paraId="26FC0A8F" w14:textId="77777777" w:rsidR="00991C8A" w:rsidRPr="00C22C49" w:rsidRDefault="00991C8A" w:rsidP="00D81F1B">
            <w:pPr>
              <w:spacing w:before="0" w:line="259" w:lineRule="auto"/>
              <w:jc w:val="center"/>
              <w:rPr>
                <w:rFonts w:eastAsia="Times New Roman" w:cs="Times New Roman"/>
                <w:b/>
                <w:bCs/>
                <w:szCs w:val="24"/>
              </w:rPr>
            </w:pPr>
            <w:r w:rsidRPr="00C22C49">
              <w:rPr>
                <w:rFonts w:eastAsia="Calibri" w:cs="Times New Roman"/>
                <w:b/>
                <w:bCs/>
                <w:szCs w:val="24"/>
              </w:rPr>
              <w:t>Небезпечні відходи</w:t>
            </w:r>
          </w:p>
        </w:tc>
        <w:tc>
          <w:tcPr>
            <w:tcW w:w="2353" w:type="dxa"/>
            <w:shd w:val="clear" w:color="auto" w:fill="D9E2F3"/>
          </w:tcPr>
          <w:p w14:paraId="2E2DC7EC" w14:textId="77777777" w:rsidR="00991C8A" w:rsidRPr="00C22C49" w:rsidRDefault="00991C8A" w:rsidP="00D81F1B">
            <w:pPr>
              <w:spacing w:before="0" w:line="259" w:lineRule="auto"/>
              <w:rPr>
                <w:rFonts w:eastAsia="Times New Roman" w:cs="Times New Roman"/>
                <w:b/>
                <w:bCs/>
                <w:szCs w:val="24"/>
              </w:rPr>
            </w:pPr>
          </w:p>
        </w:tc>
      </w:tr>
      <w:tr w:rsidR="00991C8A" w:rsidRPr="00C22C49" w14:paraId="324B9B61" w14:textId="77777777" w:rsidTr="00681D30">
        <w:trPr>
          <w:gridAfter w:val="1"/>
          <w:wAfter w:w="9" w:type="dxa"/>
          <w:trHeight w:val="170"/>
        </w:trPr>
        <w:tc>
          <w:tcPr>
            <w:tcW w:w="1009" w:type="dxa"/>
          </w:tcPr>
          <w:p w14:paraId="28DE47E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27900E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утворених небезпечних відходів</w:t>
            </w:r>
          </w:p>
        </w:tc>
        <w:tc>
          <w:tcPr>
            <w:tcW w:w="2353" w:type="dxa"/>
          </w:tcPr>
          <w:p w14:paraId="27242FD4"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p>
        </w:tc>
      </w:tr>
      <w:tr w:rsidR="00991C8A" w:rsidRPr="00C22C49" w14:paraId="11133CCC" w14:textId="77777777" w:rsidTr="00681D30">
        <w:trPr>
          <w:gridAfter w:val="1"/>
          <w:wAfter w:w="9" w:type="dxa"/>
          <w:trHeight w:val="170"/>
        </w:trPr>
        <w:tc>
          <w:tcPr>
            <w:tcW w:w="1009" w:type="dxa"/>
          </w:tcPr>
          <w:p w14:paraId="1994970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472C99F" w14:textId="6D858421"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 xml:space="preserve">Відсоток </w:t>
            </w:r>
            <w:r w:rsidR="008138A7" w:rsidRPr="008138A7">
              <w:rPr>
                <w:rFonts w:eastAsia="Times New Roman" w:cs="Times New Roman"/>
                <w:szCs w:val="24"/>
              </w:rPr>
              <w:t xml:space="preserve">обсягів </w:t>
            </w:r>
            <w:r w:rsidRPr="00C22C49">
              <w:rPr>
                <w:rFonts w:eastAsia="Times New Roman" w:cs="Times New Roman"/>
                <w:szCs w:val="24"/>
              </w:rPr>
              <w:t xml:space="preserve"> утворених </w:t>
            </w:r>
            <w:r w:rsidRPr="00C22C49">
              <w:rPr>
                <w:rFonts w:eastAsia="Calibri" w:cs="Times New Roman"/>
                <w:szCs w:val="24"/>
              </w:rPr>
              <w:t>небезпечних</w:t>
            </w:r>
            <w:r w:rsidRPr="00C22C49">
              <w:rPr>
                <w:rFonts w:eastAsia="Times New Roman" w:cs="Times New Roman"/>
                <w:szCs w:val="24"/>
              </w:rPr>
              <w:t xml:space="preserve"> відходів, щодо яких здійснено операції з відновлення</w:t>
            </w:r>
          </w:p>
        </w:tc>
        <w:tc>
          <w:tcPr>
            <w:tcW w:w="2353" w:type="dxa"/>
          </w:tcPr>
          <w:p w14:paraId="72ADD00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3E486C02" w14:textId="77777777" w:rsidTr="00681D30">
        <w:trPr>
          <w:gridAfter w:val="1"/>
          <w:wAfter w:w="9" w:type="dxa"/>
          <w:trHeight w:val="170"/>
        </w:trPr>
        <w:tc>
          <w:tcPr>
            <w:tcW w:w="1009" w:type="dxa"/>
          </w:tcPr>
          <w:p w14:paraId="2A1008E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432082A" w14:textId="362AD6AE"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8138A7" w:rsidRPr="008138A7">
              <w:rPr>
                <w:rFonts w:eastAsia="Calibri" w:cs="Times New Roman"/>
                <w:szCs w:val="24"/>
              </w:rPr>
              <w:t xml:space="preserve">обсягів </w:t>
            </w:r>
            <w:r w:rsidRPr="00C22C49">
              <w:rPr>
                <w:rFonts w:eastAsia="Calibri" w:cs="Times New Roman"/>
                <w:szCs w:val="24"/>
              </w:rPr>
              <w:t xml:space="preserve"> утворених небезпечних відходів, щодо яких здійснено операції з відновлення (спалювання)</w:t>
            </w:r>
          </w:p>
        </w:tc>
        <w:tc>
          <w:tcPr>
            <w:tcW w:w="2353" w:type="dxa"/>
          </w:tcPr>
          <w:p w14:paraId="4E701E5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109A4D60" w14:textId="77777777" w:rsidTr="00681D30">
        <w:trPr>
          <w:gridAfter w:val="1"/>
          <w:wAfter w:w="9" w:type="dxa"/>
          <w:trHeight w:val="170"/>
        </w:trPr>
        <w:tc>
          <w:tcPr>
            <w:tcW w:w="1009" w:type="dxa"/>
          </w:tcPr>
          <w:p w14:paraId="7B646D5A"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56C413B9" w14:textId="247AB23F" w:rsidR="00991C8A" w:rsidRPr="00C22C49" w:rsidRDefault="008138A7" w:rsidP="00D81F1B">
            <w:pPr>
              <w:spacing w:before="0" w:line="259" w:lineRule="auto"/>
              <w:rPr>
                <w:rFonts w:eastAsia="Times New Roman" w:cs="Times New Roman"/>
                <w:szCs w:val="24"/>
              </w:rPr>
            </w:pPr>
            <w:r>
              <w:rPr>
                <w:rFonts w:eastAsia="Calibri" w:cs="Times New Roman"/>
                <w:szCs w:val="24"/>
              </w:rPr>
              <w:t>О</w:t>
            </w:r>
            <w:r w:rsidRPr="008138A7">
              <w:rPr>
                <w:rFonts w:eastAsia="Calibri" w:cs="Times New Roman"/>
                <w:szCs w:val="24"/>
              </w:rPr>
              <w:t xml:space="preserve">бсяг </w:t>
            </w:r>
            <w:r w:rsidR="00991C8A" w:rsidRPr="00C22C49">
              <w:rPr>
                <w:rFonts w:eastAsia="Calibri" w:cs="Times New Roman"/>
                <w:szCs w:val="24"/>
              </w:rPr>
              <w:t xml:space="preserve"> роздільно зібраних небезпечних відходів з складу  побутових відходів</w:t>
            </w:r>
          </w:p>
        </w:tc>
        <w:tc>
          <w:tcPr>
            <w:tcW w:w="2353" w:type="dxa"/>
          </w:tcPr>
          <w:p w14:paraId="3B358E21"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p>
        </w:tc>
      </w:tr>
      <w:tr w:rsidR="00991C8A" w:rsidRPr="00C22C49" w14:paraId="3EB4CD0A" w14:textId="77777777" w:rsidTr="00681D30">
        <w:trPr>
          <w:gridAfter w:val="1"/>
          <w:wAfter w:w="9" w:type="dxa"/>
          <w:trHeight w:val="170"/>
        </w:trPr>
        <w:tc>
          <w:tcPr>
            <w:tcW w:w="1009" w:type="dxa"/>
          </w:tcPr>
          <w:p w14:paraId="0A9716F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159F42D" w14:textId="1214D6FB"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CE67D7" w:rsidRPr="00CE67D7">
              <w:rPr>
                <w:rFonts w:eastAsia="Calibri" w:cs="Times New Roman"/>
                <w:szCs w:val="24"/>
              </w:rPr>
              <w:t xml:space="preserve">обсягів </w:t>
            </w:r>
            <w:r w:rsidRPr="00C22C49">
              <w:rPr>
                <w:rFonts w:eastAsia="Calibri" w:cs="Times New Roman"/>
                <w:szCs w:val="24"/>
              </w:rPr>
              <w:t xml:space="preserve"> роздільно зібраних небезпечних відходів з складу побутових відходів, що підлягають рециклінгу</w:t>
            </w:r>
          </w:p>
        </w:tc>
        <w:tc>
          <w:tcPr>
            <w:tcW w:w="2353" w:type="dxa"/>
          </w:tcPr>
          <w:p w14:paraId="52F93D6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55501BF2" w14:textId="77777777" w:rsidTr="00681D30">
        <w:trPr>
          <w:gridAfter w:val="1"/>
          <w:wAfter w:w="9" w:type="dxa"/>
          <w:trHeight w:val="170"/>
        </w:trPr>
        <w:tc>
          <w:tcPr>
            <w:tcW w:w="1009" w:type="dxa"/>
          </w:tcPr>
          <w:p w14:paraId="392ADCD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C65EBC8" w14:textId="77777777" w:rsidR="00991C8A" w:rsidRPr="00C22C49" w:rsidRDefault="00991C8A" w:rsidP="00D81F1B">
            <w:pPr>
              <w:spacing w:before="0" w:line="259" w:lineRule="auto"/>
              <w:rPr>
                <w:rFonts w:eastAsia="Calibri" w:cs="Times New Roman"/>
                <w:szCs w:val="24"/>
              </w:rPr>
            </w:pPr>
            <w:r>
              <w:rPr>
                <w:rFonts w:eastAsia="Calibri" w:cs="Times New Roman"/>
                <w:szCs w:val="24"/>
              </w:rPr>
              <w:t>Кількість об’єктів для оброблення небезпечних відходів</w:t>
            </w:r>
          </w:p>
        </w:tc>
        <w:tc>
          <w:tcPr>
            <w:tcW w:w="2353" w:type="dxa"/>
          </w:tcPr>
          <w:p w14:paraId="2D1337CA" w14:textId="77777777" w:rsidR="00991C8A" w:rsidRPr="00C22C49" w:rsidRDefault="00991C8A" w:rsidP="00D81F1B">
            <w:pPr>
              <w:spacing w:before="0" w:line="259" w:lineRule="auto"/>
              <w:rPr>
                <w:rFonts w:eastAsia="Calibri" w:cs="Times New Roman"/>
                <w:szCs w:val="24"/>
              </w:rPr>
            </w:pPr>
            <w:r>
              <w:rPr>
                <w:rFonts w:eastAsia="Calibri" w:cs="Times New Roman"/>
                <w:szCs w:val="24"/>
              </w:rPr>
              <w:t>одиниць</w:t>
            </w:r>
          </w:p>
        </w:tc>
      </w:tr>
      <w:tr w:rsidR="00991C8A" w:rsidRPr="00C22C49" w14:paraId="5559FFB8" w14:textId="77777777" w:rsidTr="00681D30">
        <w:trPr>
          <w:gridAfter w:val="1"/>
          <w:wAfter w:w="9" w:type="dxa"/>
          <w:trHeight w:val="170"/>
        </w:trPr>
        <w:tc>
          <w:tcPr>
            <w:tcW w:w="1009" w:type="dxa"/>
          </w:tcPr>
          <w:p w14:paraId="7D4CEB6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AEFBC1E" w14:textId="77777777" w:rsidR="00991C8A" w:rsidRDefault="00991C8A" w:rsidP="00D81F1B">
            <w:pPr>
              <w:spacing w:before="0" w:line="259" w:lineRule="auto"/>
              <w:rPr>
                <w:rFonts w:eastAsia="Calibri" w:cs="Times New Roman"/>
                <w:szCs w:val="24"/>
              </w:rPr>
            </w:pPr>
            <w:r>
              <w:rPr>
                <w:rFonts w:eastAsia="Calibri" w:cs="Times New Roman"/>
                <w:szCs w:val="24"/>
              </w:rPr>
              <w:t xml:space="preserve">Потужність </w:t>
            </w:r>
            <w:r w:rsidRPr="006F3DE8">
              <w:rPr>
                <w:rFonts w:eastAsia="Calibri" w:cs="Times New Roman"/>
                <w:szCs w:val="24"/>
              </w:rPr>
              <w:t>об’єктів для оброблення небезпечних відходів</w:t>
            </w:r>
          </w:p>
        </w:tc>
        <w:tc>
          <w:tcPr>
            <w:tcW w:w="2353" w:type="dxa"/>
          </w:tcPr>
          <w:p w14:paraId="2A107B61" w14:textId="77777777" w:rsidR="00991C8A" w:rsidRPr="00C22C49" w:rsidRDefault="00991C8A" w:rsidP="00D81F1B">
            <w:pPr>
              <w:spacing w:before="0" w:line="259" w:lineRule="auto"/>
              <w:rPr>
                <w:rFonts w:eastAsia="Calibri" w:cs="Times New Roman"/>
                <w:szCs w:val="24"/>
              </w:rPr>
            </w:pPr>
            <w:r>
              <w:rPr>
                <w:rFonts w:eastAsia="Calibri" w:cs="Times New Roman"/>
                <w:szCs w:val="24"/>
              </w:rPr>
              <w:t>тис.т</w:t>
            </w:r>
          </w:p>
        </w:tc>
      </w:tr>
      <w:tr w:rsidR="00991C8A" w:rsidRPr="00C22C49" w14:paraId="60B4FF9F" w14:textId="77777777" w:rsidTr="00681D30">
        <w:trPr>
          <w:gridAfter w:val="1"/>
          <w:wAfter w:w="9" w:type="dxa"/>
          <w:trHeight w:val="170"/>
        </w:trPr>
        <w:tc>
          <w:tcPr>
            <w:tcW w:w="1009" w:type="dxa"/>
          </w:tcPr>
          <w:p w14:paraId="78B41A9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06E2B5E" w14:textId="77777777" w:rsidR="00991C8A" w:rsidRPr="00C22C49" w:rsidRDefault="00991C8A" w:rsidP="00D81F1B">
            <w:pPr>
              <w:spacing w:before="0" w:line="259" w:lineRule="auto"/>
              <w:rPr>
                <w:rFonts w:eastAsia="Calibri" w:cs="Times New Roman"/>
                <w:szCs w:val="24"/>
              </w:rPr>
            </w:pPr>
            <w:r>
              <w:rPr>
                <w:rFonts w:eastAsia="Calibri" w:cs="Times New Roman"/>
                <w:szCs w:val="24"/>
              </w:rPr>
              <w:t xml:space="preserve">Кількість </w:t>
            </w:r>
            <w:r>
              <w:t xml:space="preserve"> </w:t>
            </w:r>
            <w:r w:rsidRPr="00CE1175">
              <w:rPr>
                <w:rFonts w:eastAsia="Calibri" w:cs="Times New Roman"/>
                <w:szCs w:val="24"/>
              </w:rPr>
              <w:t>полігон</w:t>
            </w:r>
            <w:r>
              <w:rPr>
                <w:rFonts w:eastAsia="Calibri" w:cs="Times New Roman"/>
                <w:szCs w:val="24"/>
              </w:rPr>
              <w:t>ів</w:t>
            </w:r>
            <w:r w:rsidRPr="00CE1175">
              <w:rPr>
                <w:rFonts w:eastAsia="Calibri" w:cs="Times New Roman"/>
                <w:szCs w:val="24"/>
              </w:rPr>
              <w:t xml:space="preserve"> для небезпечних відходів</w:t>
            </w:r>
          </w:p>
        </w:tc>
        <w:tc>
          <w:tcPr>
            <w:tcW w:w="2353" w:type="dxa"/>
          </w:tcPr>
          <w:p w14:paraId="0D827451" w14:textId="77777777" w:rsidR="00991C8A" w:rsidRPr="00C22C49" w:rsidRDefault="00991C8A" w:rsidP="00D81F1B">
            <w:pPr>
              <w:spacing w:before="0" w:line="259" w:lineRule="auto"/>
              <w:rPr>
                <w:rFonts w:eastAsia="Calibri" w:cs="Times New Roman"/>
                <w:szCs w:val="24"/>
              </w:rPr>
            </w:pPr>
            <w:r>
              <w:rPr>
                <w:rFonts w:eastAsia="Calibri" w:cs="Times New Roman"/>
                <w:szCs w:val="24"/>
              </w:rPr>
              <w:t>одиниць</w:t>
            </w:r>
          </w:p>
        </w:tc>
      </w:tr>
      <w:tr w:rsidR="00991C8A" w:rsidRPr="00C22C49" w14:paraId="7EFD1688" w14:textId="77777777" w:rsidTr="00681D30">
        <w:trPr>
          <w:gridAfter w:val="1"/>
          <w:wAfter w:w="9" w:type="dxa"/>
          <w:trHeight w:val="170"/>
        </w:trPr>
        <w:tc>
          <w:tcPr>
            <w:tcW w:w="1009" w:type="dxa"/>
          </w:tcPr>
          <w:p w14:paraId="1ABF597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9D7265B" w14:textId="77777777" w:rsidR="00991C8A" w:rsidRDefault="00991C8A" w:rsidP="00D81F1B">
            <w:pPr>
              <w:spacing w:before="0" w:line="259" w:lineRule="auto"/>
              <w:rPr>
                <w:rFonts w:eastAsia="Calibri" w:cs="Times New Roman"/>
                <w:szCs w:val="24"/>
              </w:rPr>
            </w:pPr>
            <w:r>
              <w:rPr>
                <w:rFonts w:eastAsia="Calibri" w:cs="Times New Roman"/>
                <w:szCs w:val="24"/>
              </w:rPr>
              <w:t>Потужність</w:t>
            </w:r>
            <w:r>
              <w:t xml:space="preserve"> </w:t>
            </w:r>
            <w:r w:rsidRPr="00CE1175">
              <w:rPr>
                <w:rFonts w:eastAsia="Calibri" w:cs="Times New Roman"/>
                <w:szCs w:val="24"/>
              </w:rPr>
              <w:t>полігон</w:t>
            </w:r>
            <w:r>
              <w:rPr>
                <w:rFonts w:eastAsia="Calibri" w:cs="Times New Roman"/>
                <w:szCs w:val="24"/>
              </w:rPr>
              <w:t>ів</w:t>
            </w:r>
            <w:r w:rsidRPr="00CE1175">
              <w:rPr>
                <w:rFonts w:eastAsia="Calibri" w:cs="Times New Roman"/>
                <w:szCs w:val="24"/>
              </w:rPr>
              <w:t xml:space="preserve"> для небезпечних відходів</w:t>
            </w:r>
          </w:p>
        </w:tc>
        <w:tc>
          <w:tcPr>
            <w:tcW w:w="2353" w:type="dxa"/>
          </w:tcPr>
          <w:p w14:paraId="0DE756E4" w14:textId="77777777" w:rsidR="00991C8A" w:rsidRPr="00C22C49" w:rsidRDefault="00991C8A" w:rsidP="00D81F1B">
            <w:pPr>
              <w:spacing w:before="0" w:line="259" w:lineRule="auto"/>
              <w:rPr>
                <w:rFonts w:eastAsia="Calibri" w:cs="Times New Roman"/>
                <w:szCs w:val="24"/>
              </w:rPr>
            </w:pPr>
            <w:r>
              <w:rPr>
                <w:rFonts w:eastAsia="Calibri" w:cs="Times New Roman"/>
                <w:szCs w:val="24"/>
              </w:rPr>
              <w:t>тис.т</w:t>
            </w:r>
          </w:p>
        </w:tc>
      </w:tr>
      <w:tr w:rsidR="00991C8A" w:rsidRPr="00C22C49" w14:paraId="14016EDC" w14:textId="77777777" w:rsidTr="00681D30">
        <w:trPr>
          <w:gridAfter w:val="1"/>
          <w:wAfter w:w="9" w:type="dxa"/>
          <w:trHeight w:val="170"/>
        </w:trPr>
        <w:tc>
          <w:tcPr>
            <w:tcW w:w="1009" w:type="dxa"/>
          </w:tcPr>
          <w:p w14:paraId="4E5657F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179829C" w14:textId="44882896" w:rsidR="00991C8A" w:rsidRDefault="00CE67D7" w:rsidP="00D81F1B">
            <w:pPr>
              <w:spacing w:before="0" w:line="259" w:lineRule="auto"/>
              <w:rPr>
                <w:rFonts w:eastAsia="Calibri" w:cs="Times New Roman"/>
                <w:szCs w:val="24"/>
              </w:rPr>
            </w:pPr>
            <w:r>
              <w:rPr>
                <w:rFonts w:eastAsia="Calibri" w:cs="Times New Roman"/>
                <w:szCs w:val="24"/>
              </w:rPr>
              <w:t>О</w:t>
            </w:r>
            <w:r w:rsidRPr="00CE67D7">
              <w:rPr>
                <w:rFonts w:eastAsia="Calibri" w:cs="Times New Roman"/>
                <w:szCs w:val="24"/>
              </w:rPr>
              <w:t xml:space="preserve">бсяг </w:t>
            </w:r>
            <w:r w:rsidR="00991C8A" w:rsidRPr="00677BC4">
              <w:rPr>
                <w:rFonts w:eastAsia="Calibri" w:cs="Times New Roman"/>
                <w:szCs w:val="24"/>
              </w:rPr>
              <w:t xml:space="preserve"> небезпечних відходів, експортованих для </w:t>
            </w:r>
            <w:r w:rsidR="00991C8A">
              <w:rPr>
                <w:rFonts w:eastAsia="Calibri" w:cs="Times New Roman"/>
                <w:szCs w:val="24"/>
              </w:rPr>
              <w:t>відновлення</w:t>
            </w:r>
            <w:r w:rsidR="00991C8A" w:rsidRPr="00677BC4">
              <w:rPr>
                <w:rFonts w:eastAsia="Calibri" w:cs="Times New Roman"/>
                <w:szCs w:val="24"/>
              </w:rPr>
              <w:t xml:space="preserve"> (за видами небезпечних відходів)</w:t>
            </w:r>
          </w:p>
        </w:tc>
        <w:tc>
          <w:tcPr>
            <w:tcW w:w="2353" w:type="dxa"/>
          </w:tcPr>
          <w:p w14:paraId="0D947962" w14:textId="77777777" w:rsidR="00991C8A" w:rsidRDefault="00991C8A" w:rsidP="00D81F1B">
            <w:pPr>
              <w:spacing w:before="0" w:line="259" w:lineRule="auto"/>
              <w:rPr>
                <w:rFonts w:eastAsia="Calibri" w:cs="Times New Roman"/>
                <w:szCs w:val="24"/>
              </w:rPr>
            </w:pPr>
            <w:r>
              <w:rPr>
                <w:rFonts w:eastAsia="Calibri" w:cs="Times New Roman"/>
                <w:szCs w:val="24"/>
              </w:rPr>
              <w:t>Тис.т/рік</w:t>
            </w:r>
          </w:p>
        </w:tc>
      </w:tr>
      <w:tr w:rsidR="00991C8A" w:rsidRPr="00C22C49" w14:paraId="4B5D0333" w14:textId="77777777" w:rsidTr="00681D30">
        <w:trPr>
          <w:gridAfter w:val="1"/>
          <w:wAfter w:w="9" w:type="dxa"/>
          <w:trHeight w:val="170"/>
        </w:trPr>
        <w:tc>
          <w:tcPr>
            <w:tcW w:w="1009" w:type="dxa"/>
          </w:tcPr>
          <w:p w14:paraId="1606A1A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7733757" w14:textId="3689CE52" w:rsidR="00991C8A" w:rsidRPr="00677BC4" w:rsidRDefault="00CE67D7" w:rsidP="00D81F1B">
            <w:pPr>
              <w:spacing w:before="0" w:line="259" w:lineRule="auto"/>
              <w:rPr>
                <w:rFonts w:eastAsia="Calibri" w:cs="Times New Roman"/>
                <w:szCs w:val="24"/>
              </w:rPr>
            </w:pPr>
            <w:r>
              <w:rPr>
                <w:rFonts w:eastAsia="Calibri" w:cs="Times New Roman"/>
                <w:szCs w:val="24"/>
              </w:rPr>
              <w:t>Обсяг</w:t>
            </w:r>
            <w:r w:rsidR="00991C8A" w:rsidRPr="009453C4">
              <w:rPr>
                <w:rFonts w:eastAsia="Calibri" w:cs="Times New Roman"/>
                <w:szCs w:val="24"/>
              </w:rPr>
              <w:t xml:space="preserve"> небезпечних відходів, експортованих для видалення (за видами небезпечних відходів)</w:t>
            </w:r>
          </w:p>
        </w:tc>
        <w:tc>
          <w:tcPr>
            <w:tcW w:w="2353" w:type="dxa"/>
          </w:tcPr>
          <w:p w14:paraId="3A1ED1A2" w14:textId="77777777" w:rsidR="00991C8A" w:rsidRDefault="00991C8A" w:rsidP="00D81F1B">
            <w:pPr>
              <w:spacing w:before="0" w:line="259" w:lineRule="auto"/>
              <w:rPr>
                <w:rFonts w:eastAsia="Calibri" w:cs="Times New Roman"/>
                <w:szCs w:val="24"/>
              </w:rPr>
            </w:pPr>
            <w:r w:rsidRPr="009453C4">
              <w:rPr>
                <w:rFonts w:eastAsia="Calibri" w:cs="Times New Roman"/>
                <w:szCs w:val="24"/>
              </w:rPr>
              <w:t>Тис.т/рік</w:t>
            </w:r>
          </w:p>
        </w:tc>
      </w:tr>
      <w:tr w:rsidR="00991C8A" w:rsidRPr="00C22C49" w14:paraId="1E78EB8B" w14:textId="77777777" w:rsidTr="00681D30">
        <w:trPr>
          <w:gridAfter w:val="1"/>
          <w:wAfter w:w="9" w:type="dxa"/>
          <w:trHeight w:val="170"/>
        </w:trPr>
        <w:tc>
          <w:tcPr>
            <w:tcW w:w="1009" w:type="dxa"/>
            <w:shd w:val="clear" w:color="auto" w:fill="D9E2F3"/>
          </w:tcPr>
          <w:p w14:paraId="4A50A314"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6421" w:type="dxa"/>
            <w:shd w:val="clear" w:color="auto" w:fill="D9E2F3"/>
          </w:tcPr>
          <w:p w14:paraId="128D1128" w14:textId="77777777" w:rsidR="00991C8A" w:rsidRPr="00C22C49" w:rsidRDefault="00991C8A" w:rsidP="00D81F1B">
            <w:pPr>
              <w:spacing w:before="0" w:line="259" w:lineRule="auto"/>
              <w:jc w:val="center"/>
              <w:rPr>
                <w:rFonts w:eastAsia="Times New Roman" w:cs="Times New Roman"/>
                <w:b/>
                <w:bCs/>
                <w:szCs w:val="24"/>
              </w:rPr>
            </w:pPr>
            <w:r w:rsidRPr="00C22C49">
              <w:rPr>
                <w:rFonts w:eastAsia="Calibri" w:cs="Times New Roman"/>
                <w:b/>
                <w:bCs/>
                <w:szCs w:val="24"/>
              </w:rPr>
              <w:t xml:space="preserve">Небезпечні відходи, що містять СОЗ </w:t>
            </w:r>
          </w:p>
        </w:tc>
        <w:tc>
          <w:tcPr>
            <w:tcW w:w="2353" w:type="dxa"/>
            <w:shd w:val="clear" w:color="auto" w:fill="D9E2F3"/>
          </w:tcPr>
          <w:p w14:paraId="48D7EBAB" w14:textId="77777777" w:rsidR="00991C8A" w:rsidRPr="00C22C49" w:rsidRDefault="00991C8A" w:rsidP="00D81F1B">
            <w:pPr>
              <w:spacing w:before="0" w:line="259" w:lineRule="auto"/>
              <w:jc w:val="center"/>
              <w:rPr>
                <w:rFonts w:eastAsia="Times New Roman" w:cs="Times New Roman"/>
                <w:b/>
                <w:bCs/>
                <w:szCs w:val="24"/>
              </w:rPr>
            </w:pPr>
          </w:p>
        </w:tc>
      </w:tr>
      <w:tr w:rsidR="00991C8A" w:rsidRPr="00C22C49" w14:paraId="35D90D0C" w14:textId="77777777" w:rsidTr="00681D30">
        <w:trPr>
          <w:gridAfter w:val="1"/>
          <w:wAfter w:w="9" w:type="dxa"/>
          <w:trHeight w:val="170"/>
        </w:trPr>
        <w:tc>
          <w:tcPr>
            <w:tcW w:w="1009" w:type="dxa"/>
          </w:tcPr>
          <w:p w14:paraId="1FF106F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CA518E7"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Кількість обладнання, що містить СОЗ, що підлягає </w:t>
            </w:r>
            <w:r>
              <w:rPr>
                <w:rFonts w:eastAsia="Calibri" w:cs="Times New Roman"/>
                <w:szCs w:val="24"/>
              </w:rPr>
              <w:t xml:space="preserve">знешкодженню </w:t>
            </w:r>
          </w:p>
        </w:tc>
        <w:tc>
          <w:tcPr>
            <w:tcW w:w="2353" w:type="dxa"/>
          </w:tcPr>
          <w:p w14:paraId="64B95AB0"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p>
        </w:tc>
      </w:tr>
      <w:tr w:rsidR="00991C8A" w:rsidRPr="00C22C49" w14:paraId="609F64FF" w14:textId="77777777" w:rsidTr="00681D30">
        <w:trPr>
          <w:gridAfter w:val="1"/>
          <w:wAfter w:w="9" w:type="dxa"/>
          <w:trHeight w:val="170"/>
        </w:trPr>
        <w:tc>
          <w:tcPr>
            <w:tcW w:w="1009" w:type="dxa"/>
          </w:tcPr>
          <w:p w14:paraId="62D6498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51D03E93"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Кількість обладнання, що містить ПХД/ПХТ, що підлягає </w:t>
            </w:r>
            <w:r>
              <w:t xml:space="preserve"> </w:t>
            </w:r>
            <w:r w:rsidRPr="005234BA">
              <w:rPr>
                <w:rFonts w:eastAsia="Calibri" w:cs="Times New Roman"/>
                <w:szCs w:val="24"/>
              </w:rPr>
              <w:t>знешкодженню</w:t>
            </w:r>
          </w:p>
        </w:tc>
        <w:tc>
          <w:tcPr>
            <w:tcW w:w="2353" w:type="dxa"/>
          </w:tcPr>
          <w:p w14:paraId="3CFD6884" w14:textId="77777777" w:rsidR="00991C8A" w:rsidRPr="00C22C49" w:rsidRDefault="00991C8A" w:rsidP="00D81F1B">
            <w:pPr>
              <w:spacing w:before="0" w:line="259" w:lineRule="auto"/>
              <w:rPr>
                <w:rFonts w:eastAsia="Calibri" w:cs="Times New Roman"/>
                <w:szCs w:val="24"/>
              </w:rPr>
            </w:pPr>
            <w:r w:rsidRPr="00FD3868">
              <w:rPr>
                <w:rFonts w:eastAsia="Calibri" w:cs="Times New Roman"/>
                <w:szCs w:val="24"/>
              </w:rPr>
              <w:t>тис.т</w:t>
            </w:r>
          </w:p>
        </w:tc>
      </w:tr>
      <w:tr w:rsidR="00991C8A" w:rsidRPr="00C22C49" w14:paraId="24B482D1" w14:textId="77777777" w:rsidTr="00681D30">
        <w:trPr>
          <w:gridAfter w:val="1"/>
          <w:wAfter w:w="9" w:type="dxa"/>
          <w:trHeight w:val="170"/>
        </w:trPr>
        <w:tc>
          <w:tcPr>
            <w:tcW w:w="1009" w:type="dxa"/>
            <w:shd w:val="clear" w:color="auto" w:fill="B4C6E7"/>
          </w:tcPr>
          <w:p w14:paraId="5DF26AB1" w14:textId="77777777" w:rsidR="00991C8A" w:rsidRPr="00C22C49" w:rsidRDefault="00991C8A" w:rsidP="00D81F1B">
            <w:pPr>
              <w:spacing w:before="0" w:line="259" w:lineRule="auto"/>
              <w:jc w:val="left"/>
              <w:rPr>
                <w:rFonts w:eastAsia="Times New Roman" w:cs="Times New Roman"/>
                <w:b/>
                <w:szCs w:val="24"/>
              </w:rPr>
            </w:pPr>
          </w:p>
        </w:tc>
        <w:tc>
          <w:tcPr>
            <w:tcW w:w="6421" w:type="dxa"/>
            <w:shd w:val="clear" w:color="auto" w:fill="B4C6E7"/>
          </w:tcPr>
          <w:p w14:paraId="37F40342"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Небезпечні відходи, що містять азбест</w:t>
            </w:r>
          </w:p>
        </w:tc>
        <w:tc>
          <w:tcPr>
            <w:tcW w:w="2353" w:type="dxa"/>
            <w:shd w:val="clear" w:color="auto" w:fill="B4C6E7"/>
          </w:tcPr>
          <w:p w14:paraId="272DD797" w14:textId="77777777" w:rsidR="00991C8A" w:rsidRPr="00C22C49" w:rsidRDefault="00991C8A" w:rsidP="00D81F1B">
            <w:pPr>
              <w:spacing w:before="0" w:line="259" w:lineRule="auto"/>
              <w:jc w:val="center"/>
              <w:rPr>
                <w:rFonts w:eastAsia="Times New Roman" w:cs="Times New Roman"/>
                <w:b/>
                <w:szCs w:val="24"/>
              </w:rPr>
            </w:pPr>
          </w:p>
        </w:tc>
      </w:tr>
      <w:tr w:rsidR="00991C8A" w:rsidRPr="00C22C49" w14:paraId="78E92207" w14:textId="77777777" w:rsidTr="00681D30">
        <w:trPr>
          <w:gridAfter w:val="1"/>
          <w:wAfter w:w="9" w:type="dxa"/>
          <w:trHeight w:val="170"/>
        </w:trPr>
        <w:tc>
          <w:tcPr>
            <w:tcW w:w="1009" w:type="dxa"/>
          </w:tcPr>
          <w:p w14:paraId="3C0B3FE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6A04330" w14:textId="5FBCF2BC" w:rsidR="00991C8A" w:rsidRPr="00C22C49" w:rsidRDefault="005253EA" w:rsidP="00D81F1B">
            <w:pPr>
              <w:spacing w:before="0" w:line="259" w:lineRule="auto"/>
              <w:rPr>
                <w:rFonts w:eastAsia="Calibri" w:cs="Times New Roman"/>
                <w:szCs w:val="24"/>
              </w:rPr>
            </w:pPr>
            <w:r w:rsidRPr="005253EA">
              <w:rPr>
                <w:rFonts w:eastAsia="Calibri" w:cs="Times New Roman"/>
                <w:szCs w:val="24"/>
              </w:rPr>
              <w:t>Обсяг</w:t>
            </w:r>
            <w:r w:rsidR="00991C8A" w:rsidRPr="00C22C49">
              <w:rPr>
                <w:rFonts w:eastAsia="Calibri" w:cs="Times New Roman"/>
                <w:szCs w:val="24"/>
              </w:rPr>
              <w:t xml:space="preserve"> утворених відходів, що містять азбест</w:t>
            </w:r>
          </w:p>
        </w:tc>
        <w:tc>
          <w:tcPr>
            <w:tcW w:w="2353" w:type="dxa"/>
          </w:tcPr>
          <w:p w14:paraId="1D3E44FB" w14:textId="77777777" w:rsidR="00991C8A" w:rsidRPr="00C22C49" w:rsidRDefault="00991C8A" w:rsidP="00D81F1B">
            <w:pPr>
              <w:spacing w:before="0" w:line="259" w:lineRule="auto"/>
              <w:rPr>
                <w:rFonts w:eastAsia="Calibri" w:cs="Times New Roman"/>
                <w:szCs w:val="24"/>
              </w:rPr>
            </w:pPr>
            <w:r w:rsidRPr="00FD3868">
              <w:rPr>
                <w:rFonts w:eastAsia="Calibri" w:cs="Times New Roman"/>
                <w:szCs w:val="24"/>
              </w:rPr>
              <w:t>тис.т</w:t>
            </w:r>
          </w:p>
        </w:tc>
      </w:tr>
      <w:tr w:rsidR="00991C8A" w:rsidRPr="00C22C49" w14:paraId="5BE7B83F" w14:textId="77777777" w:rsidTr="00681D30">
        <w:trPr>
          <w:gridAfter w:val="1"/>
          <w:wAfter w:w="9" w:type="dxa"/>
          <w:trHeight w:val="170"/>
        </w:trPr>
        <w:tc>
          <w:tcPr>
            <w:tcW w:w="1009" w:type="dxa"/>
          </w:tcPr>
          <w:p w14:paraId="22CB665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0231FDA" w14:textId="6EB8F30E" w:rsidR="00991C8A" w:rsidRPr="00C22C49" w:rsidRDefault="005253EA" w:rsidP="00D81F1B">
            <w:pPr>
              <w:spacing w:before="0" w:line="259" w:lineRule="auto"/>
              <w:rPr>
                <w:rFonts w:eastAsia="Calibri" w:cs="Times New Roman"/>
                <w:szCs w:val="24"/>
              </w:rPr>
            </w:pPr>
            <w:r w:rsidRPr="005253EA">
              <w:rPr>
                <w:rFonts w:eastAsia="Times New Roman" w:cs="Times New Roman"/>
                <w:szCs w:val="24"/>
              </w:rPr>
              <w:t>Обсяг</w:t>
            </w:r>
            <w:r w:rsidR="00991C8A" w:rsidRPr="00C22C49">
              <w:rPr>
                <w:rFonts w:eastAsia="Times New Roman" w:cs="Times New Roman"/>
                <w:szCs w:val="24"/>
              </w:rPr>
              <w:t xml:space="preserve"> видалених відходів, що містять азбест</w:t>
            </w:r>
          </w:p>
        </w:tc>
        <w:tc>
          <w:tcPr>
            <w:tcW w:w="2353" w:type="dxa"/>
          </w:tcPr>
          <w:p w14:paraId="0E89EA21" w14:textId="77777777" w:rsidR="00991C8A" w:rsidRPr="00C22C49" w:rsidRDefault="00991C8A" w:rsidP="00D81F1B">
            <w:pPr>
              <w:spacing w:before="0" w:line="259" w:lineRule="auto"/>
              <w:rPr>
                <w:rFonts w:eastAsia="Calibri" w:cs="Times New Roman"/>
                <w:szCs w:val="24"/>
              </w:rPr>
            </w:pPr>
            <w:r w:rsidRPr="00FD3868">
              <w:rPr>
                <w:rFonts w:eastAsia="Times New Roman" w:cs="Times New Roman"/>
                <w:szCs w:val="24"/>
              </w:rPr>
              <w:t>тис.т</w:t>
            </w:r>
          </w:p>
        </w:tc>
      </w:tr>
      <w:tr w:rsidR="00991C8A" w:rsidRPr="00C22C49" w14:paraId="7BF15A80" w14:textId="77777777" w:rsidTr="00681D30">
        <w:trPr>
          <w:gridAfter w:val="1"/>
          <w:wAfter w:w="9" w:type="dxa"/>
          <w:trHeight w:val="170"/>
        </w:trPr>
        <w:tc>
          <w:tcPr>
            <w:tcW w:w="1009" w:type="dxa"/>
          </w:tcPr>
          <w:p w14:paraId="639434E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7BF8BD1"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 xml:space="preserve">Відсоток кількості утворених відходів, що містять азбест щодо яких здійснено операції з оброблення </w:t>
            </w:r>
          </w:p>
        </w:tc>
        <w:tc>
          <w:tcPr>
            <w:tcW w:w="2353" w:type="dxa"/>
          </w:tcPr>
          <w:p w14:paraId="1A63A659"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7F3F44A0" w14:textId="77777777" w:rsidTr="00681D30">
        <w:trPr>
          <w:gridAfter w:val="1"/>
          <w:wAfter w:w="9" w:type="dxa"/>
          <w:trHeight w:val="170"/>
        </w:trPr>
        <w:tc>
          <w:tcPr>
            <w:tcW w:w="1009" w:type="dxa"/>
          </w:tcPr>
          <w:p w14:paraId="7529ED3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47E359D"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інвентаризованих будівель, де використовувались азбестовмісні матеріали – для вилучення та видалення</w:t>
            </w:r>
          </w:p>
        </w:tc>
        <w:tc>
          <w:tcPr>
            <w:tcW w:w="2353" w:type="dxa"/>
          </w:tcPr>
          <w:p w14:paraId="58DBB1C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34C72370" w14:textId="77777777" w:rsidTr="00681D30">
        <w:trPr>
          <w:gridAfter w:val="1"/>
          <w:wAfter w:w="9" w:type="dxa"/>
          <w:trHeight w:val="170"/>
        </w:trPr>
        <w:tc>
          <w:tcPr>
            <w:tcW w:w="1009" w:type="dxa"/>
            <w:shd w:val="clear" w:color="auto" w:fill="B4C6E7"/>
          </w:tcPr>
          <w:p w14:paraId="3938B692"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6421" w:type="dxa"/>
            <w:shd w:val="clear" w:color="auto" w:fill="B4C6E7"/>
          </w:tcPr>
          <w:p w14:paraId="4FC0D009" w14:textId="77777777" w:rsidR="00991C8A" w:rsidRPr="00C22C49" w:rsidRDefault="00991C8A" w:rsidP="00D81F1B">
            <w:pPr>
              <w:spacing w:before="0" w:line="259" w:lineRule="auto"/>
              <w:jc w:val="center"/>
              <w:rPr>
                <w:rFonts w:eastAsia="Times New Roman" w:cs="Times New Roman"/>
                <w:b/>
                <w:bCs/>
                <w:szCs w:val="24"/>
              </w:rPr>
            </w:pPr>
            <w:r w:rsidRPr="00C22C49">
              <w:rPr>
                <w:rFonts w:eastAsia="Times New Roman" w:cs="Times New Roman"/>
                <w:b/>
                <w:bCs/>
                <w:szCs w:val="24"/>
              </w:rPr>
              <w:t xml:space="preserve">Небезпечні відходи </w:t>
            </w:r>
            <w:r w:rsidRPr="00C22C49">
              <w:rPr>
                <w:rFonts w:ascii="Calibri" w:eastAsia="Calibri" w:hAnsi="Calibri" w:cs="Times New Roman"/>
                <w:sz w:val="22"/>
                <w:szCs w:val="22"/>
              </w:rPr>
              <w:t xml:space="preserve"> </w:t>
            </w:r>
            <w:r w:rsidRPr="00C22C49">
              <w:rPr>
                <w:rFonts w:eastAsia="Times New Roman" w:cs="Times New Roman"/>
                <w:b/>
                <w:bCs/>
                <w:szCs w:val="24"/>
              </w:rPr>
              <w:t>що містять ртуть</w:t>
            </w:r>
          </w:p>
        </w:tc>
        <w:tc>
          <w:tcPr>
            <w:tcW w:w="2353" w:type="dxa"/>
            <w:shd w:val="clear" w:color="auto" w:fill="B4C6E7"/>
          </w:tcPr>
          <w:p w14:paraId="32F9D0AC" w14:textId="77777777" w:rsidR="00991C8A" w:rsidRPr="00C22C49" w:rsidRDefault="00991C8A" w:rsidP="00D81F1B">
            <w:pPr>
              <w:spacing w:before="0" w:line="259" w:lineRule="auto"/>
              <w:jc w:val="center"/>
              <w:rPr>
                <w:rFonts w:eastAsia="Times New Roman" w:cs="Times New Roman"/>
                <w:b/>
                <w:bCs/>
                <w:szCs w:val="24"/>
              </w:rPr>
            </w:pPr>
          </w:p>
        </w:tc>
      </w:tr>
      <w:tr w:rsidR="00991C8A" w:rsidRPr="00C22C49" w14:paraId="633373FE" w14:textId="77777777" w:rsidTr="00681D30">
        <w:trPr>
          <w:gridAfter w:val="1"/>
          <w:wAfter w:w="9" w:type="dxa"/>
          <w:trHeight w:val="170"/>
        </w:trPr>
        <w:tc>
          <w:tcPr>
            <w:tcW w:w="1009" w:type="dxa"/>
            <w:shd w:val="clear" w:color="auto" w:fill="auto"/>
          </w:tcPr>
          <w:p w14:paraId="56A7481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6A849FD8" w14:textId="48515B58"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утворених відходів, що містять ртуть, крім ВЕЕО</w:t>
            </w:r>
          </w:p>
        </w:tc>
        <w:tc>
          <w:tcPr>
            <w:tcW w:w="2353" w:type="dxa"/>
            <w:shd w:val="clear" w:color="auto" w:fill="auto"/>
          </w:tcPr>
          <w:p w14:paraId="7CF52258" w14:textId="77777777" w:rsidR="00991C8A" w:rsidRPr="00C22C49" w:rsidRDefault="00991C8A" w:rsidP="00D81F1B">
            <w:pPr>
              <w:spacing w:before="0" w:line="259" w:lineRule="auto"/>
              <w:rPr>
                <w:rFonts w:eastAsia="Times New Roman" w:cs="Times New Roman"/>
                <w:szCs w:val="24"/>
              </w:rPr>
            </w:pPr>
            <w:r w:rsidRPr="00FD3868">
              <w:rPr>
                <w:rFonts w:eastAsia="Times New Roman" w:cs="Times New Roman"/>
                <w:szCs w:val="24"/>
              </w:rPr>
              <w:t>тис.т</w:t>
            </w:r>
          </w:p>
        </w:tc>
      </w:tr>
      <w:tr w:rsidR="00991C8A" w:rsidRPr="00C22C49" w14:paraId="2ED31B9A" w14:textId="77777777" w:rsidTr="00681D30">
        <w:trPr>
          <w:gridAfter w:val="1"/>
          <w:wAfter w:w="9" w:type="dxa"/>
          <w:trHeight w:val="170"/>
        </w:trPr>
        <w:tc>
          <w:tcPr>
            <w:tcW w:w="1009" w:type="dxa"/>
            <w:shd w:val="clear" w:color="auto" w:fill="auto"/>
          </w:tcPr>
          <w:p w14:paraId="47F5B20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shd w:val="clear" w:color="auto" w:fill="auto"/>
          </w:tcPr>
          <w:p w14:paraId="37BAF5A8" w14:textId="742A112A" w:rsidR="00991C8A" w:rsidRPr="00C22C49" w:rsidRDefault="005253EA" w:rsidP="00D81F1B">
            <w:pPr>
              <w:spacing w:before="0" w:line="259" w:lineRule="auto"/>
              <w:rPr>
                <w:rFonts w:eastAsia="Times New Roman" w:cs="Times New Roman"/>
                <w:szCs w:val="24"/>
              </w:rPr>
            </w:pPr>
            <w:r w:rsidRPr="005253EA">
              <w:rPr>
                <w:rFonts w:eastAsia="Times New Roman" w:cs="Times New Roman"/>
                <w:szCs w:val="24"/>
              </w:rPr>
              <w:t>Обсяг</w:t>
            </w:r>
            <w:r w:rsidR="00991C8A" w:rsidRPr="00C22C49">
              <w:rPr>
                <w:rFonts w:eastAsia="Times New Roman" w:cs="Times New Roman"/>
                <w:szCs w:val="24"/>
              </w:rPr>
              <w:t xml:space="preserve"> відновлених відходів, що містять ртуть, крім ВЕЕО</w:t>
            </w:r>
          </w:p>
        </w:tc>
        <w:tc>
          <w:tcPr>
            <w:tcW w:w="2353" w:type="dxa"/>
            <w:shd w:val="clear" w:color="auto" w:fill="auto"/>
          </w:tcPr>
          <w:p w14:paraId="1A6EFC55" w14:textId="77777777" w:rsidR="00991C8A" w:rsidRPr="00C22C49" w:rsidRDefault="00991C8A" w:rsidP="00D81F1B">
            <w:pPr>
              <w:spacing w:before="0" w:line="259" w:lineRule="auto"/>
              <w:rPr>
                <w:rFonts w:eastAsia="Times New Roman" w:cs="Times New Roman"/>
                <w:szCs w:val="24"/>
              </w:rPr>
            </w:pPr>
            <w:r w:rsidRPr="00FD3868">
              <w:rPr>
                <w:rFonts w:eastAsia="Times New Roman" w:cs="Times New Roman"/>
                <w:szCs w:val="24"/>
              </w:rPr>
              <w:t>тис.т</w:t>
            </w:r>
          </w:p>
        </w:tc>
      </w:tr>
      <w:tr w:rsidR="00991C8A" w:rsidRPr="00C22C49" w14:paraId="4B01829A" w14:textId="77777777" w:rsidTr="00681D30">
        <w:trPr>
          <w:gridAfter w:val="1"/>
          <w:wAfter w:w="9" w:type="dxa"/>
          <w:trHeight w:val="170"/>
        </w:trPr>
        <w:tc>
          <w:tcPr>
            <w:tcW w:w="1009" w:type="dxa"/>
            <w:shd w:val="clear" w:color="auto" w:fill="auto"/>
          </w:tcPr>
          <w:p w14:paraId="73D6AAC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D635BBC" w14:textId="0CE15C11" w:rsidR="00991C8A" w:rsidRPr="00C22C49" w:rsidRDefault="005253EA" w:rsidP="00D81F1B">
            <w:pPr>
              <w:spacing w:before="0" w:line="259" w:lineRule="auto"/>
              <w:rPr>
                <w:rFonts w:eastAsia="Times New Roman" w:cs="Times New Roman"/>
                <w:szCs w:val="24"/>
              </w:rPr>
            </w:pPr>
            <w:r w:rsidRPr="005253EA">
              <w:rPr>
                <w:rFonts w:eastAsia="Times New Roman" w:cs="Times New Roman"/>
                <w:szCs w:val="24"/>
              </w:rPr>
              <w:t>Обсяг</w:t>
            </w:r>
            <w:r w:rsidR="00991C8A" w:rsidRPr="00C22C49">
              <w:rPr>
                <w:rFonts w:eastAsia="Times New Roman" w:cs="Times New Roman"/>
                <w:szCs w:val="24"/>
              </w:rPr>
              <w:t xml:space="preserve"> видалених відходів, що містять ртуть, крім ВЕЕО</w:t>
            </w:r>
          </w:p>
        </w:tc>
        <w:tc>
          <w:tcPr>
            <w:tcW w:w="2353" w:type="dxa"/>
            <w:shd w:val="clear" w:color="auto" w:fill="auto"/>
          </w:tcPr>
          <w:p w14:paraId="37C2E615" w14:textId="77777777" w:rsidR="00991C8A" w:rsidRPr="00C22C49" w:rsidRDefault="00991C8A" w:rsidP="00D81F1B">
            <w:pPr>
              <w:spacing w:before="0" w:line="259" w:lineRule="auto"/>
              <w:rPr>
                <w:rFonts w:eastAsia="Times New Roman" w:cs="Times New Roman"/>
                <w:szCs w:val="24"/>
              </w:rPr>
            </w:pPr>
            <w:r w:rsidRPr="00FD3868">
              <w:rPr>
                <w:rFonts w:eastAsia="Times New Roman" w:cs="Times New Roman"/>
                <w:szCs w:val="24"/>
              </w:rPr>
              <w:t>тис.т</w:t>
            </w:r>
          </w:p>
        </w:tc>
      </w:tr>
      <w:tr w:rsidR="00991C8A" w:rsidRPr="00C22C49" w14:paraId="666A1929" w14:textId="77777777" w:rsidTr="00681D30">
        <w:trPr>
          <w:gridAfter w:val="1"/>
          <w:wAfter w:w="9" w:type="dxa"/>
          <w:trHeight w:val="170"/>
        </w:trPr>
        <w:tc>
          <w:tcPr>
            <w:tcW w:w="1009" w:type="dxa"/>
            <w:shd w:val="clear" w:color="auto" w:fill="auto"/>
          </w:tcPr>
          <w:p w14:paraId="13FC390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E243DF2" w14:textId="3C95A98E"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 xml:space="preserve">Відсоток </w:t>
            </w:r>
            <w:r w:rsidR="005253EA">
              <w:rPr>
                <w:rFonts w:eastAsia="Times New Roman" w:cs="Times New Roman"/>
                <w:szCs w:val="24"/>
              </w:rPr>
              <w:t>обсягу</w:t>
            </w:r>
            <w:r w:rsidRPr="00C22C49">
              <w:rPr>
                <w:rFonts w:eastAsia="Times New Roman" w:cs="Times New Roman"/>
                <w:szCs w:val="24"/>
              </w:rPr>
              <w:t xml:space="preserve"> утворених відходів, що містять ртуть щодо яких здійснено операції з оброблення</w:t>
            </w:r>
          </w:p>
        </w:tc>
        <w:tc>
          <w:tcPr>
            <w:tcW w:w="2353" w:type="dxa"/>
            <w:shd w:val="clear" w:color="auto" w:fill="auto"/>
          </w:tcPr>
          <w:p w14:paraId="5F69518B"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6BD7DE66" w14:textId="77777777" w:rsidTr="00681D30">
        <w:trPr>
          <w:trHeight w:val="170"/>
        </w:trPr>
        <w:tc>
          <w:tcPr>
            <w:tcW w:w="1009" w:type="dxa"/>
            <w:shd w:val="clear" w:color="auto" w:fill="B4C6E7"/>
          </w:tcPr>
          <w:p w14:paraId="0F5427AB"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8783" w:type="dxa"/>
            <w:gridSpan w:val="3"/>
            <w:shd w:val="clear" w:color="auto" w:fill="B4C6E7"/>
          </w:tcPr>
          <w:p w14:paraId="2A828292" w14:textId="77777777" w:rsidR="00991C8A" w:rsidRPr="00C22C49" w:rsidRDefault="00991C8A" w:rsidP="00D81F1B">
            <w:pPr>
              <w:spacing w:before="0" w:line="259" w:lineRule="auto"/>
              <w:jc w:val="center"/>
              <w:rPr>
                <w:rFonts w:eastAsia="Times New Roman" w:cs="Times New Roman"/>
                <w:b/>
                <w:bCs/>
                <w:szCs w:val="24"/>
              </w:rPr>
            </w:pPr>
            <w:r w:rsidRPr="00C22C49">
              <w:rPr>
                <w:rFonts w:eastAsia="Times New Roman" w:cs="Times New Roman"/>
                <w:b/>
                <w:bCs/>
                <w:szCs w:val="24"/>
              </w:rPr>
              <w:t>Промислові відходи</w:t>
            </w:r>
          </w:p>
        </w:tc>
      </w:tr>
      <w:tr w:rsidR="00991C8A" w:rsidRPr="00C22C49" w14:paraId="4BDA3279" w14:textId="77777777" w:rsidTr="00681D30">
        <w:trPr>
          <w:gridAfter w:val="1"/>
          <w:wAfter w:w="9" w:type="dxa"/>
          <w:trHeight w:val="170"/>
        </w:trPr>
        <w:tc>
          <w:tcPr>
            <w:tcW w:w="1009" w:type="dxa"/>
            <w:shd w:val="clear" w:color="auto" w:fill="auto"/>
          </w:tcPr>
          <w:p w14:paraId="537BD43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5088D77C" w14:textId="54967AF6"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 xml:space="preserve"> утворених промислових відходів</w:t>
            </w:r>
          </w:p>
        </w:tc>
        <w:tc>
          <w:tcPr>
            <w:tcW w:w="2353" w:type="dxa"/>
            <w:shd w:val="clear" w:color="auto" w:fill="auto"/>
          </w:tcPr>
          <w:p w14:paraId="2CBF8EE8"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p>
        </w:tc>
      </w:tr>
      <w:tr w:rsidR="00991C8A" w:rsidRPr="00C22C49" w14:paraId="41FED2E4" w14:textId="77777777" w:rsidTr="00681D30">
        <w:trPr>
          <w:gridAfter w:val="1"/>
          <w:wAfter w:w="9" w:type="dxa"/>
          <w:trHeight w:val="170"/>
        </w:trPr>
        <w:tc>
          <w:tcPr>
            <w:tcW w:w="1009" w:type="dxa"/>
            <w:shd w:val="clear" w:color="auto" w:fill="auto"/>
          </w:tcPr>
          <w:p w14:paraId="0CCF1DC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0B642A0" w14:textId="2BF8090F"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w:t>
            </w:r>
            <w:r>
              <w:rPr>
                <w:rFonts w:eastAsia="Calibri" w:cs="Times New Roman"/>
                <w:szCs w:val="24"/>
              </w:rPr>
              <w:t>г</w:t>
            </w:r>
            <w:r w:rsidR="00991C8A" w:rsidRPr="00FD1EB8">
              <w:rPr>
                <w:rFonts w:eastAsia="Calibri" w:cs="Times New Roman"/>
                <w:szCs w:val="24"/>
              </w:rPr>
              <w:t xml:space="preserve"> </w:t>
            </w:r>
            <w:r w:rsidR="00991C8A">
              <w:rPr>
                <w:rFonts w:eastAsia="Calibri" w:cs="Times New Roman"/>
                <w:szCs w:val="24"/>
              </w:rPr>
              <w:t xml:space="preserve">рецикльованих </w:t>
            </w:r>
            <w:r w:rsidR="00991C8A" w:rsidRPr="00FD1EB8">
              <w:rPr>
                <w:rFonts w:eastAsia="Calibri" w:cs="Times New Roman"/>
                <w:szCs w:val="24"/>
              </w:rPr>
              <w:t>промислових відходів</w:t>
            </w:r>
          </w:p>
        </w:tc>
        <w:tc>
          <w:tcPr>
            <w:tcW w:w="2353" w:type="dxa"/>
            <w:shd w:val="clear" w:color="auto" w:fill="auto"/>
          </w:tcPr>
          <w:p w14:paraId="6B2693BE" w14:textId="77777777" w:rsidR="00991C8A" w:rsidRPr="00FD3868" w:rsidRDefault="00991C8A" w:rsidP="00D81F1B">
            <w:pPr>
              <w:spacing w:before="0" w:line="259" w:lineRule="auto"/>
              <w:rPr>
                <w:rFonts w:eastAsia="Calibri" w:cs="Times New Roman"/>
                <w:szCs w:val="24"/>
              </w:rPr>
            </w:pPr>
            <w:r w:rsidRPr="00FD1EB8">
              <w:rPr>
                <w:rFonts w:eastAsia="Calibri" w:cs="Times New Roman"/>
                <w:szCs w:val="24"/>
              </w:rPr>
              <w:t>тис.т</w:t>
            </w:r>
          </w:p>
        </w:tc>
      </w:tr>
      <w:tr w:rsidR="00991C8A" w:rsidRPr="00C22C49" w14:paraId="053F83CD" w14:textId="77777777" w:rsidTr="00681D30">
        <w:trPr>
          <w:gridAfter w:val="1"/>
          <w:wAfter w:w="9" w:type="dxa"/>
          <w:trHeight w:val="170"/>
        </w:trPr>
        <w:tc>
          <w:tcPr>
            <w:tcW w:w="1009" w:type="dxa"/>
            <w:shd w:val="clear" w:color="auto" w:fill="auto"/>
          </w:tcPr>
          <w:p w14:paraId="67ED456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48B57D5" w14:textId="6580482F"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 xml:space="preserve"> відновлених промислових відходів</w:t>
            </w:r>
          </w:p>
        </w:tc>
        <w:tc>
          <w:tcPr>
            <w:tcW w:w="2353" w:type="dxa"/>
            <w:shd w:val="clear" w:color="auto" w:fill="auto"/>
          </w:tcPr>
          <w:p w14:paraId="40B545B2" w14:textId="77777777" w:rsidR="00991C8A" w:rsidRPr="00C22C49" w:rsidRDefault="00991C8A" w:rsidP="00D81F1B">
            <w:pPr>
              <w:spacing w:before="0" w:line="259" w:lineRule="auto"/>
              <w:rPr>
                <w:rFonts w:eastAsia="Times New Roman" w:cs="Times New Roman"/>
                <w:szCs w:val="24"/>
              </w:rPr>
            </w:pPr>
            <w:r w:rsidRPr="00FD3868">
              <w:rPr>
                <w:rFonts w:eastAsia="Calibri" w:cs="Times New Roman"/>
                <w:szCs w:val="24"/>
              </w:rPr>
              <w:t>тис.т</w:t>
            </w:r>
          </w:p>
        </w:tc>
      </w:tr>
      <w:tr w:rsidR="00991C8A" w:rsidRPr="00C22C49" w14:paraId="789C63B5" w14:textId="77777777" w:rsidTr="00681D30">
        <w:trPr>
          <w:gridAfter w:val="1"/>
          <w:wAfter w:w="9" w:type="dxa"/>
          <w:trHeight w:val="170"/>
        </w:trPr>
        <w:tc>
          <w:tcPr>
            <w:tcW w:w="1009" w:type="dxa"/>
            <w:shd w:val="clear" w:color="auto" w:fill="auto"/>
          </w:tcPr>
          <w:p w14:paraId="70B0038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2B84F4EB" w14:textId="055E14B6"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 xml:space="preserve"> видалених </w:t>
            </w:r>
            <w:r w:rsidR="00991C8A" w:rsidRPr="00C22C49">
              <w:rPr>
                <w:rFonts w:ascii="Calibri" w:eastAsia="Calibri" w:hAnsi="Calibri" w:cs="Times New Roman"/>
                <w:sz w:val="22"/>
                <w:szCs w:val="22"/>
              </w:rPr>
              <w:t xml:space="preserve"> </w:t>
            </w:r>
            <w:r w:rsidR="00991C8A" w:rsidRPr="00C22C49">
              <w:rPr>
                <w:rFonts w:eastAsia="Calibri" w:cs="Times New Roman"/>
                <w:szCs w:val="24"/>
              </w:rPr>
              <w:t>промислових відходів</w:t>
            </w:r>
          </w:p>
        </w:tc>
        <w:tc>
          <w:tcPr>
            <w:tcW w:w="2353" w:type="dxa"/>
            <w:shd w:val="clear" w:color="auto" w:fill="auto"/>
          </w:tcPr>
          <w:p w14:paraId="26B493F2"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2559BF6E" w14:textId="77777777" w:rsidTr="00681D30">
        <w:trPr>
          <w:gridAfter w:val="1"/>
          <w:wAfter w:w="9" w:type="dxa"/>
          <w:trHeight w:val="170"/>
        </w:trPr>
        <w:tc>
          <w:tcPr>
            <w:tcW w:w="1009" w:type="dxa"/>
            <w:shd w:val="clear" w:color="auto" w:fill="auto"/>
          </w:tcPr>
          <w:p w14:paraId="22AA0AD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06DDBB3" w14:textId="054D313C"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 xml:space="preserve"> захоронених промислових відходів на полігонах</w:t>
            </w:r>
          </w:p>
        </w:tc>
        <w:tc>
          <w:tcPr>
            <w:tcW w:w="2353" w:type="dxa"/>
            <w:shd w:val="clear" w:color="auto" w:fill="auto"/>
          </w:tcPr>
          <w:p w14:paraId="419251D2"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61A5DCFC" w14:textId="77777777" w:rsidTr="00681D30">
        <w:trPr>
          <w:gridAfter w:val="1"/>
          <w:wAfter w:w="9" w:type="dxa"/>
          <w:trHeight w:val="170"/>
        </w:trPr>
        <w:tc>
          <w:tcPr>
            <w:tcW w:w="1009" w:type="dxa"/>
            <w:shd w:val="clear" w:color="auto" w:fill="auto"/>
          </w:tcPr>
          <w:p w14:paraId="7F11A62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631FA258" w14:textId="7D66773A"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8D7A0F">
              <w:rPr>
                <w:rFonts w:eastAsia="Calibri" w:cs="Times New Roman"/>
                <w:szCs w:val="24"/>
              </w:rPr>
              <w:t>обсягу</w:t>
            </w:r>
            <w:r w:rsidRPr="00C22C49">
              <w:rPr>
                <w:rFonts w:eastAsia="Calibri" w:cs="Times New Roman"/>
                <w:szCs w:val="24"/>
              </w:rPr>
              <w:t xml:space="preserve"> утворених</w:t>
            </w:r>
            <w:r w:rsidRPr="00C22C49">
              <w:rPr>
                <w:rFonts w:ascii="Calibri" w:eastAsia="Calibri" w:hAnsi="Calibri" w:cs="Times New Roman"/>
                <w:sz w:val="22"/>
                <w:szCs w:val="22"/>
              </w:rPr>
              <w:t xml:space="preserve"> </w:t>
            </w:r>
            <w:r w:rsidRPr="00C22C49">
              <w:rPr>
                <w:rFonts w:eastAsia="Calibri" w:cs="Times New Roman"/>
                <w:szCs w:val="24"/>
              </w:rPr>
              <w:t>промислових відходів, щодо яких здійснено операції з рециклінгу</w:t>
            </w:r>
          </w:p>
        </w:tc>
        <w:tc>
          <w:tcPr>
            <w:tcW w:w="2353" w:type="dxa"/>
            <w:shd w:val="clear" w:color="auto" w:fill="auto"/>
          </w:tcPr>
          <w:p w14:paraId="4FA4002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012AA47" w14:textId="77777777" w:rsidTr="00681D30">
        <w:trPr>
          <w:gridAfter w:val="1"/>
          <w:wAfter w:w="9" w:type="dxa"/>
          <w:trHeight w:val="170"/>
        </w:trPr>
        <w:tc>
          <w:tcPr>
            <w:tcW w:w="1009" w:type="dxa"/>
            <w:shd w:val="clear" w:color="auto" w:fill="auto"/>
          </w:tcPr>
          <w:p w14:paraId="331B981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4A5D34A" w14:textId="5EF8E142"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8D7A0F" w:rsidRPr="008D7A0F">
              <w:rPr>
                <w:rFonts w:eastAsia="Calibri" w:cs="Times New Roman"/>
                <w:szCs w:val="24"/>
              </w:rPr>
              <w:t>обсягу</w:t>
            </w:r>
            <w:r w:rsidRPr="00C22C49">
              <w:rPr>
                <w:rFonts w:eastAsia="Calibri" w:cs="Times New Roman"/>
                <w:szCs w:val="24"/>
              </w:rPr>
              <w:t xml:space="preserve"> утворених промислових відходів, щодо яких здійснено операції з відновлення</w:t>
            </w:r>
          </w:p>
        </w:tc>
        <w:tc>
          <w:tcPr>
            <w:tcW w:w="2353" w:type="dxa"/>
            <w:shd w:val="clear" w:color="auto" w:fill="auto"/>
          </w:tcPr>
          <w:p w14:paraId="28A7952D"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0F186475" w14:textId="77777777" w:rsidTr="00681D30">
        <w:trPr>
          <w:gridAfter w:val="1"/>
          <w:wAfter w:w="9" w:type="dxa"/>
          <w:trHeight w:val="170"/>
        </w:trPr>
        <w:tc>
          <w:tcPr>
            <w:tcW w:w="1009" w:type="dxa"/>
            <w:shd w:val="clear" w:color="auto" w:fill="auto"/>
          </w:tcPr>
          <w:p w14:paraId="271B31D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59541351" w14:textId="0180EFE9"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8D7A0F" w:rsidRPr="008D7A0F">
              <w:rPr>
                <w:rFonts w:eastAsia="Calibri" w:cs="Times New Roman"/>
                <w:szCs w:val="24"/>
              </w:rPr>
              <w:t>обсягу</w:t>
            </w:r>
            <w:r w:rsidRPr="00C22C49">
              <w:rPr>
                <w:rFonts w:eastAsia="Calibri" w:cs="Times New Roman"/>
                <w:szCs w:val="24"/>
              </w:rPr>
              <w:t xml:space="preserve"> утворених промислових відходів, щодо яких здійснено операції з видалення</w:t>
            </w:r>
          </w:p>
        </w:tc>
        <w:tc>
          <w:tcPr>
            <w:tcW w:w="2353" w:type="dxa"/>
            <w:shd w:val="clear" w:color="auto" w:fill="auto"/>
          </w:tcPr>
          <w:p w14:paraId="0976013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78B19EB" w14:textId="77777777" w:rsidTr="00681D30">
        <w:trPr>
          <w:gridAfter w:val="1"/>
          <w:wAfter w:w="9" w:type="dxa"/>
          <w:trHeight w:val="170"/>
        </w:trPr>
        <w:tc>
          <w:tcPr>
            <w:tcW w:w="1009" w:type="dxa"/>
            <w:shd w:val="clear" w:color="auto" w:fill="auto"/>
          </w:tcPr>
          <w:p w14:paraId="35D2A41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6CECBF32" w14:textId="4A807B29"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Відсоток </w:t>
            </w:r>
            <w:r w:rsidR="008D7A0F" w:rsidRPr="008D7A0F">
              <w:rPr>
                <w:rFonts w:eastAsia="Calibri" w:cs="Times New Roman"/>
                <w:szCs w:val="24"/>
              </w:rPr>
              <w:t>обсягу</w:t>
            </w:r>
            <w:r w:rsidRPr="00C22C49">
              <w:rPr>
                <w:rFonts w:eastAsia="Calibri" w:cs="Times New Roman"/>
                <w:szCs w:val="24"/>
              </w:rPr>
              <w:t>утворених промислових відходів, щодо яких здійснено операції по захороненню</w:t>
            </w:r>
          </w:p>
        </w:tc>
        <w:tc>
          <w:tcPr>
            <w:tcW w:w="2353" w:type="dxa"/>
            <w:shd w:val="clear" w:color="auto" w:fill="auto"/>
          </w:tcPr>
          <w:p w14:paraId="516FC2A5"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30CB815B" w14:textId="77777777" w:rsidTr="00681D30">
        <w:trPr>
          <w:trHeight w:val="170"/>
        </w:trPr>
        <w:tc>
          <w:tcPr>
            <w:tcW w:w="1009" w:type="dxa"/>
            <w:shd w:val="clear" w:color="auto" w:fill="B4C6E7"/>
          </w:tcPr>
          <w:p w14:paraId="3E6E2E61" w14:textId="77777777" w:rsidR="00991C8A" w:rsidRPr="00C22C49" w:rsidRDefault="00991C8A" w:rsidP="00D81F1B">
            <w:pPr>
              <w:spacing w:before="0" w:line="259" w:lineRule="auto"/>
              <w:ind w:left="720"/>
              <w:contextualSpacing/>
              <w:jc w:val="left"/>
              <w:rPr>
                <w:rFonts w:eastAsia="Times New Roman" w:cs="Times New Roman"/>
                <w:b/>
                <w:bCs/>
                <w:i/>
                <w:iCs/>
                <w:szCs w:val="24"/>
              </w:rPr>
            </w:pPr>
          </w:p>
        </w:tc>
        <w:tc>
          <w:tcPr>
            <w:tcW w:w="8783" w:type="dxa"/>
            <w:gridSpan w:val="3"/>
            <w:shd w:val="clear" w:color="auto" w:fill="B4C6E7"/>
          </w:tcPr>
          <w:p w14:paraId="23F60932" w14:textId="77777777" w:rsidR="00991C8A" w:rsidRPr="00C22C49" w:rsidRDefault="00991C8A" w:rsidP="00D81F1B">
            <w:pPr>
              <w:spacing w:before="0" w:line="259" w:lineRule="auto"/>
              <w:jc w:val="center"/>
              <w:rPr>
                <w:rFonts w:eastAsia="Times New Roman" w:cs="Times New Roman"/>
                <w:b/>
                <w:bCs/>
                <w:i/>
                <w:iCs/>
                <w:szCs w:val="24"/>
              </w:rPr>
            </w:pPr>
            <w:r w:rsidRPr="00C22C49">
              <w:rPr>
                <w:rFonts w:eastAsia="Times New Roman" w:cs="Times New Roman"/>
                <w:b/>
                <w:bCs/>
                <w:szCs w:val="24"/>
              </w:rPr>
              <w:t>Відходи будівництва та знесення</w:t>
            </w:r>
          </w:p>
        </w:tc>
      </w:tr>
      <w:tr w:rsidR="00991C8A" w:rsidRPr="00C22C49" w14:paraId="0D84745C" w14:textId="77777777" w:rsidTr="00681D30">
        <w:trPr>
          <w:gridAfter w:val="1"/>
          <w:wAfter w:w="9" w:type="dxa"/>
          <w:trHeight w:val="170"/>
        </w:trPr>
        <w:tc>
          <w:tcPr>
            <w:tcW w:w="1009" w:type="dxa"/>
            <w:shd w:val="clear" w:color="auto" w:fill="auto"/>
          </w:tcPr>
          <w:p w14:paraId="0A2E50C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2DDCEE01" w14:textId="3E01B29B"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 xml:space="preserve"> утворених відходів</w:t>
            </w:r>
            <w:r w:rsidR="00991C8A" w:rsidRPr="00C22C49">
              <w:rPr>
                <w:rFonts w:ascii="Calibri" w:eastAsia="Calibri" w:hAnsi="Calibri" w:cs="Times New Roman"/>
                <w:sz w:val="22"/>
                <w:szCs w:val="22"/>
              </w:rPr>
              <w:t xml:space="preserve"> </w:t>
            </w:r>
            <w:r w:rsidR="00991C8A" w:rsidRPr="00C22C49">
              <w:rPr>
                <w:rFonts w:eastAsia="Calibri" w:cs="Times New Roman"/>
                <w:szCs w:val="24"/>
              </w:rPr>
              <w:t>будівництва та знесення</w:t>
            </w:r>
          </w:p>
        </w:tc>
        <w:tc>
          <w:tcPr>
            <w:tcW w:w="2353" w:type="dxa"/>
            <w:shd w:val="clear" w:color="auto" w:fill="auto"/>
          </w:tcPr>
          <w:p w14:paraId="0FA379CD"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01031EA9" w14:textId="77777777" w:rsidTr="00681D30">
        <w:trPr>
          <w:gridAfter w:val="1"/>
          <w:wAfter w:w="9" w:type="dxa"/>
          <w:trHeight w:val="170"/>
        </w:trPr>
        <w:tc>
          <w:tcPr>
            <w:tcW w:w="1009" w:type="dxa"/>
            <w:shd w:val="clear" w:color="auto" w:fill="auto"/>
          </w:tcPr>
          <w:p w14:paraId="2D709A7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53E23459" w14:textId="622DBA06"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 xml:space="preserve"> відновлених відходів</w:t>
            </w:r>
            <w:r w:rsidR="00991C8A" w:rsidRPr="00C22C49">
              <w:rPr>
                <w:rFonts w:ascii="Calibri" w:eastAsia="Calibri" w:hAnsi="Calibri" w:cs="Times New Roman"/>
                <w:sz w:val="22"/>
                <w:szCs w:val="22"/>
              </w:rPr>
              <w:t xml:space="preserve"> </w:t>
            </w:r>
            <w:r w:rsidR="00991C8A" w:rsidRPr="00C22C49">
              <w:rPr>
                <w:rFonts w:eastAsia="Calibri" w:cs="Times New Roman"/>
                <w:szCs w:val="24"/>
              </w:rPr>
              <w:t>будівництва та знесення</w:t>
            </w:r>
          </w:p>
        </w:tc>
        <w:tc>
          <w:tcPr>
            <w:tcW w:w="2353" w:type="dxa"/>
            <w:shd w:val="clear" w:color="auto" w:fill="auto"/>
          </w:tcPr>
          <w:p w14:paraId="27FF1CDD"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694AEEF8" w14:textId="77777777" w:rsidTr="00681D30">
        <w:trPr>
          <w:gridAfter w:val="1"/>
          <w:wAfter w:w="9" w:type="dxa"/>
          <w:trHeight w:val="170"/>
        </w:trPr>
        <w:tc>
          <w:tcPr>
            <w:tcW w:w="1009" w:type="dxa"/>
            <w:shd w:val="clear" w:color="auto" w:fill="auto"/>
          </w:tcPr>
          <w:p w14:paraId="6FBBDAB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4C357FC" w14:textId="0F467098"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w:t>
            </w:r>
            <w:r>
              <w:rPr>
                <w:rFonts w:eastAsia="Calibri" w:cs="Times New Roman"/>
                <w:szCs w:val="24"/>
              </w:rPr>
              <w:t>г</w:t>
            </w:r>
            <w:r w:rsidR="00991C8A" w:rsidRPr="00C22C49">
              <w:rPr>
                <w:rFonts w:eastAsia="Calibri" w:cs="Times New Roman"/>
                <w:szCs w:val="24"/>
              </w:rPr>
              <w:t>ь видалених відходів</w:t>
            </w:r>
            <w:r w:rsidR="00991C8A" w:rsidRPr="00C22C49">
              <w:rPr>
                <w:rFonts w:ascii="Calibri" w:eastAsia="Calibri" w:hAnsi="Calibri" w:cs="Times New Roman"/>
                <w:sz w:val="22"/>
                <w:szCs w:val="22"/>
              </w:rPr>
              <w:t xml:space="preserve"> </w:t>
            </w:r>
            <w:r w:rsidR="00991C8A" w:rsidRPr="00C22C49">
              <w:rPr>
                <w:rFonts w:eastAsia="Calibri" w:cs="Times New Roman"/>
                <w:szCs w:val="24"/>
              </w:rPr>
              <w:t>будівництва та знесення</w:t>
            </w:r>
          </w:p>
        </w:tc>
        <w:tc>
          <w:tcPr>
            <w:tcW w:w="2353" w:type="dxa"/>
            <w:shd w:val="clear" w:color="auto" w:fill="auto"/>
          </w:tcPr>
          <w:p w14:paraId="25131CF7"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41ABF4B7" w14:textId="77777777" w:rsidTr="00681D30">
        <w:trPr>
          <w:gridAfter w:val="1"/>
          <w:wAfter w:w="9" w:type="dxa"/>
          <w:trHeight w:val="170"/>
        </w:trPr>
        <w:tc>
          <w:tcPr>
            <w:tcW w:w="1009" w:type="dxa"/>
            <w:shd w:val="clear" w:color="auto" w:fill="auto"/>
          </w:tcPr>
          <w:p w14:paraId="7ABE859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A190351" w14:textId="498C6731" w:rsidR="00991C8A" w:rsidRPr="00C22C49" w:rsidRDefault="008D7A0F" w:rsidP="00D81F1B">
            <w:pPr>
              <w:spacing w:before="0" w:line="259" w:lineRule="auto"/>
              <w:rPr>
                <w:rFonts w:eastAsia="Calibri" w:cs="Times New Roman"/>
                <w:szCs w:val="24"/>
              </w:rPr>
            </w:pPr>
            <w:r>
              <w:rPr>
                <w:rFonts w:eastAsia="Calibri" w:cs="Times New Roman"/>
                <w:szCs w:val="24"/>
              </w:rPr>
              <w:t>Обсяг</w:t>
            </w:r>
            <w:r w:rsidR="00991C8A" w:rsidRPr="00C22C49">
              <w:rPr>
                <w:rFonts w:eastAsia="Calibri" w:cs="Times New Roman"/>
                <w:szCs w:val="24"/>
              </w:rPr>
              <w:t xml:space="preserve"> захоронених відходів будівництва та знесення  на полігонах для інертних відходів</w:t>
            </w:r>
          </w:p>
        </w:tc>
        <w:tc>
          <w:tcPr>
            <w:tcW w:w="2353" w:type="dxa"/>
            <w:shd w:val="clear" w:color="auto" w:fill="auto"/>
          </w:tcPr>
          <w:p w14:paraId="2CA1439F"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46AE8C11" w14:textId="77777777" w:rsidTr="00681D30">
        <w:trPr>
          <w:gridAfter w:val="1"/>
          <w:wAfter w:w="9" w:type="dxa"/>
          <w:trHeight w:val="170"/>
        </w:trPr>
        <w:tc>
          <w:tcPr>
            <w:tcW w:w="1009" w:type="dxa"/>
            <w:shd w:val="clear" w:color="auto" w:fill="auto"/>
          </w:tcPr>
          <w:p w14:paraId="7CD7F50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3E02AF9" w14:textId="2A5F906E"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8D7A0F" w:rsidRPr="008D7A0F">
              <w:rPr>
                <w:rFonts w:eastAsia="Calibri" w:cs="Times New Roman"/>
                <w:szCs w:val="24"/>
              </w:rPr>
              <w:t xml:space="preserve">обсягів </w:t>
            </w:r>
            <w:r w:rsidRPr="00C22C49">
              <w:rPr>
                <w:rFonts w:eastAsia="Calibri" w:cs="Times New Roman"/>
                <w:szCs w:val="24"/>
              </w:rPr>
              <w:t xml:space="preserve"> утворених відходів</w:t>
            </w:r>
            <w:r w:rsidRPr="00C22C49">
              <w:rPr>
                <w:rFonts w:ascii="Calibri" w:eastAsia="Calibri" w:hAnsi="Calibri" w:cs="Times New Roman"/>
                <w:sz w:val="22"/>
                <w:szCs w:val="22"/>
              </w:rPr>
              <w:t xml:space="preserve"> </w:t>
            </w:r>
            <w:r w:rsidRPr="00C22C49">
              <w:rPr>
                <w:rFonts w:eastAsia="Calibri" w:cs="Times New Roman"/>
                <w:szCs w:val="24"/>
              </w:rPr>
              <w:t>будівництва та знесення, щодо яких здійснено операції з рециклінгу</w:t>
            </w:r>
          </w:p>
        </w:tc>
        <w:tc>
          <w:tcPr>
            <w:tcW w:w="2353" w:type="dxa"/>
            <w:shd w:val="clear" w:color="auto" w:fill="auto"/>
          </w:tcPr>
          <w:p w14:paraId="49DD37B2"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3A1D8F0B" w14:textId="77777777" w:rsidTr="00681D30">
        <w:trPr>
          <w:gridAfter w:val="1"/>
          <w:wAfter w:w="9" w:type="dxa"/>
          <w:trHeight w:val="170"/>
        </w:trPr>
        <w:tc>
          <w:tcPr>
            <w:tcW w:w="1009" w:type="dxa"/>
            <w:shd w:val="clear" w:color="auto" w:fill="auto"/>
          </w:tcPr>
          <w:p w14:paraId="3140514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B7BCABF" w14:textId="2F348655"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8D7A0F" w:rsidRPr="008D7A0F">
              <w:rPr>
                <w:rFonts w:eastAsia="Calibri" w:cs="Times New Roman"/>
                <w:szCs w:val="24"/>
              </w:rPr>
              <w:t xml:space="preserve">обсягів </w:t>
            </w:r>
            <w:r w:rsidRPr="00C22C49">
              <w:rPr>
                <w:rFonts w:eastAsia="Calibri" w:cs="Times New Roman"/>
                <w:szCs w:val="24"/>
              </w:rPr>
              <w:t xml:space="preserve"> утворених відходів</w:t>
            </w:r>
            <w:r w:rsidRPr="00C22C49">
              <w:rPr>
                <w:rFonts w:ascii="Calibri" w:eastAsia="Calibri" w:hAnsi="Calibri" w:cs="Times New Roman"/>
                <w:sz w:val="22"/>
                <w:szCs w:val="22"/>
              </w:rPr>
              <w:t xml:space="preserve"> </w:t>
            </w:r>
            <w:r w:rsidRPr="00C22C49">
              <w:rPr>
                <w:rFonts w:eastAsia="Calibri" w:cs="Times New Roman"/>
                <w:szCs w:val="24"/>
              </w:rPr>
              <w:t>будівництва та знесення, щодо яких здійснено операції з відновлення</w:t>
            </w:r>
          </w:p>
        </w:tc>
        <w:tc>
          <w:tcPr>
            <w:tcW w:w="2353" w:type="dxa"/>
            <w:shd w:val="clear" w:color="auto" w:fill="auto"/>
          </w:tcPr>
          <w:p w14:paraId="271DB7B6"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2F12A00C" w14:textId="77777777" w:rsidTr="00681D30">
        <w:trPr>
          <w:gridAfter w:val="1"/>
          <w:wAfter w:w="9" w:type="dxa"/>
          <w:trHeight w:val="170"/>
        </w:trPr>
        <w:tc>
          <w:tcPr>
            <w:tcW w:w="1009" w:type="dxa"/>
            <w:shd w:val="clear" w:color="auto" w:fill="auto"/>
          </w:tcPr>
          <w:p w14:paraId="1B056F3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3A89539F" w14:textId="0D123177"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8D7A0F" w:rsidRPr="008D7A0F">
              <w:rPr>
                <w:rFonts w:eastAsia="Calibri" w:cs="Times New Roman"/>
                <w:szCs w:val="24"/>
              </w:rPr>
              <w:t xml:space="preserve">обсягів </w:t>
            </w:r>
            <w:r w:rsidRPr="00C22C49">
              <w:rPr>
                <w:rFonts w:eastAsia="Calibri" w:cs="Times New Roman"/>
                <w:szCs w:val="24"/>
              </w:rPr>
              <w:t xml:space="preserve"> утворених відходів будівництва та знесення, щодо яких здійснено операції з видалення</w:t>
            </w:r>
          </w:p>
        </w:tc>
        <w:tc>
          <w:tcPr>
            <w:tcW w:w="2353" w:type="dxa"/>
            <w:shd w:val="clear" w:color="auto" w:fill="auto"/>
          </w:tcPr>
          <w:p w14:paraId="4159DA25"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5DE7F664" w14:textId="77777777" w:rsidTr="00681D30">
        <w:trPr>
          <w:gridAfter w:val="1"/>
          <w:wAfter w:w="9" w:type="dxa"/>
          <w:trHeight w:val="170"/>
        </w:trPr>
        <w:tc>
          <w:tcPr>
            <w:tcW w:w="1009" w:type="dxa"/>
            <w:shd w:val="clear" w:color="auto" w:fill="auto"/>
          </w:tcPr>
          <w:p w14:paraId="7892C7B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3203E19D" w14:textId="0E0059C1"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8D7A0F">
              <w:rPr>
                <w:rFonts w:eastAsia="Calibri" w:cs="Times New Roman"/>
                <w:szCs w:val="24"/>
              </w:rPr>
              <w:t>обсягів</w:t>
            </w:r>
            <w:r w:rsidRPr="00C22C49">
              <w:rPr>
                <w:rFonts w:eastAsia="Calibri" w:cs="Times New Roman"/>
                <w:szCs w:val="24"/>
              </w:rPr>
              <w:t xml:space="preserve"> утворених відходів будівництва та знесення, щодо яких здійснено операції по захороненню</w:t>
            </w:r>
          </w:p>
        </w:tc>
        <w:tc>
          <w:tcPr>
            <w:tcW w:w="2353" w:type="dxa"/>
            <w:shd w:val="clear" w:color="auto" w:fill="auto"/>
          </w:tcPr>
          <w:p w14:paraId="59F317E1"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3BAA34DD" w14:textId="77777777" w:rsidTr="00681D30">
        <w:trPr>
          <w:gridAfter w:val="1"/>
          <w:wAfter w:w="9" w:type="dxa"/>
          <w:trHeight w:val="170"/>
        </w:trPr>
        <w:tc>
          <w:tcPr>
            <w:tcW w:w="1009" w:type="dxa"/>
            <w:shd w:val="clear" w:color="auto" w:fill="auto"/>
          </w:tcPr>
          <w:p w14:paraId="26E44A7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F0AC0C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підготовки до повторного використання рециклінг та інше відновлення матеріалів, включаючи операції зі зворотного заповнення з використанням відходів на заміщення інших матеріалів, відходів будівництва та знесення, що не є небезпечними, за винятком природних матеріалів, визначених у категорії 170504 переліку відходів</w:t>
            </w:r>
          </w:p>
        </w:tc>
        <w:tc>
          <w:tcPr>
            <w:tcW w:w="2353" w:type="dxa"/>
            <w:shd w:val="clear" w:color="auto" w:fill="auto"/>
          </w:tcPr>
          <w:p w14:paraId="7A91850D"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30EC09F6" w14:textId="77777777" w:rsidTr="00681D30">
        <w:trPr>
          <w:gridAfter w:val="1"/>
          <w:wAfter w:w="9" w:type="dxa"/>
          <w:trHeight w:val="170"/>
        </w:trPr>
        <w:tc>
          <w:tcPr>
            <w:tcW w:w="1009" w:type="dxa"/>
            <w:shd w:val="clear" w:color="auto" w:fill="auto"/>
          </w:tcPr>
          <w:p w14:paraId="0BBAE6E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C3976AD" w14:textId="77777777" w:rsidR="00991C8A" w:rsidRPr="00C22C49" w:rsidRDefault="00991C8A" w:rsidP="00D81F1B">
            <w:pPr>
              <w:spacing w:before="0" w:line="259" w:lineRule="auto"/>
              <w:rPr>
                <w:rFonts w:eastAsia="Calibri" w:cs="Times New Roman"/>
                <w:szCs w:val="24"/>
              </w:rPr>
            </w:pPr>
            <w:r w:rsidRPr="007D3C13">
              <w:rPr>
                <w:rFonts w:eastAsia="Calibri" w:cs="Times New Roman"/>
                <w:szCs w:val="24"/>
              </w:rPr>
              <w:t xml:space="preserve">Кількість </w:t>
            </w:r>
            <w:r>
              <w:rPr>
                <w:rFonts w:eastAsia="Calibri" w:cs="Times New Roman"/>
                <w:szCs w:val="24"/>
              </w:rPr>
              <w:t>та потужність об’єктів</w:t>
            </w:r>
            <w:r w:rsidRPr="007D3C13">
              <w:rPr>
                <w:rFonts w:eastAsia="Calibri" w:cs="Times New Roman"/>
                <w:szCs w:val="24"/>
              </w:rPr>
              <w:t xml:space="preserve"> для оброблення відходів будівництва та знесення</w:t>
            </w:r>
          </w:p>
        </w:tc>
        <w:tc>
          <w:tcPr>
            <w:tcW w:w="2353" w:type="dxa"/>
            <w:shd w:val="clear" w:color="auto" w:fill="auto"/>
          </w:tcPr>
          <w:p w14:paraId="638A9241" w14:textId="77777777" w:rsidR="00991C8A" w:rsidRPr="007D3C13" w:rsidRDefault="00991C8A" w:rsidP="00D81F1B">
            <w:pPr>
              <w:spacing w:before="0" w:line="259" w:lineRule="auto"/>
              <w:rPr>
                <w:rFonts w:eastAsia="Calibri" w:cs="Times New Roman"/>
                <w:szCs w:val="24"/>
              </w:rPr>
            </w:pPr>
            <w:r w:rsidRPr="007D3C13">
              <w:rPr>
                <w:rFonts w:eastAsia="Calibri" w:cs="Times New Roman"/>
                <w:szCs w:val="24"/>
              </w:rPr>
              <w:t xml:space="preserve">одиниць, </w:t>
            </w:r>
          </w:p>
          <w:p w14:paraId="5619A56C" w14:textId="77777777" w:rsidR="00991C8A" w:rsidRPr="00C22C49" w:rsidRDefault="00991C8A" w:rsidP="00D81F1B">
            <w:pPr>
              <w:spacing w:before="0" w:line="259" w:lineRule="auto"/>
              <w:rPr>
                <w:rFonts w:eastAsia="Calibri" w:cs="Times New Roman"/>
                <w:szCs w:val="24"/>
              </w:rPr>
            </w:pPr>
            <w:r w:rsidRPr="007D3C13">
              <w:rPr>
                <w:rFonts w:eastAsia="Calibri" w:cs="Times New Roman"/>
                <w:szCs w:val="24"/>
              </w:rPr>
              <w:t>тис.т/ рік</w:t>
            </w:r>
          </w:p>
        </w:tc>
      </w:tr>
      <w:tr w:rsidR="00991C8A" w:rsidRPr="00C22C49" w14:paraId="3411D4C3" w14:textId="77777777" w:rsidTr="00681D30">
        <w:trPr>
          <w:gridAfter w:val="1"/>
          <w:wAfter w:w="9" w:type="dxa"/>
          <w:trHeight w:val="170"/>
        </w:trPr>
        <w:tc>
          <w:tcPr>
            <w:tcW w:w="1009" w:type="dxa"/>
            <w:shd w:val="clear" w:color="auto" w:fill="auto"/>
          </w:tcPr>
          <w:p w14:paraId="6A46E12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3C389D9D" w14:textId="77777777" w:rsidR="00991C8A" w:rsidRPr="00C22C49" w:rsidRDefault="00991C8A" w:rsidP="00D81F1B">
            <w:pPr>
              <w:spacing w:before="0" w:line="259" w:lineRule="auto"/>
              <w:rPr>
                <w:rFonts w:eastAsia="Calibri" w:cs="Times New Roman"/>
                <w:szCs w:val="24"/>
              </w:rPr>
            </w:pPr>
            <w:r w:rsidRPr="007D3C13">
              <w:rPr>
                <w:rFonts w:eastAsia="Calibri" w:cs="Times New Roman"/>
                <w:szCs w:val="24"/>
              </w:rPr>
              <w:t xml:space="preserve">Кількість </w:t>
            </w:r>
            <w:r>
              <w:rPr>
                <w:rFonts w:eastAsia="Calibri" w:cs="Times New Roman"/>
                <w:szCs w:val="24"/>
              </w:rPr>
              <w:t xml:space="preserve">та потужність </w:t>
            </w:r>
            <w:r w:rsidRPr="007D3C13">
              <w:rPr>
                <w:rFonts w:eastAsia="Calibri" w:cs="Times New Roman"/>
                <w:szCs w:val="24"/>
              </w:rPr>
              <w:t>мобільних установок</w:t>
            </w:r>
            <w:r>
              <w:rPr>
                <w:rFonts w:eastAsia="Calibri" w:cs="Times New Roman"/>
                <w:szCs w:val="24"/>
              </w:rPr>
              <w:t xml:space="preserve"> для оброблення </w:t>
            </w:r>
            <w:r w:rsidRPr="007D3C13">
              <w:rPr>
                <w:rFonts w:eastAsia="Calibri" w:cs="Times New Roman"/>
                <w:szCs w:val="24"/>
              </w:rPr>
              <w:t>відходів будівництва та знесення</w:t>
            </w:r>
          </w:p>
        </w:tc>
        <w:tc>
          <w:tcPr>
            <w:tcW w:w="2353" w:type="dxa"/>
            <w:shd w:val="clear" w:color="auto" w:fill="auto"/>
          </w:tcPr>
          <w:p w14:paraId="630360F5" w14:textId="77777777" w:rsidR="00991C8A" w:rsidRPr="007D3C13" w:rsidRDefault="00991C8A" w:rsidP="00D81F1B">
            <w:pPr>
              <w:spacing w:before="0" w:line="259" w:lineRule="auto"/>
              <w:rPr>
                <w:rFonts w:eastAsia="Calibri" w:cs="Times New Roman"/>
                <w:szCs w:val="24"/>
              </w:rPr>
            </w:pPr>
            <w:r w:rsidRPr="007D3C13">
              <w:rPr>
                <w:rFonts w:eastAsia="Calibri" w:cs="Times New Roman"/>
                <w:szCs w:val="24"/>
              </w:rPr>
              <w:t xml:space="preserve">одиниць, </w:t>
            </w:r>
          </w:p>
          <w:p w14:paraId="13AB7771" w14:textId="77777777" w:rsidR="00991C8A" w:rsidRPr="00C22C49" w:rsidRDefault="00991C8A" w:rsidP="00D81F1B">
            <w:pPr>
              <w:spacing w:before="0" w:line="259" w:lineRule="auto"/>
              <w:rPr>
                <w:rFonts w:eastAsia="Calibri" w:cs="Times New Roman"/>
                <w:szCs w:val="24"/>
              </w:rPr>
            </w:pPr>
            <w:r w:rsidRPr="007D3C13">
              <w:rPr>
                <w:rFonts w:eastAsia="Calibri" w:cs="Times New Roman"/>
                <w:szCs w:val="24"/>
              </w:rPr>
              <w:t>тис.т/ рік</w:t>
            </w:r>
          </w:p>
        </w:tc>
      </w:tr>
      <w:tr w:rsidR="00991C8A" w:rsidRPr="00C22C49" w14:paraId="37FC5F84" w14:textId="77777777" w:rsidTr="00681D30">
        <w:trPr>
          <w:trHeight w:val="170"/>
        </w:trPr>
        <w:tc>
          <w:tcPr>
            <w:tcW w:w="1009" w:type="dxa"/>
            <w:shd w:val="clear" w:color="auto" w:fill="B4C6E7"/>
          </w:tcPr>
          <w:p w14:paraId="2B1C04D9"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8783" w:type="dxa"/>
            <w:gridSpan w:val="3"/>
            <w:shd w:val="clear" w:color="auto" w:fill="B4C6E7"/>
          </w:tcPr>
          <w:p w14:paraId="6CF2C1A9" w14:textId="77777777" w:rsidR="00991C8A" w:rsidRPr="00C22C49" w:rsidRDefault="00991C8A" w:rsidP="00D81F1B">
            <w:pPr>
              <w:spacing w:before="0" w:line="259" w:lineRule="auto"/>
              <w:jc w:val="center"/>
              <w:rPr>
                <w:rFonts w:eastAsia="Times New Roman" w:cs="Times New Roman"/>
                <w:b/>
                <w:bCs/>
                <w:szCs w:val="24"/>
              </w:rPr>
            </w:pPr>
            <w:r w:rsidRPr="00C22C49">
              <w:rPr>
                <w:rFonts w:eastAsia="Times New Roman" w:cs="Times New Roman"/>
                <w:b/>
                <w:bCs/>
                <w:szCs w:val="24"/>
              </w:rPr>
              <w:t>Відходи сільського господарства</w:t>
            </w:r>
          </w:p>
        </w:tc>
      </w:tr>
      <w:tr w:rsidR="00991C8A" w:rsidRPr="00C22C49" w14:paraId="3A664AC1" w14:textId="77777777" w:rsidTr="00681D30">
        <w:trPr>
          <w:gridAfter w:val="1"/>
          <w:wAfter w:w="9" w:type="dxa"/>
          <w:trHeight w:val="170"/>
        </w:trPr>
        <w:tc>
          <w:tcPr>
            <w:tcW w:w="1009" w:type="dxa"/>
            <w:shd w:val="clear" w:color="auto" w:fill="auto"/>
          </w:tcPr>
          <w:p w14:paraId="67E90CD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29D7ACD" w14:textId="3E800B71"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утворених відходів сільського господарства</w:t>
            </w:r>
          </w:p>
        </w:tc>
        <w:tc>
          <w:tcPr>
            <w:tcW w:w="2353" w:type="dxa"/>
            <w:shd w:val="clear" w:color="auto" w:fill="auto"/>
          </w:tcPr>
          <w:p w14:paraId="1E7CF240"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r>
              <w:rPr>
                <w:rFonts w:eastAsia="Times New Roman" w:cs="Times New Roman"/>
                <w:szCs w:val="24"/>
              </w:rPr>
              <w:t>/рік</w:t>
            </w:r>
          </w:p>
        </w:tc>
      </w:tr>
      <w:tr w:rsidR="00991C8A" w:rsidRPr="00C22C49" w14:paraId="6DF3927F" w14:textId="77777777" w:rsidTr="00681D30">
        <w:trPr>
          <w:gridAfter w:val="1"/>
          <w:wAfter w:w="9" w:type="dxa"/>
          <w:trHeight w:val="170"/>
        </w:trPr>
        <w:tc>
          <w:tcPr>
            <w:tcW w:w="1009" w:type="dxa"/>
            <w:shd w:val="clear" w:color="auto" w:fill="auto"/>
          </w:tcPr>
          <w:p w14:paraId="014EAF3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2A4E0C5" w14:textId="5143CF15"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утворених відходів сільського господарства рослинного походження</w:t>
            </w:r>
          </w:p>
        </w:tc>
        <w:tc>
          <w:tcPr>
            <w:tcW w:w="2353" w:type="dxa"/>
            <w:shd w:val="clear" w:color="auto" w:fill="auto"/>
          </w:tcPr>
          <w:p w14:paraId="4A4FAED9"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r w:rsidRPr="00BA447B">
              <w:rPr>
                <w:rFonts w:eastAsia="Times New Roman" w:cs="Times New Roman"/>
                <w:szCs w:val="24"/>
              </w:rPr>
              <w:t>/рік</w:t>
            </w:r>
          </w:p>
        </w:tc>
      </w:tr>
      <w:tr w:rsidR="00991C8A" w:rsidRPr="00C22C49" w14:paraId="1E8FE750" w14:textId="77777777" w:rsidTr="00681D30">
        <w:trPr>
          <w:gridAfter w:val="1"/>
          <w:wAfter w:w="9" w:type="dxa"/>
          <w:trHeight w:val="170"/>
        </w:trPr>
        <w:tc>
          <w:tcPr>
            <w:tcW w:w="1009" w:type="dxa"/>
            <w:shd w:val="clear" w:color="auto" w:fill="auto"/>
          </w:tcPr>
          <w:p w14:paraId="3447FFE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931452B" w14:textId="316C3B16"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утворених відходів сільського господарства тваринного походження</w:t>
            </w:r>
          </w:p>
        </w:tc>
        <w:tc>
          <w:tcPr>
            <w:tcW w:w="2353" w:type="dxa"/>
            <w:shd w:val="clear" w:color="auto" w:fill="auto"/>
          </w:tcPr>
          <w:p w14:paraId="02374CF4"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r w:rsidRPr="00BA447B">
              <w:rPr>
                <w:rFonts w:eastAsia="Times New Roman" w:cs="Times New Roman"/>
                <w:szCs w:val="24"/>
              </w:rPr>
              <w:t>/рік</w:t>
            </w:r>
          </w:p>
        </w:tc>
      </w:tr>
      <w:tr w:rsidR="00991C8A" w:rsidRPr="00C22C49" w14:paraId="1478190D" w14:textId="77777777" w:rsidTr="00681D30">
        <w:trPr>
          <w:gridAfter w:val="1"/>
          <w:wAfter w:w="9" w:type="dxa"/>
          <w:trHeight w:val="170"/>
        </w:trPr>
        <w:tc>
          <w:tcPr>
            <w:tcW w:w="1009" w:type="dxa"/>
            <w:shd w:val="clear" w:color="auto" w:fill="auto"/>
          </w:tcPr>
          <w:p w14:paraId="11A9A42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340B76F0" w14:textId="20238865"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утворених відходів гною</w:t>
            </w:r>
          </w:p>
        </w:tc>
        <w:tc>
          <w:tcPr>
            <w:tcW w:w="2353" w:type="dxa"/>
            <w:shd w:val="clear" w:color="auto" w:fill="auto"/>
          </w:tcPr>
          <w:p w14:paraId="36DE97F3"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r w:rsidRPr="00BA447B">
              <w:rPr>
                <w:rFonts w:eastAsia="Times New Roman" w:cs="Times New Roman"/>
                <w:szCs w:val="24"/>
              </w:rPr>
              <w:t>/рік</w:t>
            </w:r>
          </w:p>
        </w:tc>
      </w:tr>
      <w:tr w:rsidR="00991C8A" w:rsidRPr="00C22C49" w14:paraId="54C6A34D" w14:textId="77777777" w:rsidTr="00681D30">
        <w:trPr>
          <w:gridAfter w:val="1"/>
          <w:wAfter w:w="9" w:type="dxa"/>
          <w:trHeight w:val="170"/>
        </w:trPr>
        <w:tc>
          <w:tcPr>
            <w:tcW w:w="1009" w:type="dxa"/>
            <w:shd w:val="clear" w:color="auto" w:fill="auto"/>
          </w:tcPr>
          <w:p w14:paraId="5E65BE0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038A04A" w14:textId="0E345686"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утворених відходів агрохімічних відходів</w:t>
            </w:r>
          </w:p>
        </w:tc>
        <w:tc>
          <w:tcPr>
            <w:tcW w:w="2353" w:type="dxa"/>
            <w:shd w:val="clear" w:color="auto" w:fill="auto"/>
          </w:tcPr>
          <w:p w14:paraId="1769E6C4"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r w:rsidRPr="00BA447B">
              <w:rPr>
                <w:rFonts w:eastAsia="Times New Roman" w:cs="Times New Roman"/>
                <w:szCs w:val="24"/>
              </w:rPr>
              <w:t>/рік</w:t>
            </w:r>
          </w:p>
        </w:tc>
      </w:tr>
      <w:tr w:rsidR="00991C8A" w:rsidRPr="00C22C49" w14:paraId="59DB9E05" w14:textId="77777777" w:rsidTr="00681D30">
        <w:trPr>
          <w:gridAfter w:val="1"/>
          <w:wAfter w:w="9" w:type="dxa"/>
          <w:trHeight w:val="170"/>
        </w:trPr>
        <w:tc>
          <w:tcPr>
            <w:tcW w:w="1009" w:type="dxa"/>
            <w:shd w:val="clear" w:color="auto" w:fill="auto"/>
          </w:tcPr>
          <w:p w14:paraId="6373AEB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6802D4E2" w14:textId="08E7FF44"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відновлених відходів</w:t>
            </w:r>
            <w:r w:rsidR="00991C8A" w:rsidRPr="00C22C49">
              <w:rPr>
                <w:rFonts w:ascii="Calibri" w:eastAsia="Calibri" w:hAnsi="Calibri" w:cs="Times New Roman"/>
                <w:sz w:val="22"/>
                <w:szCs w:val="22"/>
              </w:rPr>
              <w:t xml:space="preserve"> </w:t>
            </w:r>
            <w:r w:rsidR="00991C8A" w:rsidRPr="00C22C49">
              <w:rPr>
                <w:rFonts w:eastAsia="Calibri" w:cs="Times New Roman"/>
                <w:szCs w:val="24"/>
              </w:rPr>
              <w:t>сільського господарства рослинного походження</w:t>
            </w:r>
          </w:p>
        </w:tc>
        <w:tc>
          <w:tcPr>
            <w:tcW w:w="2353" w:type="dxa"/>
            <w:shd w:val="clear" w:color="auto" w:fill="auto"/>
          </w:tcPr>
          <w:p w14:paraId="4FADCE99"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p>
        </w:tc>
      </w:tr>
      <w:tr w:rsidR="00991C8A" w:rsidRPr="00C22C49" w14:paraId="117D02D3" w14:textId="77777777" w:rsidTr="00681D30">
        <w:trPr>
          <w:gridAfter w:val="1"/>
          <w:wAfter w:w="9" w:type="dxa"/>
          <w:trHeight w:val="170"/>
        </w:trPr>
        <w:tc>
          <w:tcPr>
            <w:tcW w:w="1009" w:type="dxa"/>
            <w:shd w:val="clear" w:color="auto" w:fill="auto"/>
          </w:tcPr>
          <w:p w14:paraId="594A08D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84331CD" w14:textId="47388A1A"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видалених відходів сільського господарства рослинного походження</w:t>
            </w:r>
          </w:p>
        </w:tc>
        <w:tc>
          <w:tcPr>
            <w:tcW w:w="2353" w:type="dxa"/>
            <w:shd w:val="clear" w:color="auto" w:fill="auto"/>
          </w:tcPr>
          <w:p w14:paraId="14DA3056"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4F6F13BA" w14:textId="77777777" w:rsidTr="00681D30">
        <w:trPr>
          <w:gridAfter w:val="1"/>
          <w:wAfter w:w="9" w:type="dxa"/>
          <w:trHeight w:val="170"/>
        </w:trPr>
        <w:tc>
          <w:tcPr>
            <w:tcW w:w="1009" w:type="dxa"/>
            <w:shd w:val="clear" w:color="auto" w:fill="auto"/>
          </w:tcPr>
          <w:p w14:paraId="03E2193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3EF2908" w14:textId="5F16DC56"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відновлених відходів сільського господарства тваринного походження</w:t>
            </w:r>
          </w:p>
        </w:tc>
        <w:tc>
          <w:tcPr>
            <w:tcW w:w="2353" w:type="dxa"/>
            <w:shd w:val="clear" w:color="auto" w:fill="auto"/>
          </w:tcPr>
          <w:p w14:paraId="5905D2A6"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16737088" w14:textId="77777777" w:rsidTr="00681D30">
        <w:trPr>
          <w:gridAfter w:val="1"/>
          <w:wAfter w:w="9" w:type="dxa"/>
          <w:trHeight w:val="170"/>
        </w:trPr>
        <w:tc>
          <w:tcPr>
            <w:tcW w:w="1009" w:type="dxa"/>
            <w:shd w:val="clear" w:color="auto" w:fill="auto"/>
          </w:tcPr>
          <w:p w14:paraId="7354B63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3DF2830" w14:textId="0B0FC7BB"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видалених</w:t>
            </w:r>
            <w:r w:rsidR="00991C8A" w:rsidRPr="00C22C49">
              <w:rPr>
                <w:rFonts w:ascii="Calibri" w:eastAsia="Calibri" w:hAnsi="Calibri" w:cs="Times New Roman"/>
                <w:sz w:val="22"/>
                <w:szCs w:val="22"/>
              </w:rPr>
              <w:t xml:space="preserve"> </w:t>
            </w:r>
            <w:r w:rsidR="00991C8A" w:rsidRPr="00C22C49">
              <w:rPr>
                <w:rFonts w:eastAsia="Calibri" w:cs="Times New Roman"/>
                <w:szCs w:val="24"/>
              </w:rPr>
              <w:t>відходів сільського господарства тваринного походження</w:t>
            </w:r>
          </w:p>
        </w:tc>
        <w:tc>
          <w:tcPr>
            <w:tcW w:w="2353" w:type="dxa"/>
            <w:shd w:val="clear" w:color="auto" w:fill="auto"/>
          </w:tcPr>
          <w:p w14:paraId="73156292"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0E19908D" w14:textId="77777777" w:rsidTr="00681D30">
        <w:trPr>
          <w:gridAfter w:val="1"/>
          <w:wAfter w:w="9" w:type="dxa"/>
          <w:trHeight w:val="170"/>
        </w:trPr>
        <w:tc>
          <w:tcPr>
            <w:tcW w:w="1009" w:type="dxa"/>
            <w:shd w:val="clear" w:color="auto" w:fill="auto"/>
          </w:tcPr>
          <w:p w14:paraId="65B0BDB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869F030" w14:textId="776E0767" w:rsidR="00991C8A" w:rsidRPr="00C22C49" w:rsidRDefault="008D7A0F" w:rsidP="00D81F1B">
            <w:pPr>
              <w:spacing w:before="0" w:line="259" w:lineRule="auto"/>
              <w:rPr>
                <w:rFonts w:eastAsia="Calibri" w:cs="Times New Roman"/>
                <w:szCs w:val="24"/>
              </w:rPr>
            </w:pPr>
            <w:r w:rsidRPr="008D7A0F">
              <w:rPr>
                <w:rFonts w:eastAsia="Times New Roman" w:cs="Times New Roman"/>
                <w:szCs w:val="24"/>
              </w:rPr>
              <w:t>Обсяг</w:t>
            </w:r>
            <w:r w:rsidR="00991C8A" w:rsidRPr="00C22C49">
              <w:rPr>
                <w:rFonts w:eastAsia="Times New Roman" w:cs="Times New Roman"/>
                <w:szCs w:val="24"/>
              </w:rPr>
              <w:t xml:space="preserve"> відходів гною, використаних як поліпшувач ґрунту</w:t>
            </w:r>
          </w:p>
        </w:tc>
        <w:tc>
          <w:tcPr>
            <w:tcW w:w="2353" w:type="dxa"/>
            <w:shd w:val="clear" w:color="auto" w:fill="auto"/>
          </w:tcPr>
          <w:p w14:paraId="233046D1" w14:textId="77777777" w:rsidR="00991C8A" w:rsidRPr="00C22C49" w:rsidRDefault="00991C8A" w:rsidP="00D81F1B">
            <w:pPr>
              <w:spacing w:before="0" w:line="259" w:lineRule="auto"/>
              <w:rPr>
                <w:rFonts w:eastAsia="Calibri" w:cs="Times New Roman"/>
                <w:szCs w:val="24"/>
              </w:rPr>
            </w:pPr>
            <w:r w:rsidRPr="002A636C">
              <w:rPr>
                <w:rFonts w:eastAsia="Times New Roman" w:cs="Times New Roman"/>
                <w:szCs w:val="24"/>
              </w:rPr>
              <w:t>тис.т</w:t>
            </w:r>
          </w:p>
        </w:tc>
      </w:tr>
      <w:tr w:rsidR="00991C8A" w:rsidRPr="00C22C49" w14:paraId="3B513954" w14:textId="77777777" w:rsidTr="00681D30">
        <w:trPr>
          <w:gridAfter w:val="1"/>
          <w:wAfter w:w="9" w:type="dxa"/>
          <w:trHeight w:val="170"/>
        </w:trPr>
        <w:tc>
          <w:tcPr>
            <w:tcW w:w="1009" w:type="dxa"/>
            <w:shd w:val="clear" w:color="auto" w:fill="auto"/>
          </w:tcPr>
          <w:p w14:paraId="05CB35C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5FDB1B36" w14:textId="531EFCA4"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EB3975">
              <w:rPr>
                <w:rFonts w:eastAsia="Times New Roman" w:cs="Times New Roman"/>
                <w:szCs w:val="24"/>
              </w:rPr>
              <w:t xml:space="preserve"> відходів гною,</w:t>
            </w:r>
            <w:r w:rsidR="00991C8A">
              <w:t xml:space="preserve"> </w:t>
            </w:r>
            <w:r w:rsidR="00991C8A">
              <w:rPr>
                <w:rFonts w:eastAsia="Times New Roman" w:cs="Times New Roman"/>
                <w:szCs w:val="24"/>
              </w:rPr>
              <w:t>щодо яких здійснено операції</w:t>
            </w:r>
            <w:r w:rsidR="00991C8A" w:rsidRPr="007A555D">
              <w:rPr>
                <w:rFonts w:eastAsia="Times New Roman" w:cs="Times New Roman"/>
                <w:szCs w:val="24"/>
              </w:rPr>
              <w:t xml:space="preserve"> компостування та анаеробного розкладення</w:t>
            </w:r>
          </w:p>
        </w:tc>
        <w:tc>
          <w:tcPr>
            <w:tcW w:w="2353" w:type="dxa"/>
            <w:shd w:val="clear" w:color="auto" w:fill="auto"/>
          </w:tcPr>
          <w:p w14:paraId="73AFD37C" w14:textId="77777777" w:rsidR="00991C8A" w:rsidRPr="002A636C" w:rsidRDefault="00991C8A" w:rsidP="00D81F1B">
            <w:pPr>
              <w:spacing w:before="0" w:line="259" w:lineRule="auto"/>
              <w:rPr>
                <w:rFonts w:eastAsia="Times New Roman" w:cs="Times New Roman"/>
                <w:szCs w:val="24"/>
              </w:rPr>
            </w:pPr>
            <w:r w:rsidRPr="00DA5758">
              <w:rPr>
                <w:rFonts w:eastAsia="Times New Roman" w:cs="Times New Roman"/>
                <w:szCs w:val="24"/>
              </w:rPr>
              <w:t>тис.т</w:t>
            </w:r>
          </w:p>
        </w:tc>
      </w:tr>
      <w:tr w:rsidR="00991C8A" w:rsidRPr="00C22C49" w14:paraId="62636F8E" w14:textId="77777777" w:rsidTr="00681D30">
        <w:trPr>
          <w:gridAfter w:val="1"/>
          <w:wAfter w:w="9" w:type="dxa"/>
          <w:trHeight w:val="170"/>
        </w:trPr>
        <w:tc>
          <w:tcPr>
            <w:tcW w:w="1009" w:type="dxa"/>
            <w:shd w:val="clear" w:color="auto" w:fill="auto"/>
          </w:tcPr>
          <w:p w14:paraId="361119F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91DF963" w14:textId="66CF1417" w:rsidR="00991C8A" w:rsidRPr="00EB3975"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352D18">
              <w:rPr>
                <w:rFonts w:eastAsia="Times New Roman" w:cs="Times New Roman"/>
                <w:szCs w:val="24"/>
              </w:rPr>
              <w:t xml:space="preserve"> відходів сільського господарства</w:t>
            </w:r>
            <w:r w:rsidR="00991C8A">
              <w:t xml:space="preserve"> </w:t>
            </w:r>
            <w:r w:rsidR="00991C8A" w:rsidRPr="00352D18">
              <w:rPr>
                <w:rFonts w:eastAsia="Times New Roman" w:cs="Times New Roman"/>
                <w:szCs w:val="24"/>
              </w:rPr>
              <w:t>щодо яких здійснено операції</w:t>
            </w:r>
            <w:r w:rsidR="00991C8A">
              <w:rPr>
                <w:rFonts w:eastAsia="Times New Roman" w:cs="Times New Roman"/>
                <w:szCs w:val="24"/>
              </w:rPr>
              <w:t xml:space="preserve"> з відновлення</w:t>
            </w:r>
          </w:p>
        </w:tc>
        <w:tc>
          <w:tcPr>
            <w:tcW w:w="2353" w:type="dxa"/>
            <w:shd w:val="clear" w:color="auto" w:fill="auto"/>
          </w:tcPr>
          <w:p w14:paraId="1DF530F2" w14:textId="77777777" w:rsidR="00991C8A" w:rsidRPr="00DA5758" w:rsidRDefault="00991C8A" w:rsidP="00D81F1B">
            <w:pPr>
              <w:spacing w:before="0" w:line="259" w:lineRule="auto"/>
              <w:rPr>
                <w:rFonts w:eastAsia="Times New Roman" w:cs="Times New Roman"/>
                <w:szCs w:val="24"/>
              </w:rPr>
            </w:pPr>
            <w:r w:rsidRPr="00352D18">
              <w:rPr>
                <w:rFonts w:eastAsia="Times New Roman" w:cs="Times New Roman"/>
                <w:szCs w:val="24"/>
              </w:rPr>
              <w:t>тис.т</w:t>
            </w:r>
            <w:r>
              <w:rPr>
                <w:rFonts w:eastAsia="Times New Roman" w:cs="Times New Roman"/>
                <w:szCs w:val="24"/>
              </w:rPr>
              <w:t>/рік</w:t>
            </w:r>
          </w:p>
        </w:tc>
      </w:tr>
      <w:tr w:rsidR="00991C8A" w:rsidRPr="00C22C49" w14:paraId="4310A68F" w14:textId="77777777" w:rsidTr="00681D30">
        <w:trPr>
          <w:gridAfter w:val="1"/>
          <w:wAfter w:w="9" w:type="dxa"/>
          <w:trHeight w:val="170"/>
        </w:trPr>
        <w:tc>
          <w:tcPr>
            <w:tcW w:w="1009" w:type="dxa"/>
            <w:shd w:val="clear" w:color="auto" w:fill="auto"/>
          </w:tcPr>
          <w:p w14:paraId="1BBB8AE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4CCA47A" w14:textId="3142A181" w:rsidR="00991C8A" w:rsidRPr="00352D18"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352D18">
              <w:rPr>
                <w:rFonts w:eastAsia="Times New Roman" w:cs="Times New Roman"/>
                <w:szCs w:val="24"/>
              </w:rPr>
              <w:t xml:space="preserve"> відходів сільського господарства щодо яких здійснено операції з </w:t>
            </w:r>
            <w:r w:rsidR="00991C8A">
              <w:rPr>
                <w:rFonts w:eastAsia="Times New Roman" w:cs="Times New Roman"/>
                <w:szCs w:val="24"/>
              </w:rPr>
              <w:t>видалення</w:t>
            </w:r>
          </w:p>
        </w:tc>
        <w:tc>
          <w:tcPr>
            <w:tcW w:w="2353" w:type="dxa"/>
            <w:shd w:val="clear" w:color="auto" w:fill="auto"/>
          </w:tcPr>
          <w:p w14:paraId="39CE86A8" w14:textId="77777777" w:rsidR="00991C8A" w:rsidRPr="00DA5758" w:rsidRDefault="00991C8A" w:rsidP="00D81F1B">
            <w:pPr>
              <w:spacing w:before="0" w:line="259" w:lineRule="auto"/>
              <w:rPr>
                <w:rFonts w:eastAsia="Times New Roman" w:cs="Times New Roman"/>
                <w:szCs w:val="24"/>
              </w:rPr>
            </w:pPr>
            <w:r w:rsidRPr="00352D18">
              <w:rPr>
                <w:rFonts w:eastAsia="Times New Roman" w:cs="Times New Roman"/>
                <w:szCs w:val="24"/>
              </w:rPr>
              <w:t>тис.т</w:t>
            </w:r>
            <w:r>
              <w:rPr>
                <w:rFonts w:eastAsia="Times New Roman" w:cs="Times New Roman"/>
                <w:szCs w:val="24"/>
              </w:rPr>
              <w:t>/рік</w:t>
            </w:r>
          </w:p>
        </w:tc>
      </w:tr>
      <w:tr w:rsidR="00991C8A" w:rsidRPr="00C22C49" w14:paraId="1B22C206" w14:textId="77777777" w:rsidTr="00681D30">
        <w:trPr>
          <w:gridAfter w:val="1"/>
          <w:wAfter w:w="9" w:type="dxa"/>
          <w:trHeight w:val="170"/>
        </w:trPr>
        <w:tc>
          <w:tcPr>
            <w:tcW w:w="1009" w:type="dxa"/>
            <w:shd w:val="clear" w:color="auto" w:fill="auto"/>
          </w:tcPr>
          <w:p w14:paraId="70D2996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5A5331D9" w14:textId="77777777" w:rsidR="00991C8A" w:rsidRPr="00EB3975" w:rsidRDefault="00991C8A" w:rsidP="00D81F1B">
            <w:pPr>
              <w:spacing w:before="0" w:line="259" w:lineRule="auto"/>
              <w:rPr>
                <w:rFonts w:eastAsia="Times New Roman" w:cs="Times New Roman"/>
                <w:szCs w:val="24"/>
              </w:rPr>
            </w:pPr>
            <w:r w:rsidRPr="00DA5758">
              <w:rPr>
                <w:rFonts w:eastAsia="Times New Roman" w:cs="Times New Roman"/>
                <w:szCs w:val="24"/>
              </w:rPr>
              <w:t>Кількість непридатних для використання агрохімічних відходів, що перебувають на зберіганні</w:t>
            </w:r>
          </w:p>
        </w:tc>
        <w:tc>
          <w:tcPr>
            <w:tcW w:w="2353" w:type="dxa"/>
            <w:shd w:val="clear" w:color="auto" w:fill="auto"/>
          </w:tcPr>
          <w:p w14:paraId="44AC2561" w14:textId="77777777" w:rsidR="00991C8A" w:rsidRPr="002A636C" w:rsidRDefault="00991C8A" w:rsidP="00D81F1B">
            <w:pPr>
              <w:spacing w:before="0" w:line="259" w:lineRule="auto"/>
              <w:rPr>
                <w:rFonts w:eastAsia="Times New Roman" w:cs="Times New Roman"/>
                <w:szCs w:val="24"/>
              </w:rPr>
            </w:pPr>
            <w:r w:rsidRPr="00BA447B">
              <w:rPr>
                <w:rFonts w:eastAsia="Times New Roman" w:cs="Times New Roman"/>
                <w:szCs w:val="24"/>
              </w:rPr>
              <w:t>тис.т</w:t>
            </w:r>
          </w:p>
        </w:tc>
      </w:tr>
      <w:tr w:rsidR="00991C8A" w:rsidRPr="009841B9" w14:paraId="7A2CBF18" w14:textId="77777777" w:rsidTr="00681D30">
        <w:trPr>
          <w:gridAfter w:val="1"/>
          <w:wAfter w:w="9" w:type="dxa"/>
          <w:trHeight w:val="170"/>
        </w:trPr>
        <w:tc>
          <w:tcPr>
            <w:tcW w:w="1009" w:type="dxa"/>
            <w:shd w:val="clear" w:color="auto" w:fill="auto"/>
          </w:tcPr>
          <w:p w14:paraId="1F7A141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296224EE"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Кількість агрохімічних відходів щодо яких здійснено операції з видалення</w:t>
            </w:r>
          </w:p>
        </w:tc>
        <w:tc>
          <w:tcPr>
            <w:tcW w:w="2353" w:type="dxa"/>
            <w:shd w:val="clear" w:color="auto" w:fill="auto"/>
          </w:tcPr>
          <w:p w14:paraId="352F7F20" w14:textId="77777777" w:rsidR="00991C8A" w:rsidRPr="00C22C49" w:rsidRDefault="00991C8A" w:rsidP="00D81F1B">
            <w:pPr>
              <w:spacing w:before="0" w:line="259" w:lineRule="auto"/>
              <w:rPr>
                <w:rFonts w:eastAsia="Times New Roman" w:cs="Times New Roman"/>
                <w:szCs w:val="24"/>
              </w:rPr>
            </w:pPr>
            <w:r w:rsidRPr="00BA447B">
              <w:rPr>
                <w:rFonts w:eastAsia="Times New Roman" w:cs="Times New Roman"/>
                <w:szCs w:val="24"/>
              </w:rPr>
              <w:t>тис.т</w:t>
            </w:r>
          </w:p>
        </w:tc>
      </w:tr>
      <w:tr w:rsidR="00991C8A" w:rsidRPr="009841B9" w14:paraId="07A9199F" w14:textId="77777777" w:rsidTr="00681D30">
        <w:trPr>
          <w:gridAfter w:val="1"/>
          <w:wAfter w:w="9" w:type="dxa"/>
          <w:trHeight w:val="170"/>
        </w:trPr>
        <w:tc>
          <w:tcPr>
            <w:tcW w:w="1009" w:type="dxa"/>
            <w:shd w:val="clear" w:color="auto" w:fill="auto"/>
          </w:tcPr>
          <w:p w14:paraId="21ABFF1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5E65190C" w14:textId="77777777" w:rsidR="00991C8A" w:rsidRPr="00C22C49" w:rsidRDefault="00991C8A" w:rsidP="00D81F1B">
            <w:pPr>
              <w:spacing w:before="0" w:line="259" w:lineRule="auto"/>
              <w:rPr>
                <w:rFonts w:eastAsia="Times New Roman" w:cs="Times New Roman"/>
                <w:szCs w:val="24"/>
              </w:rPr>
            </w:pPr>
            <w:r w:rsidRPr="00B4638D">
              <w:rPr>
                <w:rFonts w:eastAsia="Times New Roman" w:cs="Times New Roman"/>
                <w:szCs w:val="24"/>
              </w:rPr>
              <w:t>Кількість та потужність підприємств з анаеробного розкладення, які використовують біомасу</w:t>
            </w:r>
          </w:p>
        </w:tc>
        <w:tc>
          <w:tcPr>
            <w:tcW w:w="2353" w:type="dxa"/>
            <w:shd w:val="clear" w:color="auto" w:fill="auto"/>
          </w:tcPr>
          <w:p w14:paraId="677ED472" w14:textId="77777777" w:rsidR="00991C8A" w:rsidRPr="00C22C49" w:rsidRDefault="00991C8A" w:rsidP="00D81F1B">
            <w:pPr>
              <w:spacing w:before="0" w:line="259" w:lineRule="auto"/>
              <w:rPr>
                <w:rFonts w:eastAsia="Times New Roman" w:cs="Times New Roman"/>
                <w:szCs w:val="24"/>
              </w:rPr>
            </w:pPr>
            <w:r w:rsidRPr="00B4638D">
              <w:rPr>
                <w:rFonts w:eastAsia="Times New Roman" w:cs="Times New Roman"/>
                <w:szCs w:val="24"/>
              </w:rPr>
              <w:t xml:space="preserve">одиниць, </w:t>
            </w:r>
            <w:r>
              <w:rPr>
                <w:rFonts w:eastAsia="Times New Roman" w:cs="Times New Roman"/>
                <w:szCs w:val="24"/>
              </w:rPr>
              <w:br/>
              <w:t>тис.т/</w:t>
            </w:r>
            <w:r w:rsidRPr="00B4638D">
              <w:rPr>
                <w:rFonts w:eastAsia="Times New Roman" w:cs="Times New Roman"/>
                <w:szCs w:val="24"/>
              </w:rPr>
              <w:t xml:space="preserve"> рік</w:t>
            </w:r>
          </w:p>
        </w:tc>
      </w:tr>
      <w:tr w:rsidR="00991C8A" w:rsidRPr="009841B9" w14:paraId="3D73AA90" w14:textId="77777777" w:rsidTr="00681D30">
        <w:trPr>
          <w:gridAfter w:val="1"/>
          <w:wAfter w:w="9" w:type="dxa"/>
          <w:trHeight w:val="170"/>
        </w:trPr>
        <w:tc>
          <w:tcPr>
            <w:tcW w:w="1009" w:type="dxa"/>
            <w:shd w:val="clear" w:color="auto" w:fill="auto"/>
          </w:tcPr>
          <w:p w14:paraId="7D48941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64654FED" w14:textId="77777777" w:rsidR="00991C8A" w:rsidRPr="00B4638D" w:rsidRDefault="00991C8A" w:rsidP="00D81F1B">
            <w:pPr>
              <w:spacing w:before="0" w:line="259" w:lineRule="auto"/>
              <w:rPr>
                <w:rFonts w:eastAsia="Times New Roman" w:cs="Times New Roman"/>
                <w:szCs w:val="24"/>
              </w:rPr>
            </w:pPr>
            <w:r w:rsidRPr="00551FC7">
              <w:rPr>
                <w:rFonts w:eastAsia="Times New Roman" w:cs="Times New Roman"/>
                <w:szCs w:val="24"/>
              </w:rPr>
              <w:t>Кількість та потужність комбінованих теплоелектроцентралей, що використовують біомасу</w:t>
            </w:r>
          </w:p>
        </w:tc>
        <w:tc>
          <w:tcPr>
            <w:tcW w:w="2353" w:type="dxa"/>
            <w:shd w:val="clear" w:color="auto" w:fill="auto"/>
          </w:tcPr>
          <w:p w14:paraId="1DB82BC3" w14:textId="77777777" w:rsidR="00991C8A" w:rsidRPr="00B4638D" w:rsidRDefault="00991C8A" w:rsidP="00D81F1B">
            <w:pPr>
              <w:spacing w:before="0" w:line="259" w:lineRule="auto"/>
              <w:rPr>
                <w:rFonts w:eastAsia="Times New Roman" w:cs="Times New Roman"/>
                <w:szCs w:val="24"/>
              </w:rPr>
            </w:pPr>
            <w:r w:rsidRPr="00B4638D">
              <w:rPr>
                <w:rFonts w:eastAsia="Times New Roman" w:cs="Times New Roman"/>
                <w:szCs w:val="24"/>
              </w:rPr>
              <w:t xml:space="preserve">одиниць, </w:t>
            </w:r>
            <w:r>
              <w:rPr>
                <w:rFonts w:eastAsia="Times New Roman" w:cs="Times New Roman"/>
                <w:szCs w:val="24"/>
              </w:rPr>
              <w:br/>
              <w:t>тис.т/</w:t>
            </w:r>
            <w:r w:rsidRPr="00B4638D">
              <w:rPr>
                <w:rFonts w:eastAsia="Times New Roman" w:cs="Times New Roman"/>
                <w:szCs w:val="24"/>
              </w:rPr>
              <w:t xml:space="preserve"> рік</w:t>
            </w:r>
          </w:p>
        </w:tc>
      </w:tr>
      <w:tr w:rsidR="00991C8A" w:rsidRPr="009841B9" w14:paraId="4C4466FA" w14:textId="77777777" w:rsidTr="00681D30">
        <w:trPr>
          <w:gridAfter w:val="1"/>
          <w:wAfter w:w="9" w:type="dxa"/>
          <w:trHeight w:val="170"/>
        </w:trPr>
        <w:tc>
          <w:tcPr>
            <w:tcW w:w="1009" w:type="dxa"/>
            <w:shd w:val="clear" w:color="auto" w:fill="auto"/>
          </w:tcPr>
          <w:p w14:paraId="19631E2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0A8938E2" w14:textId="77777777" w:rsidR="00991C8A" w:rsidRPr="00551FC7" w:rsidRDefault="00991C8A" w:rsidP="00D81F1B">
            <w:pPr>
              <w:spacing w:before="0" w:line="259" w:lineRule="auto"/>
              <w:rPr>
                <w:rFonts w:eastAsia="Times New Roman" w:cs="Times New Roman"/>
                <w:szCs w:val="24"/>
              </w:rPr>
            </w:pPr>
            <w:r w:rsidRPr="003E32F9">
              <w:rPr>
                <w:rFonts w:eastAsia="Times New Roman" w:cs="Times New Roman"/>
                <w:szCs w:val="24"/>
              </w:rPr>
              <w:t>Кількість та потужність підприємств з витоплювання жирів (рендерінгу) з відходів тваринництва</w:t>
            </w:r>
          </w:p>
        </w:tc>
        <w:tc>
          <w:tcPr>
            <w:tcW w:w="2353" w:type="dxa"/>
            <w:shd w:val="clear" w:color="auto" w:fill="auto"/>
          </w:tcPr>
          <w:p w14:paraId="4D57E0BC" w14:textId="77777777" w:rsidR="00991C8A" w:rsidRPr="00FE6AF8" w:rsidRDefault="00991C8A" w:rsidP="00D81F1B">
            <w:pPr>
              <w:spacing w:before="0" w:line="259" w:lineRule="auto"/>
              <w:rPr>
                <w:rFonts w:eastAsia="Times New Roman" w:cs="Times New Roman"/>
                <w:szCs w:val="24"/>
              </w:rPr>
            </w:pPr>
            <w:r w:rsidRPr="00FE6AF8">
              <w:rPr>
                <w:rFonts w:eastAsia="Times New Roman" w:cs="Times New Roman"/>
                <w:szCs w:val="24"/>
              </w:rPr>
              <w:t xml:space="preserve">одиниць, </w:t>
            </w:r>
          </w:p>
          <w:p w14:paraId="3F5573B3" w14:textId="77777777" w:rsidR="00991C8A" w:rsidRPr="00B4638D" w:rsidRDefault="00991C8A" w:rsidP="00D81F1B">
            <w:pPr>
              <w:spacing w:before="0" w:line="259" w:lineRule="auto"/>
              <w:rPr>
                <w:rFonts w:eastAsia="Times New Roman" w:cs="Times New Roman"/>
                <w:szCs w:val="24"/>
              </w:rPr>
            </w:pPr>
            <w:r w:rsidRPr="00FE6AF8">
              <w:rPr>
                <w:rFonts w:eastAsia="Times New Roman" w:cs="Times New Roman"/>
                <w:szCs w:val="24"/>
              </w:rPr>
              <w:t>тис.т/ рік</w:t>
            </w:r>
          </w:p>
        </w:tc>
      </w:tr>
      <w:tr w:rsidR="00991C8A" w:rsidRPr="009841B9" w14:paraId="264A9775" w14:textId="77777777" w:rsidTr="00681D30">
        <w:trPr>
          <w:gridAfter w:val="1"/>
          <w:wAfter w:w="9" w:type="dxa"/>
          <w:trHeight w:val="170"/>
        </w:trPr>
        <w:tc>
          <w:tcPr>
            <w:tcW w:w="1009" w:type="dxa"/>
            <w:shd w:val="clear" w:color="auto" w:fill="auto"/>
          </w:tcPr>
          <w:p w14:paraId="772F739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27146FB" w14:textId="77777777" w:rsidR="00991C8A" w:rsidRPr="003E32F9" w:rsidRDefault="00991C8A" w:rsidP="00D81F1B">
            <w:pPr>
              <w:spacing w:before="0" w:line="259" w:lineRule="auto"/>
              <w:rPr>
                <w:rFonts w:eastAsia="Times New Roman" w:cs="Times New Roman"/>
                <w:szCs w:val="24"/>
              </w:rPr>
            </w:pPr>
            <w:r w:rsidRPr="00FE6AF8">
              <w:rPr>
                <w:rFonts w:eastAsia="Times New Roman" w:cs="Times New Roman"/>
                <w:szCs w:val="24"/>
              </w:rPr>
              <w:t xml:space="preserve">Кількість та потужність підприємств для виробництва компосту з відходів </w:t>
            </w:r>
            <w:r>
              <w:rPr>
                <w:rFonts w:eastAsia="Times New Roman" w:cs="Times New Roman"/>
                <w:szCs w:val="24"/>
              </w:rPr>
              <w:t>рослинного</w:t>
            </w:r>
            <w:r w:rsidRPr="00FE6AF8">
              <w:rPr>
                <w:rFonts w:eastAsia="Times New Roman" w:cs="Times New Roman"/>
                <w:szCs w:val="24"/>
              </w:rPr>
              <w:t xml:space="preserve"> походження</w:t>
            </w:r>
          </w:p>
        </w:tc>
        <w:tc>
          <w:tcPr>
            <w:tcW w:w="2353" w:type="dxa"/>
            <w:shd w:val="clear" w:color="auto" w:fill="auto"/>
          </w:tcPr>
          <w:p w14:paraId="7EBD0C22" w14:textId="77777777" w:rsidR="00991C8A" w:rsidRPr="00FE6AF8" w:rsidRDefault="00991C8A" w:rsidP="00D81F1B">
            <w:pPr>
              <w:spacing w:before="0" w:line="259" w:lineRule="auto"/>
              <w:rPr>
                <w:rFonts w:eastAsia="Times New Roman" w:cs="Times New Roman"/>
                <w:szCs w:val="24"/>
              </w:rPr>
            </w:pPr>
            <w:r w:rsidRPr="00FE6AF8">
              <w:rPr>
                <w:rFonts w:eastAsia="Times New Roman" w:cs="Times New Roman"/>
                <w:szCs w:val="24"/>
              </w:rPr>
              <w:t xml:space="preserve">одиниць, </w:t>
            </w:r>
          </w:p>
          <w:p w14:paraId="3587656B" w14:textId="77777777" w:rsidR="00991C8A" w:rsidRPr="00B4638D" w:rsidRDefault="00991C8A" w:rsidP="00D81F1B">
            <w:pPr>
              <w:spacing w:before="0" w:line="259" w:lineRule="auto"/>
              <w:rPr>
                <w:rFonts w:eastAsia="Times New Roman" w:cs="Times New Roman"/>
                <w:szCs w:val="24"/>
              </w:rPr>
            </w:pPr>
            <w:r w:rsidRPr="00FE6AF8">
              <w:rPr>
                <w:rFonts w:eastAsia="Times New Roman" w:cs="Times New Roman"/>
                <w:szCs w:val="24"/>
              </w:rPr>
              <w:t>тис.т/ рік</w:t>
            </w:r>
          </w:p>
        </w:tc>
      </w:tr>
      <w:tr w:rsidR="00991C8A" w:rsidRPr="009841B9" w14:paraId="548D6DD1" w14:textId="77777777" w:rsidTr="00681D30">
        <w:trPr>
          <w:gridAfter w:val="1"/>
          <w:wAfter w:w="9" w:type="dxa"/>
          <w:trHeight w:val="170"/>
        </w:trPr>
        <w:tc>
          <w:tcPr>
            <w:tcW w:w="1009" w:type="dxa"/>
            <w:shd w:val="clear" w:color="auto" w:fill="auto"/>
          </w:tcPr>
          <w:p w14:paraId="16A1385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41FA934E" w14:textId="77777777" w:rsidR="00991C8A" w:rsidRPr="003E32F9" w:rsidRDefault="00991C8A" w:rsidP="00D81F1B">
            <w:pPr>
              <w:spacing w:before="0" w:line="259" w:lineRule="auto"/>
              <w:rPr>
                <w:rFonts w:eastAsia="Times New Roman" w:cs="Times New Roman"/>
                <w:szCs w:val="24"/>
              </w:rPr>
            </w:pPr>
            <w:r w:rsidRPr="00FE6AF8">
              <w:rPr>
                <w:rFonts w:eastAsia="Times New Roman" w:cs="Times New Roman"/>
                <w:szCs w:val="24"/>
              </w:rPr>
              <w:t>Кількість мобільних установок для спалювання відходів тваринного походження у надзвичайних ситуаціях</w:t>
            </w:r>
          </w:p>
        </w:tc>
        <w:tc>
          <w:tcPr>
            <w:tcW w:w="2353" w:type="dxa"/>
            <w:shd w:val="clear" w:color="auto" w:fill="auto"/>
          </w:tcPr>
          <w:p w14:paraId="44F1F84B" w14:textId="77777777" w:rsidR="00991C8A" w:rsidRPr="00FE6AF8" w:rsidRDefault="00991C8A" w:rsidP="00D81F1B">
            <w:pPr>
              <w:spacing w:before="0" w:line="259" w:lineRule="auto"/>
              <w:rPr>
                <w:rFonts w:eastAsia="Times New Roman" w:cs="Times New Roman"/>
                <w:szCs w:val="24"/>
              </w:rPr>
            </w:pPr>
            <w:r w:rsidRPr="00FE6AF8">
              <w:rPr>
                <w:rFonts w:eastAsia="Times New Roman" w:cs="Times New Roman"/>
                <w:szCs w:val="24"/>
              </w:rPr>
              <w:t xml:space="preserve">одиниць, </w:t>
            </w:r>
          </w:p>
          <w:p w14:paraId="11CF30BD" w14:textId="77777777" w:rsidR="00991C8A" w:rsidRPr="00B4638D" w:rsidRDefault="00991C8A" w:rsidP="00D81F1B">
            <w:pPr>
              <w:spacing w:before="0" w:line="259" w:lineRule="auto"/>
              <w:rPr>
                <w:rFonts w:eastAsia="Times New Roman" w:cs="Times New Roman"/>
                <w:szCs w:val="24"/>
              </w:rPr>
            </w:pPr>
            <w:r w:rsidRPr="00FE6AF8">
              <w:rPr>
                <w:rFonts w:eastAsia="Times New Roman" w:cs="Times New Roman"/>
                <w:szCs w:val="24"/>
              </w:rPr>
              <w:t>тис.т/ рік</w:t>
            </w:r>
          </w:p>
        </w:tc>
      </w:tr>
      <w:tr w:rsidR="00991C8A" w:rsidRPr="009841B9" w14:paraId="518704CB" w14:textId="77777777" w:rsidTr="00681D30">
        <w:trPr>
          <w:gridAfter w:val="1"/>
          <w:wAfter w:w="9" w:type="dxa"/>
          <w:trHeight w:val="170"/>
        </w:trPr>
        <w:tc>
          <w:tcPr>
            <w:tcW w:w="1009" w:type="dxa"/>
            <w:shd w:val="clear" w:color="auto" w:fill="auto"/>
          </w:tcPr>
          <w:p w14:paraId="50BADCB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2BB33B7E" w14:textId="643AA1F6" w:rsidR="00991C8A" w:rsidRPr="00C22C49" w:rsidRDefault="008D7A0F" w:rsidP="00D81F1B">
            <w:pPr>
              <w:spacing w:before="0" w:line="259" w:lineRule="auto"/>
              <w:rPr>
                <w:rFonts w:eastAsia="Times New Roman" w:cs="Times New Roman"/>
                <w:szCs w:val="24"/>
              </w:rPr>
            </w:pPr>
            <w:r w:rsidRPr="008D7A0F">
              <w:rPr>
                <w:rFonts w:eastAsia="Times New Roman" w:cs="Times New Roman"/>
                <w:szCs w:val="24"/>
              </w:rPr>
              <w:t>Обсяг</w:t>
            </w:r>
            <w:r w:rsidR="00991C8A" w:rsidRPr="003E32F9">
              <w:rPr>
                <w:rFonts w:eastAsia="Times New Roman" w:cs="Times New Roman"/>
                <w:szCs w:val="24"/>
              </w:rPr>
              <w:t xml:space="preserve"> відходів тваринного походження, видалених до біотермічних ям та скотомогильників</w:t>
            </w:r>
          </w:p>
        </w:tc>
        <w:tc>
          <w:tcPr>
            <w:tcW w:w="2353" w:type="dxa"/>
            <w:shd w:val="clear" w:color="auto" w:fill="auto"/>
          </w:tcPr>
          <w:p w14:paraId="15FE1BC8" w14:textId="77777777" w:rsidR="00991C8A" w:rsidRPr="00FE6AF8" w:rsidRDefault="00991C8A" w:rsidP="00D81F1B">
            <w:pPr>
              <w:spacing w:before="0" w:line="259" w:lineRule="auto"/>
              <w:rPr>
                <w:rFonts w:eastAsia="Times New Roman" w:cs="Times New Roman"/>
                <w:szCs w:val="24"/>
              </w:rPr>
            </w:pPr>
            <w:r w:rsidRPr="00FE6AF8">
              <w:rPr>
                <w:rFonts w:eastAsia="Times New Roman" w:cs="Times New Roman"/>
                <w:szCs w:val="24"/>
              </w:rPr>
              <w:t xml:space="preserve">одиниць, </w:t>
            </w:r>
          </w:p>
          <w:p w14:paraId="507C7450" w14:textId="77777777" w:rsidR="00991C8A" w:rsidRPr="00C22C49" w:rsidRDefault="00991C8A" w:rsidP="00D81F1B">
            <w:pPr>
              <w:spacing w:before="0" w:line="259" w:lineRule="auto"/>
              <w:rPr>
                <w:rFonts w:eastAsia="Times New Roman" w:cs="Times New Roman"/>
                <w:szCs w:val="24"/>
              </w:rPr>
            </w:pPr>
            <w:r w:rsidRPr="00FE6AF8">
              <w:rPr>
                <w:rFonts w:eastAsia="Times New Roman" w:cs="Times New Roman"/>
                <w:szCs w:val="24"/>
              </w:rPr>
              <w:t>тис.т/ рік</w:t>
            </w:r>
          </w:p>
        </w:tc>
      </w:tr>
      <w:tr w:rsidR="00991C8A" w:rsidRPr="00C22C49" w14:paraId="3592F4E1" w14:textId="77777777" w:rsidTr="00681D30">
        <w:trPr>
          <w:trHeight w:val="170"/>
        </w:trPr>
        <w:tc>
          <w:tcPr>
            <w:tcW w:w="1009" w:type="dxa"/>
            <w:shd w:val="clear" w:color="auto" w:fill="B4C6E7"/>
          </w:tcPr>
          <w:p w14:paraId="43CFB085"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8783" w:type="dxa"/>
            <w:gridSpan w:val="3"/>
            <w:shd w:val="clear" w:color="auto" w:fill="B4C6E7"/>
          </w:tcPr>
          <w:p w14:paraId="11B3B0D1" w14:textId="77777777" w:rsidR="00991C8A" w:rsidRPr="00C22C49" w:rsidRDefault="00991C8A" w:rsidP="00D81F1B">
            <w:pPr>
              <w:spacing w:before="0" w:line="259" w:lineRule="auto"/>
              <w:jc w:val="center"/>
              <w:rPr>
                <w:rFonts w:eastAsia="Times New Roman" w:cs="Times New Roman"/>
                <w:b/>
                <w:bCs/>
                <w:szCs w:val="24"/>
              </w:rPr>
            </w:pPr>
            <w:r w:rsidRPr="00C22C49">
              <w:rPr>
                <w:rFonts w:eastAsia="Times New Roman" w:cs="Times New Roman"/>
                <w:b/>
                <w:bCs/>
                <w:szCs w:val="24"/>
              </w:rPr>
              <w:t>Медичні відходи</w:t>
            </w:r>
          </w:p>
        </w:tc>
      </w:tr>
      <w:tr w:rsidR="00991C8A" w:rsidRPr="00C22C49" w14:paraId="58053547" w14:textId="77777777" w:rsidTr="00681D30">
        <w:trPr>
          <w:gridAfter w:val="1"/>
          <w:wAfter w:w="9" w:type="dxa"/>
          <w:trHeight w:val="170"/>
        </w:trPr>
        <w:tc>
          <w:tcPr>
            <w:tcW w:w="1009" w:type="dxa"/>
            <w:shd w:val="clear" w:color="auto" w:fill="auto"/>
          </w:tcPr>
          <w:p w14:paraId="61C922F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C506082" w14:textId="38643AE0" w:rsidR="00991C8A" w:rsidRPr="00C22C49" w:rsidRDefault="008D7A0F" w:rsidP="00D81F1B">
            <w:pPr>
              <w:spacing w:before="0" w:line="259" w:lineRule="auto"/>
              <w:rPr>
                <w:rFonts w:eastAsia="Times New Roman" w:cs="Times New Roman"/>
                <w:szCs w:val="24"/>
              </w:rPr>
            </w:pPr>
            <w:r w:rsidRPr="008D7A0F">
              <w:rPr>
                <w:rFonts w:eastAsia="Calibri" w:cs="Times New Roman"/>
                <w:sz w:val="22"/>
                <w:szCs w:val="22"/>
              </w:rPr>
              <w:t>Обсяг</w:t>
            </w:r>
            <w:r w:rsidR="00991C8A" w:rsidRPr="00C22C49">
              <w:rPr>
                <w:rFonts w:eastAsia="Calibri" w:cs="Times New Roman"/>
                <w:sz w:val="22"/>
                <w:szCs w:val="22"/>
              </w:rPr>
              <w:t xml:space="preserve"> </w:t>
            </w:r>
            <w:r w:rsidR="00991C8A">
              <w:rPr>
                <w:rFonts w:eastAsia="Calibri" w:cs="Times New Roman"/>
                <w:sz w:val="22"/>
                <w:szCs w:val="22"/>
              </w:rPr>
              <w:t xml:space="preserve">утворних </w:t>
            </w:r>
            <w:r w:rsidR="00991C8A" w:rsidRPr="00C22C49">
              <w:rPr>
                <w:rFonts w:eastAsia="Calibri" w:cs="Times New Roman"/>
                <w:sz w:val="22"/>
                <w:szCs w:val="22"/>
              </w:rPr>
              <w:t xml:space="preserve">медичних відходів </w:t>
            </w:r>
          </w:p>
        </w:tc>
        <w:tc>
          <w:tcPr>
            <w:tcW w:w="2353" w:type="dxa"/>
            <w:shd w:val="clear" w:color="auto" w:fill="auto"/>
          </w:tcPr>
          <w:p w14:paraId="32934D32"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 w:val="22"/>
                <w:szCs w:val="22"/>
              </w:rPr>
              <w:t>тис.т</w:t>
            </w:r>
            <w:r>
              <w:rPr>
                <w:rFonts w:eastAsia="Calibri" w:cs="Times New Roman"/>
                <w:sz w:val="22"/>
                <w:szCs w:val="22"/>
              </w:rPr>
              <w:t>/рік</w:t>
            </w:r>
          </w:p>
        </w:tc>
      </w:tr>
      <w:tr w:rsidR="00991C8A" w:rsidRPr="00C22C49" w14:paraId="446B9123" w14:textId="77777777" w:rsidTr="00681D30">
        <w:trPr>
          <w:gridAfter w:val="1"/>
          <w:wAfter w:w="9" w:type="dxa"/>
          <w:trHeight w:val="170"/>
        </w:trPr>
        <w:tc>
          <w:tcPr>
            <w:tcW w:w="1009" w:type="dxa"/>
            <w:shd w:val="clear" w:color="auto" w:fill="auto"/>
          </w:tcPr>
          <w:p w14:paraId="5AD9D4E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1C8D81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 w:val="22"/>
                <w:szCs w:val="22"/>
              </w:rPr>
              <w:t>Кількість областей, показник спроможності яких обробляти медичні відходи нижчий за кількість утворених відходів цієї категорії</w:t>
            </w:r>
          </w:p>
        </w:tc>
        <w:tc>
          <w:tcPr>
            <w:tcW w:w="2353" w:type="dxa"/>
            <w:shd w:val="clear" w:color="auto" w:fill="auto"/>
          </w:tcPr>
          <w:p w14:paraId="4117AD99"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 w:val="22"/>
                <w:szCs w:val="22"/>
              </w:rPr>
              <w:t>Одиниць</w:t>
            </w:r>
          </w:p>
        </w:tc>
      </w:tr>
      <w:tr w:rsidR="00991C8A" w:rsidRPr="00C22C49" w14:paraId="6514FB8A" w14:textId="77777777" w:rsidTr="00681D30">
        <w:trPr>
          <w:gridAfter w:val="1"/>
          <w:wAfter w:w="9" w:type="dxa"/>
          <w:trHeight w:val="170"/>
        </w:trPr>
        <w:tc>
          <w:tcPr>
            <w:tcW w:w="1009" w:type="dxa"/>
            <w:shd w:val="clear" w:color="auto" w:fill="auto"/>
          </w:tcPr>
          <w:p w14:paraId="6DABBB49"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703CDBF9" w14:textId="77777777" w:rsidR="00991C8A" w:rsidRPr="00C22C49" w:rsidRDefault="00991C8A" w:rsidP="00D81F1B">
            <w:pPr>
              <w:spacing w:before="0" w:line="259" w:lineRule="auto"/>
              <w:rPr>
                <w:rFonts w:eastAsia="Calibri" w:cs="Times New Roman"/>
                <w:sz w:val="22"/>
                <w:szCs w:val="22"/>
              </w:rPr>
            </w:pPr>
            <w:r w:rsidRPr="008967B0">
              <w:rPr>
                <w:rFonts w:eastAsia="Calibri" w:cs="Times New Roman"/>
                <w:sz w:val="22"/>
                <w:szCs w:val="22"/>
              </w:rPr>
              <w:t>Кількість та потужність установок для спалювання медичних відходів</w:t>
            </w:r>
          </w:p>
        </w:tc>
        <w:tc>
          <w:tcPr>
            <w:tcW w:w="2353" w:type="dxa"/>
            <w:shd w:val="clear" w:color="auto" w:fill="auto"/>
          </w:tcPr>
          <w:p w14:paraId="69CFD46B" w14:textId="77777777" w:rsidR="00991C8A" w:rsidRPr="00C22C49" w:rsidRDefault="00991C8A" w:rsidP="00D81F1B">
            <w:pPr>
              <w:spacing w:before="0" w:line="259" w:lineRule="auto"/>
              <w:rPr>
                <w:rFonts w:eastAsia="Calibri" w:cs="Times New Roman"/>
                <w:sz w:val="22"/>
                <w:szCs w:val="22"/>
              </w:rPr>
            </w:pPr>
            <w:r w:rsidRPr="008967B0">
              <w:rPr>
                <w:rFonts w:eastAsia="Calibri" w:cs="Times New Roman"/>
                <w:sz w:val="22"/>
                <w:szCs w:val="22"/>
              </w:rPr>
              <w:t xml:space="preserve">одиниць, </w:t>
            </w:r>
            <w:r>
              <w:rPr>
                <w:rFonts w:eastAsia="Calibri" w:cs="Times New Roman"/>
                <w:sz w:val="22"/>
                <w:szCs w:val="22"/>
              </w:rPr>
              <w:t>тис.</w:t>
            </w:r>
            <w:r w:rsidRPr="008967B0">
              <w:rPr>
                <w:rFonts w:eastAsia="Calibri" w:cs="Times New Roman"/>
                <w:sz w:val="22"/>
                <w:szCs w:val="22"/>
              </w:rPr>
              <w:t>т</w:t>
            </w:r>
            <w:r>
              <w:rPr>
                <w:rFonts w:eastAsia="Calibri" w:cs="Times New Roman"/>
                <w:sz w:val="22"/>
                <w:szCs w:val="22"/>
              </w:rPr>
              <w:t>/</w:t>
            </w:r>
            <w:r w:rsidRPr="008967B0">
              <w:rPr>
                <w:rFonts w:eastAsia="Calibri" w:cs="Times New Roman"/>
                <w:sz w:val="22"/>
                <w:szCs w:val="22"/>
              </w:rPr>
              <w:t xml:space="preserve"> рік</w:t>
            </w:r>
          </w:p>
        </w:tc>
      </w:tr>
      <w:tr w:rsidR="00991C8A" w:rsidRPr="00C22C49" w14:paraId="03A4A3BD" w14:textId="77777777" w:rsidTr="00681D30">
        <w:trPr>
          <w:gridAfter w:val="1"/>
          <w:wAfter w:w="9" w:type="dxa"/>
          <w:trHeight w:val="170"/>
        </w:trPr>
        <w:tc>
          <w:tcPr>
            <w:tcW w:w="1009" w:type="dxa"/>
            <w:shd w:val="clear" w:color="auto" w:fill="auto"/>
          </w:tcPr>
          <w:p w14:paraId="7102C1D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shd w:val="clear" w:color="auto" w:fill="auto"/>
          </w:tcPr>
          <w:p w14:paraId="11D30D6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 w:val="22"/>
                <w:szCs w:val="22"/>
              </w:rPr>
              <w:t>Відсоток медичних відходів, що утворюються, до потужності установок для управління медичними відходами</w:t>
            </w:r>
          </w:p>
        </w:tc>
        <w:tc>
          <w:tcPr>
            <w:tcW w:w="2353" w:type="dxa"/>
            <w:shd w:val="clear" w:color="auto" w:fill="auto"/>
          </w:tcPr>
          <w:p w14:paraId="68B50599"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 w:val="22"/>
                <w:szCs w:val="22"/>
              </w:rPr>
              <w:t>%</w:t>
            </w:r>
          </w:p>
        </w:tc>
      </w:tr>
      <w:tr w:rsidR="00991C8A" w:rsidRPr="00C22C49" w14:paraId="227FE454" w14:textId="77777777" w:rsidTr="00681D30">
        <w:trPr>
          <w:trHeight w:val="426"/>
        </w:trPr>
        <w:tc>
          <w:tcPr>
            <w:tcW w:w="1009" w:type="dxa"/>
            <w:shd w:val="clear" w:color="auto" w:fill="8EAADB"/>
          </w:tcPr>
          <w:p w14:paraId="5E2A4560"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8783" w:type="dxa"/>
            <w:gridSpan w:val="3"/>
            <w:shd w:val="clear" w:color="auto" w:fill="8EAADB"/>
          </w:tcPr>
          <w:p w14:paraId="16B46B2A" w14:textId="77777777" w:rsidR="00991C8A" w:rsidRPr="00C22C49" w:rsidRDefault="00991C8A" w:rsidP="00D81F1B">
            <w:pPr>
              <w:spacing w:before="0" w:line="259" w:lineRule="auto"/>
              <w:jc w:val="center"/>
              <w:rPr>
                <w:rFonts w:eastAsia="Times New Roman" w:cs="Times New Roman"/>
                <w:b/>
                <w:bCs/>
                <w:szCs w:val="24"/>
              </w:rPr>
            </w:pPr>
            <w:r w:rsidRPr="00C22C49">
              <w:rPr>
                <w:rFonts w:eastAsia="Times New Roman" w:cs="Times New Roman"/>
                <w:b/>
                <w:bCs/>
                <w:szCs w:val="24"/>
              </w:rPr>
              <w:t>Відходи на які поширюється розширена відповідальність виробника</w:t>
            </w:r>
          </w:p>
        </w:tc>
      </w:tr>
      <w:tr w:rsidR="00991C8A" w:rsidRPr="00C22C49" w14:paraId="1C17021E" w14:textId="77777777" w:rsidTr="00681D30">
        <w:trPr>
          <w:trHeight w:val="426"/>
        </w:trPr>
        <w:tc>
          <w:tcPr>
            <w:tcW w:w="1009" w:type="dxa"/>
            <w:shd w:val="clear" w:color="auto" w:fill="B4C6E7"/>
          </w:tcPr>
          <w:p w14:paraId="1F673B97" w14:textId="77777777" w:rsidR="00991C8A" w:rsidRPr="00C22C49" w:rsidRDefault="00991C8A" w:rsidP="00D81F1B">
            <w:pPr>
              <w:spacing w:before="0" w:line="259" w:lineRule="auto"/>
              <w:ind w:left="720"/>
              <w:contextualSpacing/>
              <w:jc w:val="left"/>
              <w:rPr>
                <w:rFonts w:eastAsia="Times New Roman" w:cs="Times New Roman"/>
                <w:b/>
                <w:bCs/>
                <w:szCs w:val="24"/>
              </w:rPr>
            </w:pPr>
          </w:p>
        </w:tc>
        <w:tc>
          <w:tcPr>
            <w:tcW w:w="8783" w:type="dxa"/>
            <w:gridSpan w:val="3"/>
            <w:shd w:val="clear" w:color="auto" w:fill="B4C6E7"/>
          </w:tcPr>
          <w:p w14:paraId="5665D7DC" w14:textId="77777777" w:rsidR="00991C8A" w:rsidRPr="00C22C49" w:rsidRDefault="00991C8A" w:rsidP="00D81F1B">
            <w:pPr>
              <w:spacing w:before="0" w:line="259" w:lineRule="auto"/>
              <w:jc w:val="center"/>
              <w:rPr>
                <w:rFonts w:eastAsia="Times New Roman" w:cs="Times New Roman"/>
                <w:b/>
                <w:bCs/>
                <w:szCs w:val="24"/>
              </w:rPr>
            </w:pPr>
            <w:r w:rsidRPr="00C22C49">
              <w:rPr>
                <w:rFonts w:eastAsia="Times New Roman" w:cs="Times New Roman"/>
                <w:b/>
                <w:szCs w:val="24"/>
              </w:rPr>
              <w:t>Відходи упаковки</w:t>
            </w:r>
          </w:p>
        </w:tc>
      </w:tr>
      <w:tr w:rsidR="00991C8A" w:rsidRPr="00C22C49" w14:paraId="6B3DD30F" w14:textId="77777777" w:rsidTr="00681D30">
        <w:trPr>
          <w:gridAfter w:val="1"/>
          <w:wAfter w:w="9" w:type="dxa"/>
          <w:trHeight w:val="170"/>
        </w:trPr>
        <w:tc>
          <w:tcPr>
            <w:tcW w:w="1009" w:type="dxa"/>
          </w:tcPr>
          <w:p w14:paraId="39B901A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9814BD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упаковки</w:t>
            </w:r>
            <w:r>
              <w:rPr>
                <w:rFonts w:eastAsia="Calibri" w:cs="Times New Roman"/>
                <w:szCs w:val="24"/>
              </w:rPr>
              <w:t xml:space="preserve"> </w:t>
            </w:r>
            <w:r w:rsidRPr="00C22C49">
              <w:rPr>
                <w:rFonts w:eastAsia="Calibri" w:cs="Times New Roman"/>
                <w:szCs w:val="24"/>
              </w:rPr>
              <w:t>введеної в обіг</w:t>
            </w:r>
            <w:r>
              <w:rPr>
                <w:rFonts w:eastAsia="Calibri" w:cs="Times New Roman"/>
                <w:szCs w:val="24"/>
              </w:rPr>
              <w:t xml:space="preserve"> (за видами матеріалу упаковки)</w:t>
            </w:r>
          </w:p>
        </w:tc>
        <w:tc>
          <w:tcPr>
            <w:tcW w:w="2353" w:type="dxa"/>
          </w:tcPr>
          <w:p w14:paraId="40467D33"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r>
              <w:rPr>
                <w:rFonts w:eastAsia="Calibri" w:cs="Times New Roman"/>
                <w:szCs w:val="24"/>
              </w:rPr>
              <w:t>/рік</w:t>
            </w:r>
          </w:p>
        </w:tc>
      </w:tr>
      <w:tr w:rsidR="00991C8A" w:rsidRPr="00C22C49" w14:paraId="6AB7717B" w14:textId="77777777" w:rsidTr="00681D30">
        <w:trPr>
          <w:gridAfter w:val="1"/>
          <w:wAfter w:w="9" w:type="dxa"/>
          <w:trHeight w:val="170"/>
        </w:trPr>
        <w:tc>
          <w:tcPr>
            <w:tcW w:w="1009" w:type="dxa"/>
          </w:tcPr>
          <w:p w14:paraId="3DD6D5D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5D78361" w14:textId="78337B6A"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2F36F6">
              <w:rPr>
                <w:rFonts w:eastAsia="Calibri" w:cs="Times New Roman"/>
                <w:szCs w:val="24"/>
              </w:rPr>
              <w:t xml:space="preserve"> </w:t>
            </w:r>
            <w:r w:rsidR="00991C8A">
              <w:rPr>
                <w:rFonts w:eastAsia="Calibri" w:cs="Times New Roman"/>
                <w:szCs w:val="24"/>
              </w:rPr>
              <w:t>рецикльованих</w:t>
            </w:r>
            <w:r w:rsidR="00991C8A" w:rsidRPr="002F36F6">
              <w:rPr>
                <w:rFonts w:eastAsia="Calibri" w:cs="Times New Roman"/>
                <w:szCs w:val="24"/>
              </w:rPr>
              <w:t xml:space="preserve"> відходів упаковки</w:t>
            </w:r>
          </w:p>
        </w:tc>
        <w:tc>
          <w:tcPr>
            <w:tcW w:w="2353" w:type="dxa"/>
          </w:tcPr>
          <w:p w14:paraId="67D8295B" w14:textId="77777777" w:rsidR="00991C8A" w:rsidRPr="002A636C" w:rsidRDefault="00991C8A" w:rsidP="00D81F1B">
            <w:pPr>
              <w:spacing w:before="0" w:line="259" w:lineRule="auto"/>
              <w:rPr>
                <w:rFonts w:eastAsia="Calibri" w:cs="Times New Roman"/>
                <w:szCs w:val="24"/>
              </w:rPr>
            </w:pPr>
            <w:r w:rsidRPr="002F36F6">
              <w:rPr>
                <w:rFonts w:eastAsia="Calibri" w:cs="Times New Roman"/>
                <w:szCs w:val="24"/>
              </w:rPr>
              <w:t>тис.т/рік</w:t>
            </w:r>
          </w:p>
        </w:tc>
      </w:tr>
      <w:tr w:rsidR="00991C8A" w:rsidRPr="00C22C49" w14:paraId="2ADDC239" w14:textId="77777777" w:rsidTr="00681D30">
        <w:trPr>
          <w:gridAfter w:val="1"/>
          <w:wAfter w:w="9" w:type="dxa"/>
          <w:trHeight w:val="170"/>
        </w:trPr>
        <w:tc>
          <w:tcPr>
            <w:tcW w:w="1009" w:type="dxa"/>
          </w:tcPr>
          <w:p w14:paraId="1A896B5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24E741B8" w14:textId="6A127BC1" w:rsidR="00991C8A" w:rsidRPr="002F36F6"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2F36F6">
              <w:rPr>
                <w:rFonts w:eastAsia="Calibri" w:cs="Times New Roman"/>
                <w:szCs w:val="24"/>
              </w:rPr>
              <w:t xml:space="preserve"> </w:t>
            </w:r>
            <w:r w:rsidR="00991C8A">
              <w:rPr>
                <w:rFonts w:eastAsia="Calibri" w:cs="Times New Roman"/>
                <w:szCs w:val="24"/>
              </w:rPr>
              <w:t>відновлених</w:t>
            </w:r>
            <w:r w:rsidR="00991C8A" w:rsidRPr="002F36F6">
              <w:rPr>
                <w:rFonts w:eastAsia="Calibri" w:cs="Times New Roman"/>
                <w:szCs w:val="24"/>
              </w:rPr>
              <w:t xml:space="preserve"> відходів упаковки</w:t>
            </w:r>
          </w:p>
        </w:tc>
        <w:tc>
          <w:tcPr>
            <w:tcW w:w="2353" w:type="dxa"/>
          </w:tcPr>
          <w:p w14:paraId="56D0FF44" w14:textId="77777777" w:rsidR="00991C8A" w:rsidRPr="002F36F6" w:rsidRDefault="00991C8A" w:rsidP="00D81F1B">
            <w:pPr>
              <w:spacing w:before="0" w:line="259" w:lineRule="auto"/>
              <w:rPr>
                <w:rFonts w:eastAsia="Calibri" w:cs="Times New Roman"/>
                <w:szCs w:val="24"/>
              </w:rPr>
            </w:pPr>
            <w:r w:rsidRPr="002F36F6">
              <w:rPr>
                <w:rFonts w:eastAsia="Calibri" w:cs="Times New Roman"/>
                <w:szCs w:val="24"/>
              </w:rPr>
              <w:t>тис.т/рік</w:t>
            </w:r>
          </w:p>
        </w:tc>
      </w:tr>
      <w:tr w:rsidR="00991C8A" w:rsidRPr="00C22C49" w14:paraId="746A1C05" w14:textId="77777777" w:rsidTr="00681D30">
        <w:trPr>
          <w:gridAfter w:val="1"/>
          <w:wAfter w:w="9" w:type="dxa"/>
          <w:trHeight w:val="170"/>
        </w:trPr>
        <w:tc>
          <w:tcPr>
            <w:tcW w:w="1009" w:type="dxa"/>
          </w:tcPr>
          <w:p w14:paraId="1870DB7A"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CA097D6"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Загальна норма рециклінгу</w:t>
            </w:r>
          </w:p>
        </w:tc>
        <w:tc>
          <w:tcPr>
            <w:tcW w:w="2353" w:type="dxa"/>
          </w:tcPr>
          <w:p w14:paraId="77EDAF47"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DEFAB23" w14:textId="77777777" w:rsidTr="00681D30">
        <w:trPr>
          <w:gridAfter w:val="1"/>
          <w:wAfter w:w="9" w:type="dxa"/>
          <w:trHeight w:val="170"/>
        </w:trPr>
        <w:tc>
          <w:tcPr>
            <w:tcW w:w="1009" w:type="dxa"/>
          </w:tcPr>
          <w:p w14:paraId="25C1D4F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812F566"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Показник рециклінгу відходів скляної упаковки </w:t>
            </w:r>
          </w:p>
        </w:tc>
        <w:tc>
          <w:tcPr>
            <w:tcW w:w="2353" w:type="dxa"/>
          </w:tcPr>
          <w:p w14:paraId="2A5D0759"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4669A886" w14:textId="77777777" w:rsidTr="00681D30">
        <w:trPr>
          <w:gridAfter w:val="1"/>
          <w:wAfter w:w="9" w:type="dxa"/>
          <w:trHeight w:val="170"/>
        </w:trPr>
        <w:tc>
          <w:tcPr>
            <w:tcW w:w="1009" w:type="dxa"/>
          </w:tcPr>
          <w:p w14:paraId="7E85345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573579D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Показник рециклінгу відходів </w:t>
            </w:r>
            <w:r>
              <w:rPr>
                <w:rFonts w:eastAsia="Calibri" w:cs="Times New Roman"/>
                <w:szCs w:val="24"/>
              </w:rPr>
              <w:t xml:space="preserve">пластикової </w:t>
            </w:r>
            <w:r w:rsidRPr="00C22C49">
              <w:rPr>
                <w:rFonts w:eastAsia="Calibri" w:cs="Times New Roman"/>
                <w:szCs w:val="24"/>
              </w:rPr>
              <w:t>упаковки</w:t>
            </w:r>
          </w:p>
        </w:tc>
        <w:tc>
          <w:tcPr>
            <w:tcW w:w="2353" w:type="dxa"/>
          </w:tcPr>
          <w:p w14:paraId="398F3825"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08C6C559" w14:textId="77777777" w:rsidTr="00681D30">
        <w:trPr>
          <w:gridAfter w:val="1"/>
          <w:wAfter w:w="9" w:type="dxa"/>
          <w:trHeight w:val="170"/>
        </w:trPr>
        <w:tc>
          <w:tcPr>
            <w:tcW w:w="1009" w:type="dxa"/>
          </w:tcPr>
          <w:p w14:paraId="5E7308A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E1FBEB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рециклінгу відходів паперової та картонної упаковки</w:t>
            </w:r>
          </w:p>
        </w:tc>
        <w:tc>
          <w:tcPr>
            <w:tcW w:w="2353" w:type="dxa"/>
          </w:tcPr>
          <w:p w14:paraId="22E365D8"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1E63C014" w14:textId="77777777" w:rsidTr="00681D30">
        <w:trPr>
          <w:gridAfter w:val="1"/>
          <w:wAfter w:w="9" w:type="dxa"/>
          <w:trHeight w:val="170"/>
        </w:trPr>
        <w:tc>
          <w:tcPr>
            <w:tcW w:w="1009" w:type="dxa"/>
          </w:tcPr>
          <w:p w14:paraId="4C8D8B7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D2B836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рециклінгу відходів упаковки з чорних металів</w:t>
            </w:r>
          </w:p>
        </w:tc>
        <w:tc>
          <w:tcPr>
            <w:tcW w:w="2353" w:type="dxa"/>
          </w:tcPr>
          <w:p w14:paraId="395C20D1"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7492805" w14:textId="77777777" w:rsidTr="00681D30">
        <w:trPr>
          <w:gridAfter w:val="1"/>
          <w:wAfter w:w="9" w:type="dxa"/>
          <w:trHeight w:val="170"/>
        </w:trPr>
        <w:tc>
          <w:tcPr>
            <w:tcW w:w="1009" w:type="dxa"/>
          </w:tcPr>
          <w:p w14:paraId="73CC840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7F2B6D3"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рециклінгу відходів алюмінієвої упаковки</w:t>
            </w:r>
          </w:p>
        </w:tc>
        <w:tc>
          <w:tcPr>
            <w:tcW w:w="2353" w:type="dxa"/>
          </w:tcPr>
          <w:p w14:paraId="055C76E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1A98523" w14:textId="77777777" w:rsidTr="00681D30">
        <w:trPr>
          <w:gridAfter w:val="1"/>
          <w:wAfter w:w="9" w:type="dxa"/>
          <w:trHeight w:val="170"/>
        </w:trPr>
        <w:tc>
          <w:tcPr>
            <w:tcW w:w="1009" w:type="dxa"/>
          </w:tcPr>
          <w:p w14:paraId="5C912DF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89C667E"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рециклінгу відходів дерев'яної упаковки</w:t>
            </w:r>
          </w:p>
        </w:tc>
        <w:tc>
          <w:tcPr>
            <w:tcW w:w="2353" w:type="dxa"/>
          </w:tcPr>
          <w:p w14:paraId="3314D7DA"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0D458F94" w14:textId="77777777" w:rsidTr="00681D30">
        <w:trPr>
          <w:gridAfter w:val="1"/>
          <w:wAfter w:w="9" w:type="dxa"/>
          <w:trHeight w:val="170"/>
        </w:trPr>
        <w:tc>
          <w:tcPr>
            <w:tcW w:w="1009" w:type="dxa"/>
            <w:shd w:val="clear" w:color="auto" w:fill="B4C6E7"/>
          </w:tcPr>
          <w:p w14:paraId="1F65595F" w14:textId="77777777" w:rsidR="00991C8A" w:rsidRPr="00C22C49" w:rsidRDefault="00991C8A" w:rsidP="00D81F1B">
            <w:pPr>
              <w:spacing w:before="0" w:line="259" w:lineRule="auto"/>
              <w:ind w:left="720"/>
              <w:contextualSpacing/>
              <w:jc w:val="left"/>
              <w:rPr>
                <w:rFonts w:eastAsia="Times New Roman" w:cs="Times New Roman"/>
                <w:b/>
                <w:szCs w:val="24"/>
              </w:rPr>
            </w:pPr>
          </w:p>
        </w:tc>
        <w:tc>
          <w:tcPr>
            <w:tcW w:w="6421" w:type="dxa"/>
            <w:shd w:val="clear" w:color="auto" w:fill="B4C6E7"/>
          </w:tcPr>
          <w:p w14:paraId="0E225A32"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Відходи батарей та акумуляторів</w:t>
            </w:r>
          </w:p>
        </w:tc>
        <w:tc>
          <w:tcPr>
            <w:tcW w:w="2353" w:type="dxa"/>
            <w:shd w:val="clear" w:color="auto" w:fill="B4C6E7"/>
          </w:tcPr>
          <w:p w14:paraId="56EAEAFB" w14:textId="77777777" w:rsidR="00991C8A" w:rsidRPr="00C22C49" w:rsidRDefault="00991C8A" w:rsidP="00D81F1B">
            <w:pPr>
              <w:spacing w:before="0" w:line="259" w:lineRule="auto"/>
              <w:jc w:val="center"/>
              <w:rPr>
                <w:rFonts w:eastAsia="Times New Roman" w:cs="Times New Roman"/>
                <w:b/>
                <w:szCs w:val="24"/>
              </w:rPr>
            </w:pPr>
          </w:p>
        </w:tc>
      </w:tr>
      <w:tr w:rsidR="00991C8A" w:rsidRPr="00C22C49" w14:paraId="689AC0A9" w14:textId="77777777" w:rsidTr="00681D30">
        <w:trPr>
          <w:gridAfter w:val="1"/>
          <w:wAfter w:w="9" w:type="dxa"/>
          <w:trHeight w:val="170"/>
        </w:trPr>
        <w:tc>
          <w:tcPr>
            <w:tcW w:w="1009" w:type="dxa"/>
          </w:tcPr>
          <w:p w14:paraId="40A1E5E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DFE81AD"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батарей і акумуляторів введених в обіг</w:t>
            </w:r>
          </w:p>
        </w:tc>
        <w:tc>
          <w:tcPr>
            <w:tcW w:w="2353" w:type="dxa"/>
          </w:tcPr>
          <w:p w14:paraId="47C195C0"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57292258" w14:textId="77777777" w:rsidTr="00681D30">
        <w:trPr>
          <w:gridAfter w:val="1"/>
          <w:wAfter w:w="9" w:type="dxa"/>
          <w:trHeight w:val="170"/>
        </w:trPr>
        <w:tc>
          <w:tcPr>
            <w:tcW w:w="1009" w:type="dxa"/>
          </w:tcPr>
          <w:p w14:paraId="13DE126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974A853"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портативних батарей і акумуляторів введених в обіг</w:t>
            </w:r>
          </w:p>
        </w:tc>
        <w:tc>
          <w:tcPr>
            <w:tcW w:w="2353" w:type="dxa"/>
          </w:tcPr>
          <w:p w14:paraId="1B6A46C1"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1FB93144" w14:textId="77777777" w:rsidTr="00681D30">
        <w:trPr>
          <w:gridAfter w:val="1"/>
          <w:wAfter w:w="9" w:type="dxa"/>
          <w:trHeight w:val="170"/>
        </w:trPr>
        <w:tc>
          <w:tcPr>
            <w:tcW w:w="1009" w:type="dxa"/>
          </w:tcPr>
          <w:p w14:paraId="601767B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CF24725"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автомобільних батарей і акумуляторів введених в обіг</w:t>
            </w:r>
          </w:p>
        </w:tc>
        <w:tc>
          <w:tcPr>
            <w:tcW w:w="2353" w:type="dxa"/>
          </w:tcPr>
          <w:p w14:paraId="75A03FB6"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4B4485F6" w14:textId="77777777" w:rsidTr="00681D30">
        <w:trPr>
          <w:gridAfter w:val="1"/>
          <w:wAfter w:w="9" w:type="dxa"/>
          <w:trHeight w:val="170"/>
        </w:trPr>
        <w:tc>
          <w:tcPr>
            <w:tcW w:w="1009" w:type="dxa"/>
          </w:tcPr>
          <w:p w14:paraId="1EA3B2D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0910408B"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промислових батарей і акумуляторів введених в обіг</w:t>
            </w:r>
          </w:p>
        </w:tc>
        <w:tc>
          <w:tcPr>
            <w:tcW w:w="2353" w:type="dxa"/>
          </w:tcPr>
          <w:p w14:paraId="4F88B996"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4963C47D" w14:textId="77777777" w:rsidTr="00681D30">
        <w:trPr>
          <w:gridAfter w:val="1"/>
          <w:wAfter w:w="9" w:type="dxa"/>
          <w:trHeight w:val="170"/>
        </w:trPr>
        <w:tc>
          <w:tcPr>
            <w:tcW w:w="1009" w:type="dxa"/>
          </w:tcPr>
          <w:p w14:paraId="1ED3F95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5128488" w14:textId="62228AD4"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портативних батарей та акумуляторів (всього)</w:t>
            </w:r>
          </w:p>
        </w:tc>
        <w:tc>
          <w:tcPr>
            <w:tcW w:w="2353" w:type="dxa"/>
          </w:tcPr>
          <w:p w14:paraId="72733922"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5FD61662" w14:textId="77777777" w:rsidTr="00681D30">
        <w:trPr>
          <w:gridAfter w:val="1"/>
          <w:wAfter w:w="9" w:type="dxa"/>
          <w:trHeight w:val="170"/>
        </w:trPr>
        <w:tc>
          <w:tcPr>
            <w:tcW w:w="1009" w:type="dxa"/>
          </w:tcPr>
          <w:p w14:paraId="1375C20F"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7A27A57" w14:textId="6234E08C"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автомобільних батарей та акумуляторів (всього)</w:t>
            </w:r>
          </w:p>
        </w:tc>
        <w:tc>
          <w:tcPr>
            <w:tcW w:w="2353" w:type="dxa"/>
          </w:tcPr>
          <w:p w14:paraId="1F3C1A9F"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05D3970B" w14:textId="77777777" w:rsidTr="00681D30">
        <w:trPr>
          <w:gridAfter w:val="1"/>
          <w:wAfter w:w="9" w:type="dxa"/>
          <w:trHeight w:val="170"/>
        </w:trPr>
        <w:tc>
          <w:tcPr>
            <w:tcW w:w="1009" w:type="dxa"/>
          </w:tcPr>
          <w:p w14:paraId="3325988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4592E3D" w14:textId="21974C87"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промислових батарей та акумуляторів (всього)</w:t>
            </w:r>
          </w:p>
        </w:tc>
        <w:tc>
          <w:tcPr>
            <w:tcW w:w="2353" w:type="dxa"/>
          </w:tcPr>
          <w:p w14:paraId="2C4FA0AB"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4C462B25" w14:textId="77777777" w:rsidTr="00681D30">
        <w:trPr>
          <w:gridAfter w:val="1"/>
          <w:wAfter w:w="9" w:type="dxa"/>
          <w:trHeight w:val="170"/>
        </w:trPr>
        <w:tc>
          <w:tcPr>
            <w:tcW w:w="1009" w:type="dxa"/>
          </w:tcPr>
          <w:p w14:paraId="2156291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172EB4A"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П</w:t>
            </w:r>
            <w:r w:rsidRPr="00C22C49">
              <w:rPr>
                <w:rFonts w:eastAsia="Calibri" w:cs="Times New Roman"/>
                <w:szCs w:val="24"/>
              </w:rPr>
              <w:t>оказник роздільного збирання відходів портативних батарей та акумуляторів</w:t>
            </w:r>
          </w:p>
        </w:tc>
        <w:tc>
          <w:tcPr>
            <w:tcW w:w="2353" w:type="dxa"/>
          </w:tcPr>
          <w:p w14:paraId="30B9358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2DCA722B" w14:textId="77777777" w:rsidTr="00681D30">
        <w:trPr>
          <w:gridAfter w:val="1"/>
          <w:wAfter w:w="9" w:type="dxa"/>
          <w:trHeight w:val="170"/>
        </w:trPr>
        <w:tc>
          <w:tcPr>
            <w:tcW w:w="1009" w:type="dxa"/>
          </w:tcPr>
          <w:p w14:paraId="3AF1FFE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0F2E76E" w14:textId="445F9F93"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автомобільних батарей та акумуляторів, щодо яких здійснено операції з рециклінгу</w:t>
            </w:r>
          </w:p>
        </w:tc>
        <w:tc>
          <w:tcPr>
            <w:tcW w:w="2353" w:type="dxa"/>
          </w:tcPr>
          <w:p w14:paraId="31A54EBD"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6832F2C1" w14:textId="77777777" w:rsidTr="00681D30">
        <w:trPr>
          <w:gridAfter w:val="1"/>
          <w:wAfter w:w="9" w:type="dxa"/>
          <w:trHeight w:val="170"/>
        </w:trPr>
        <w:tc>
          <w:tcPr>
            <w:tcW w:w="1009" w:type="dxa"/>
          </w:tcPr>
          <w:p w14:paraId="4A8A965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1B75736" w14:textId="23799DA6"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промислових батарей та акумуляторів, щодо яких здійснено операції з рециклінгу</w:t>
            </w:r>
          </w:p>
        </w:tc>
        <w:tc>
          <w:tcPr>
            <w:tcW w:w="2353" w:type="dxa"/>
          </w:tcPr>
          <w:p w14:paraId="31997BE6"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37E72700" w14:textId="77777777" w:rsidTr="00681D30">
        <w:trPr>
          <w:gridAfter w:val="1"/>
          <w:wAfter w:w="9" w:type="dxa"/>
          <w:trHeight w:val="170"/>
        </w:trPr>
        <w:tc>
          <w:tcPr>
            <w:tcW w:w="1009" w:type="dxa"/>
          </w:tcPr>
          <w:p w14:paraId="0597CBE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B762513" w14:textId="77777777" w:rsidR="00991C8A" w:rsidRPr="00C22C49" w:rsidRDefault="00991C8A" w:rsidP="00D81F1B">
            <w:pPr>
              <w:spacing w:before="0" w:line="259" w:lineRule="auto"/>
              <w:rPr>
                <w:rFonts w:eastAsia="Calibri" w:cs="Times New Roman"/>
                <w:szCs w:val="24"/>
              </w:rPr>
            </w:pPr>
            <w:r>
              <w:rPr>
                <w:rFonts w:eastAsia="Calibri" w:cs="Times New Roman"/>
                <w:szCs w:val="24"/>
              </w:rPr>
              <w:t>П</w:t>
            </w:r>
            <w:r w:rsidRPr="00C22C49">
              <w:rPr>
                <w:rFonts w:eastAsia="Calibri" w:cs="Times New Roman"/>
                <w:szCs w:val="24"/>
              </w:rPr>
              <w:t>оказник ефективності рециклінгу для свинцево-кислотних  батарей і акумуляторів</w:t>
            </w:r>
          </w:p>
        </w:tc>
        <w:tc>
          <w:tcPr>
            <w:tcW w:w="2353" w:type="dxa"/>
          </w:tcPr>
          <w:p w14:paraId="6E7920AB"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0DD12D05" w14:textId="77777777" w:rsidTr="00681D30">
        <w:trPr>
          <w:gridAfter w:val="1"/>
          <w:wAfter w:w="9" w:type="dxa"/>
          <w:trHeight w:val="170"/>
        </w:trPr>
        <w:tc>
          <w:tcPr>
            <w:tcW w:w="1009" w:type="dxa"/>
          </w:tcPr>
          <w:p w14:paraId="39CFED9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8DB65DD" w14:textId="77777777" w:rsidR="00991C8A" w:rsidRPr="00C22C49" w:rsidRDefault="00991C8A" w:rsidP="00D81F1B">
            <w:pPr>
              <w:spacing w:before="0" w:line="259" w:lineRule="auto"/>
              <w:rPr>
                <w:rFonts w:eastAsia="Times New Roman" w:cs="Times New Roman"/>
                <w:szCs w:val="24"/>
              </w:rPr>
            </w:pPr>
            <w:r>
              <w:rPr>
                <w:rFonts w:eastAsia="Calibri" w:cs="Times New Roman"/>
                <w:szCs w:val="24"/>
              </w:rPr>
              <w:t>П</w:t>
            </w:r>
            <w:r w:rsidRPr="00C22C49">
              <w:rPr>
                <w:rFonts w:eastAsia="Calibri" w:cs="Times New Roman"/>
                <w:szCs w:val="24"/>
              </w:rPr>
              <w:t>оказник ефективності рециклінгу для нікель-кадмієвих батарей і акумуляторів</w:t>
            </w:r>
          </w:p>
        </w:tc>
        <w:tc>
          <w:tcPr>
            <w:tcW w:w="2353" w:type="dxa"/>
          </w:tcPr>
          <w:p w14:paraId="13DFDA9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45A45D40" w14:textId="77777777" w:rsidTr="00681D30">
        <w:trPr>
          <w:gridAfter w:val="1"/>
          <w:wAfter w:w="9" w:type="dxa"/>
          <w:trHeight w:val="170"/>
        </w:trPr>
        <w:tc>
          <w:tcPr>
            <w:tcW w:w="1009" w:type="dxa"/>
          </w:tcPr>
          <w:p w14:paraId="2CB8D6B5"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A11B8F1" w14:textId="77777777" w:rsidR="00991C8A" w:rsidRPr="00C22C49" w:rsidRDefault="00991C8A" w:rsidP="00D81F1B">
            <w:pPr>
              <w:spacing w:before="0" w:line="259" w:lineRule="auto"/>
              <w:rPr>
                <w:rFonts w:eastAsia="Times New Roman" w:cs="Times New Roman"/>
                <w:szCs w:val="24"/>
              </w:rPr>
            </w:pPr>
            <w:r>
              <w:rPr>
                <w:rFonts w:eastAsia="Times New Roman" w:cs="Times New Roman"/>
                <w:szCs w:val="24"/>
              </w:rPr>
              <w:t>П</w:t>
            </w:r>
            <w:r w:rsidRPr="00C22C49">
              <w:rPr>
                <w:rFonts w:eastAsia="Times New Roman" w:cs="Times New Roman"/>
                <w:szCs w:val="24"/>
              </w:rPr>
              <w:t>оказник ефективності рециклінгу для інших видів батарей і акумуляторів</w:t>
            </w:r>
          </w:p>
        </w:tc>
        <w:tc>
          <w:tcPr>
            <w:tcW w:w="2353" w:type="dxa"/>
          </w:tcPr>
          <w:p w14:paraId="24F0D191"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w:t>
            </w:r>
          </w:p>
        </w:tc>
      </w:tr>
      <w:tr w:rsidR="00991C8A" w:rsidRPr="00C22C49" w14:paraId="7626F8DE" w14:textId="77777777" w:rsidTr="00681D30">
        <w:trPr>
          <w:gridAfter w:val="1"/>
          <w:wAfter w:w="9" w:type="dxa"/>
          <w:trHeight w:val="170"/>
        </w:trPr>
        <w:tc>
          <w:tcPr>
            <w:tcW w:w="1009" w:type="dxa"/>
            <w:shd w:val="clear" w:color="auto" w:fill="B4C6E7"/>
          </w:tcPr>
          <w:p w14:paraId="4D9A3538" w14:textId="77777777" w:rsidR="00991C8A" w:rsidRPr="00C22C49" w:rsidRDefault="00991C8A" w:rsidP="00D81F1B">
            <w:pPr>
              <w:spacing w:before="0" w:line="259" w:lineRule="auto"/>
              <w:ind w:left="720"/>
              <w:contextualSpacing/>
              <w:jc w:val="left"/>
              <w:rPr>
                <w:rFonts w:eastAsia="Times New Roman" w:cs="Times New Roman"/>
                <w:b/>
                <w:szCs w:val="24"/>
              </w:rPr>
            </w:pPr>
          </w:p>
        </w:tc>
        <w:tc>
          <w:tcPr>
            <w:tcW w:w="6421" w:type="dxa"/>
            <w:shd w:val="clear" w:color="auto" w:fill="B4C6E7"/>
          </w:tcPr>
          <w:p w14:paraId="2FF87E6F"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Відходи електричного та електронного обладнання</w:t>
            </w:r>
          </w:p>
        </w:tc>
        <w:tc>
          <w:tcPr>
            <w:tcW w:w="2353" w:type="dxa"/>
            <w:shd w:val="clear" w:color="auto" w:fill="B4C6E7"/>
          </w:tcPr>
          <w:p w14:paraId="6B174109" w14:textId="77777777" w:rsidR="00991C8A" w:rsidRPr="00C22C49" w:rsidRDefault="00991C8A" w:rsidP="00D81F1B">
            <w:pPr>
              <w:spacing w:before="0" w:line="259" w:lineRule="auto"/>
              <w:jc w:val="center"/>
              <w:rPr>
                <w:rFonts w:eastAsia="Times New Roman" w:cs="Times New Roman"/>
                <w:b/>
                <w:szCs w:val="24"/>
              </w:rPr>
            </w:pPr>
          </w:p>
        </w:tc>
      </w:tr>
      <w:tr w:rsidR="00991C8A" w:rsidRPr="00C22C49" w14:paraId="6C9BDC62" w14:textId="77777777" w:rsidTr="00681D30">
        <w:trPr>
          <w:gridAfter w:val="1"/>
          <w:wAfter w:w="9" w:type="dxa"/>
          <w:trHeight w:val="170"/>
        </w:trPr>
        <w:tc>
          <w:tcPr>
            <w:tcW w:w="1009" w:type="dxa"/>
          </w:tcPr>
          <w:p w14:paraId="50264D9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687A8353"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Кількість електричного та електронного обладнання </w:t>
            </w:r>
            <w:r w:rsidRPr="00C22C49">
              <w:rPr>
                <w:rFonts w:ascii="Calibri" w:eastAsia="Calibri" w:hAnsi="Calibri" w:cs="Times New Roman"/>
                <w:sz w:val="22"/>
                <w:szCs w:val="22"/>
              </w:rPr>
              <w:t xml:space="preserve"> </w:t>
            </w:r>
            <w:r w:rsidRPr="00C22C49">
              <w:rPr>
                <w:rFonts w:eastAsia="Calibri" w:cs="Times New Roman"/>
                <w:szCs w:val="24"/>
              </w:rPr>
              <w:t>введеного в обіг</w:t>
            </w:r>
          </w:p>
        </w:tc>
        <w:tc>
          <w:tcPr>
            <w:tcW w:w="2353" w:type="dxa"/>
          </w:tcPr>
          <w:p w14:paraId="3F0CE437"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r>
              <w:rPr>
                <w:rFonts w:eastAsia="Calibri" w:cs="Times New Roman"/>
                <w:szCs w:val="24"/>
              </w:rPr>
              <w:t>/рік</w:t>
            </w:r>
          </w:p>
        </w:tc>
      </w:tr>
      <w:tr w:rsidR="00991C8A" w:rsidRPr="00C22C49" w14:paraId="45540521" w14:textId="77777777" w:rsidTr="00681D30">
        <w:trPr>
          <w:gridAfter w:val="1"/>
          <w:wAfter w:w="9" w:type="dxa"/>
          <w:trHeight w:val="170"/>
        </w:trPr>
        <w:tc>
          <w:tcPr>
            <w:tcW w:w="1009" w:type="dxa"/>
          </w:tcPr>
          <w:p w14:paraId="3262839A"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85F8949" w14:textId="0BA1BB94"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електричного та електронного обладнання, призначеного для домогосподарств і</w:t>
            </w:r>
            <w:r w:rsidR="00991C8A" w:rsidRPr="00C22C49">
              <w:rPr>
                <w:rFonts w:ascii="Calibri" w:eastAsia="Calibri" w:hAnsi="Calibri" w:cs="Times New Roman"/>
                <w:sz w:val="22"/>
                <w:szCs w:val="22"/>
              </w:rPr>
              <w:t xml:space="preserve"> </w:t>
            </w:r>
            <w:r w:rsidR="00991C8A" w:rsidRPr="00C22C49">
              <w:rPr>
                <w:rFonts w:eastAsia="Calibri" w:cs="Times New Roman"/>
                <w:szCs w:val="24"/>
              </w:rPr>
              <w:t>введеного в обіг</w:t>
            </w:r>
          </w:p>
        </w:tc>
        <w:tc>
          <w:tcPr>
            <w:tcW w:w="2353" w:type="dxa"/>
          </w:tcPr>
          <w:p w14:paraId="54225CEE"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r>
              <w:rPr>
                <w:rFonts w:eastAsia="Calibri" w:cs="Times New Roman"/>
                <w:szCs w:val="24"/>
              </w:rPr>
              <w:t>/рік</w:t>
            </w:r>
          </w:p>
        </w:tc>
      </w:tr>
      <w:tr w:rsidR="00991C8A" w:rsidRPr="00C22C49" w14:paraId="1A545925" w14:textId="77777777" w:rsidTr="00681D30">
        <w:trPr>
          <w:gridAfter w:val="1"/>
          <w:wAfter w:w="9" w:type="dxa"/>
          <w:trHeight w:val="170"/>
        </w:trPr>
        <w:tc>
          <w:tcPr>
            <w:tcW w:w="1009" w:type="dxa"/>
          </w:tcPr>
          <w:p w14:paraId="4355A7B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80F0FEF" w14:textId="56A5E12D"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ь електричного та електронного обладнання, призначеного для інших користувачів, крім домогосподарств  і </w:t>
            </w:r>
            <w:r w:rsidR="00991C8A" w:rsidRPr="00C22C49">
              <w:rPr>
                <w:rFonts w:ascii="Calibri" w:eastAsia="Calibri" w:hAnsi="Calibri" w:cs="Times New Roman"/>
                <w:sz w:val="22"/>
                <w:szCs w:val="22"/>
              </w:rPr>
              <w:t xml:space="preserve"> </w:t>
            </w:r>
            <w:r w:rsidR="00991C8A" w:rsidRPr="00C22C49">
              <w:rPr>
                <w:rFonts w:eastAsia="Calibri" w:cs="Times New Roman"/>
                <w:szCs w:val="24"/>
              </w:rPr>
              <w:t>введеного в обіг</w:t>
            </w:r>
          </w:p>
        </w:tc>
        <w:tc>
          <w:tcPr>
            <w:tcW w:w="2353" w:type="dxa"/>
          </w:tcPr>
          <w:p w14:paraId="04E32D7A"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2D3C68A6" w14:textId="77777777" w:rsidTr="00681D30">
        <w:trPr>
          <w:gridAfter w:val="1"/>
          <w:wAfter w:w="9" w:type="dxa"/>
          <w:trHeight w:val="170"/>
        </w:trPr>
        <w:tc>
          <w:tcPr>
            <w:tcW w:w="1009" w:type="dxa"/>
          </w:tcPr>
          <w:p w14:paraId="30ECA04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0CDBAB5" w14:textId="34BC4EF8"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електричного та електронного обладнання – в цілому</w:t>
            </w:r>
          </w:p>
        </w:tc>
        <w:tc>
          <w:tcPr>
            <w:tcW w:w="2353" w:type="dxa"/>
          </w:tcPr>
          <w:p w14:paraId="6F806F58"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p>
        </w:tc>
      </w:tr>
      <w:tr w:rsidR="00991C8A" w:rsidRPr="00C22C49" w14:paraId="57CCE3E3" w14:textId="77777777" w:rsidTr="00681D30">
        <w:trPr>
          <w:gridAfter w:val="1"/>
          <w:wAfter w:w="9" w:type="dxa"/>
          <w:trHeight w:val="170"/>
        </w:trPr>
        <w:tc>
          <w:tcPr>
            <w:tcW w:w="1009" w:type="dxa"/>
          </w:tcPr>
          <w:p w14:paraId="01877A0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5622515" w14:textId="372E4ED8"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електричного та електронного обладнання з домогосподарств</w:t>
            </w:r>
          </w:p>
        </w:tc>
        <w:tc>
          <w:tcPr>
            <w:tcW w:w="2353" w:type="dxa"/>
          </w:tcPr>
          <w:p w14:paraId="613560BC" w14:textId="77777777" w:rsidR="00991C8A" w:rsidRPr="00C22C49" w:rsidRDefault="00991C8A" w:rsidP="00D81F1B">
            <w:pPr>
              <w:spacing w:before="0" w:line="259" w:lineRule="auto"/>
              <w:rPr>
                <w:rFonts w:eastAsia="Times New Roman" w:cs="Times New Roman"/>
                <w:szCs w:val="24"/>
              </w:rPr>
            </w:pPr>
            <w:r w:rsidRPr="002A636C">
              <w:rPr>
                <w:rFonts w:eastAsia="Times New Roman" w:cs="Times New Roman"/>
                <w:szCs w:val="24"/>
              </w:rPr>
              <w:t>тис.т</w:t>
            </w:r>
          </w:p>
        </w:tc>
      </w:tr>
      <w:tr w:rsidR="00991C8A" w:rsidRPr="00C22C49" w14:paraId="163B0935" w14:textId="77777777" w:rsidTr="00681D30">
        <w:trPr>
          <w:gridAfter w:val="1"/>
          <w:wAfter w:w="9" w:type="dxa"/>
          <w:trHeight w:val="170"/>
        </w:trPr>
        <w:tc>
          <w:tcPr>
            <w:tcW w:w="1009" w:type="dxa"/>
          </w:tcPr>
          <w:p w14:paraId="6A4F624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279ACA3" w14:textId="653A64B5" w:rsidR="00991C8A" w:rsidRPr="00C22C49" w:rsidRDefault="008D7A0F" w:rsidP="00D81F1B">
            <w:pPr>
              <w:spacing w:before="0" w:line="259" w:lineRule="auto"/>
              <w:rPr>
                <w:rFonts w:eastAsia="Times New Roman" w:cs="Times New Roman"/>
                <w:szCs w:val="24"/>
              </w:rPr>
            </w:pPr>
            <w:r w:rsidRPr="008D7A0F">
              <w:rPr>
                <w:rFonts w:eastAsia="Calibri" w:cs="Times New Roman"/>
                <w:szCs w:val="24"/>
              </w:rPr>
              <w:t>Обсяг</w:t>
            </w:r>
            <w:r w:rsidR="00991C8A" w:rsidRPr="00C22C49">
              <w:rPr>
                <w:rFonts w:eastAsia="Calibri" w:cs="Times New Roman"/>
                <w:szCs w:val="24"/>
              </w:rPr>
              <w:t xml:space="preserve"> зібраних відходів електричного та електронного обладнання, отриманого від інших користувачів, окрім домогосподарств.</w:t>
            </w:r>
          </w:p>
        </w:tc>
        <w:tc>
          <w:tcPr>
            <w:tcW w:w="2353" w:type="dxa"/>
          </w:tcPr>
          <w:p w14:paraId="10E0AC34"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60E7087D" w14:textId="77777777" w:rsidTr="00681D30">
        <w:trPr>
          <w:gridAfter w:val="1"/>
          <w:wAfter w:w="9" w:type="dxa"/>
          <w:trHeight w:val="170"/>
        </w:trPr>
        <w:tc>
          <w:tcPr>
            <w:tcW w:w="1009" w:type="dxa"/>
          </w:tcPr>
          <w:p w14:paraId="71DCF73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504E55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збирання відходів електричного та електронного обладнання</w:t>
            </w:r>
          </w:p>
        </w:tc>
        <w:tc>
          <w:tcPr>
            <w:tcW w:w="2353" w:type="dxa"/>
          </w:tcPr>
          <w:p w14:paraId="67DE942A"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05822AB9" w14:textId="77777777" w:rsidTr="00681D30">
        <w:trPr>
          <w:gridAfter w:val="1"/>
          <w:wAfter w:w="9" w:type="dxa"/>
          <w:trHeight w:val="170"/>
        </w:trPr>
        <w:tc>
          <w:tcPr>
            <w:tcW w:w="1009" w:type="dxa"/>
          </w:tcPr>
          <w:p w14:paraId="1A3D9F9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91F56B1"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Показник з підготовки для повторного використання та рециклінгу ВЕЕО за шістьма категоріями</w:t>
            </w:r>
          </w:p>
        </w:tc>
        <w:tc>
          <w:tcPr>
            <w:tcW w:w="2353" w:type="dxa"/>
          </w:tcPr>
          <w:p w14:paraId="524D960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24AD9270" w14:textId="77777777" w:rsidTr="00681D30">
        <w:trPr>
          <w:gridAfter w:val="1"/>
          <w:wAfter w:w="9" w:type="dxa"/>
          <w:trHeight w:val="170"/>
        </w:trPr>
        <w:tc>
          <w:tcPr>
            <w:tcW w:w="1009" w:type="dxa"/>
          </w:tcPr>
          <w:p w14:paraId="6DAD9EF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8B79C68" w14:textId="77777777" w:rsidR="00991C8A" w:rsidRPr="00C22C49" w:rsidRDefault="00991C8A" w:rsidP="00D81F1B">
            <w:pPr>
              <w:spacing w:before="0" w:line="259" w:lineRule="auto"/>
              <w:rPr>
                <w:rFonts w:eastAsia="Times New Roman" w:cs="Times New Roman"/>
                <w:szCs w:val="24"/>
              </w:rPr>
            </w:pPr>
            <w:r w:rsidRPr="00C22C49">
              <w:rPr>
                <w:rFonts w:eastAsia="Times New Roman" w:cs="Times New Roman"/>
                <w:szCs w:val="24"/>
              </w:rPr>
              <w:t>Показник з відновлення</w:t>
            </w:r>
            <w:r w:rsidRPr="00C22C49">
              <w:rPr>
                <w:rFonts w:ascii="Calibri" w:eastAsia="Calibri" w:hAnsi="Calibri" w:cs="Times New Roman"/>
                <w:sz w:val="22"/>
                <w:szCs w:val="22"/>
              </w:rPr>
              <w:t xml:space="preserve"> </w:t>
            </w:r>
            <w:r w:rsidRPr="00C22C49">
              <w:rPr>
                <w:rFonts w:eastAsia="Times New Roman" w:cs="Times New Roman"/>
                <w:szCs w:val="24"/>
              </w:rPr>
              <w:t>ВЕЕО за шістьма категоріями</w:t>
            </w:r>
          </w:p>
        </w:tc>
        <w:tc>
          <w:tcPr>
            <w:tcW w:w="2353" w:type="dxa"/>
          </w:tcPr>
          <w:p w14:paraId="76F80A3C"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44544951" w14:textId="77777777" w:rsidTr="00681D30">
        <w:trPr>
          <w:gridAfter w:val="1"/>
          <w:wAfter w:w="9" w:type="dxa"/>
          <w:trHeight w:val="170"/>
        </w:trPr>
        <w:tc>
          <w:tcPr>
            <w:tcW w:w="1009" w:type="dxa"/>
            <w:shd w:val="clear" w:color="auto" w:fill="B4C6E7"/>
          </w:tcPr>
          <w:p w14:paraId="31D7A93B" w14:textId="77777777" w:rsidR="00991C8A" w:rsidRPr="00C22C49" w:rsidRDefault="00991C8A" w:rsidP="00D81F1B">
            <w:pPr>
              <w:spacing w:before="0" w:line="259" w:lineRule="auto"/>
              <w:ind w:left="720"/>
              <w:contextualSpacing/>
              <w:jc w:val="left"/>
              <w:rPr>
                <w:rFonts w:eastAsia="Times New Roman" w:cs="Times New Roman"/>
                <w:b/>
                <w:szCs w:val="24"/>
              </w:rPr>
            </w:pPr>
          </w:p>
        </w:tc>
        <w:tc>
          <w:tcPr>
            <w:tcW w:w="6421" w:type="dxa"/>
            <w:shd w:val="clear" w:color="auto" w:fill="B4C6E7"/>
          </w:tcPr>
          <w:p w14:paraId="39840E68"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Зняті з експлуатації транспортні засоби</w:t>
            </w:r>
          </w:p>
        </w:tc>
        <w:tc>
          <w:tcPr>
            <w:tcW w:w="2353" w:type="dxa"/>
            <w:shd w:val="clear" w:color="auto" w:fill="B4C6E7"/>
          </w:tcPr>
          <w:p w14:paraId="1A297AAF" w14:textId="77777777" w:rsidR="00991C8A" w:rsidRPr="00C22C49" w:rsidRDefault="00991C8A" w:rsidP="00D81F1B">
            <w:pPr>
              <w:spacing w:before="0" w:line="259" w:lineRule="auto"/>
              <w:jc w:val="center"/>
              <w:rPr>
                <w:rFonts w:eastAsia="Times New Roman" w:cs="Times New Roman"/>
                <w:b/>
                <w:szCs w:val="24"/>
              </w:rPr>
            </w:pPr>
          </w:p>
        </w:tc>
      </w:tr>
      <w:tr w:rsidR="00991C8A" w:rsidRPr="00C22C49" w14:paraId="7AB304AD" w14:textId="77777777" w:rsidTr="00681D30">
        <w:trPr>
          <w:gridAfter w:val="1"/>
          <w:wAfter w:w="9" w:type="dxa"/>
          <w:trHeight w:val="170"/>
        </w:trPr>
        <w:tc>
          <w:tcPr>
            <w:tcW w:w="1009" w:type="dxa"/>
          </w:tcPr>
          <w:p w14:paraId="708D75A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DE85219"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об’єктів оброблення</w:t>
            </w:r>
            <w:r>
              <w:rPr>
                <w:rFonts w:eastAsia="Calibri" w:cs="Times New Roman"/>
                <w:szCs w:val="24"/>
              </w:rPr>
              <w:t xml:space="preserve"> відходів з</w:t>
            </w:r>
            <w:r w:rsidRPr="009803EC">
              <w:rPr>
                <w:rFonts w:eastAsia="Calibri" w:cs="Times New Roman"/>
                <w:szCs w:val="24"/>
              </w:rPr>
              <w:t>нят</w:t>
            </w:r>
            <w:r>
              <w:rPr>
                <w:rFonts w:eastAsia="Calibri" w:cs="Times New Roman"/>
                <w:szCs w:val="24"/>
              </w:rPr>
              <w:t>их</w:t>
            </w:r>
            <w:r w:rsidRPr="009803EC">
              <w:rPr>
                <w:rFonts w:eastAsia="Calibri" w:cs="Times New Roman"/>
                <w:szCs w:val="24"/>
              </w:rPr>
              <w:t xml:space="preserve"> з експлуатації транспортн</w:t>
            </w:r>
            <w:r>
              <w:rPr>
                <w:rFonts w:eastAsia="Calibri" w:cs="Times New Roman"/>
                <w:szCs w:val="24"/>
              </w:rPr>
              <w:t>их</w:t>
            </w:r>
            <w:r w:rsidRPr="009803EC">
              <w:rPr>
                <w:rFonts w:eastAsia="Calibri" w:cs="Times New Roman"/>
                <w:szCs w:val="24"/>
              </w:rPr>
              <w:t xml:space="preserve"> засоб</w:t>
            </w:r>
            <w:r>
              <w:rPr>
                <w:rFonts w:eastAsia="Calibri" w:cs="Times New Roman"/>
                <w:szCs w:val="24"/>
              </w:rPr>
              <w:t>ів</w:t>
            </w:r>
          </w:p>
        </w:tc>
        <w:tc>
          <w:tcPr>
            <w:tcW w:w="2353" w:type="dxa"/>
          </w:tcPr>
          <w:p w14:paraId="54A28AC8"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786F8EDD" w14:textId="77777777" w:rsidTr="00681D30">
        <w:trPr>
          <w:gridAfter w:val="1"/>
          <w:wAfter w:w="9" w:type="dxa"/>
          <w:trHeight w:val="170"/>
        </w:trPr>
        <w:tc>
          <w:tcPr>
            <w:tcW w:w="1009" w:type="dxa"/>
          </w:tcPr>
          <w:p w14:paraId="40C761E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C02A01F"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пунктів прийому транспортних засобів</w:t>
            </w:r>
          </w:p>
        </w:tc>
        <w:tc>
          <w:tcPr>
            <w:tcW w:w="2353" w:type="dxa"/>
          </w:tcPr>
          <w:p w14:paraId="4BC5A59E"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Одиниць</w:t>
            </w:r>
          </w:p>
        </w:tc>
      </w:tr>
      <w:tr w:rsidR="00991C8A" w:rsidRPr="00C22C49" w14:paraId="7C96F4CD" w14:textId="77777777" w:rsidTr="00681D30">
        <w:trPr>
          <w:gridAfter w:val="1"/>
          <w:wAfter w:w="9" w:type="dxa"/>
          <w:trHeight w:val="170"/>
        </w:trPr>
        <w:tc>
          <w:tcPr>
            <w:tcW w:w="1009" w:type="dxa"/>
          </w:tcPr>
          <w:p w14:paraId="6AC8A6C6"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2EB2E8C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зібраних транспортних засобів</w:t>
            </w:r>
          </w:p>
        </w:tc>
        <w:tc>
          <w:tcPr>
            <w:tcW w:w="2353" w:type="dxa"/>
          </w:tcPr>
          <w:p w14:paraId="2097DA1B"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5E119E87" w14:textId="77777777" w:rsidTr="00681D30">
        <w:trPr>
          <w:gridAfter w:val="1"/>
          <w:wAfter w:w="9" w:type="dxa"/>
          <w:trHeight w:val="170"/>
        </w:trPr>
        <w:tc>
          <w:tcPr>
            <w:tcW w:w="1009" w:type="dxa"/>
          </w:tcPr>
          <w:p w14:paraId="463A691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9DF552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w:t>
            </w:r>
            <w:r w:rsidRPr="00C22C49">
              <w:rPr>
                <w:rFonts w:ascii="Calibri" w:eastAsia="Calibri" w:hAnsi="Calibri" w:cs="Times New Roman"/>
                <w:sz w:val="22"/>
                <w:szCs w:val="22"/>
              </w:rPr>
              <w:t xml:space="preserve"> </w:t>
            </w:r>
            <w:r w:rsidRPr="00C22C49">
              <w:rPr>
                <w:rFonts w:eastAsia="Calibri" w:cs="Times New Roman"/>
                <w:szCs w:val="24"/>
              </w:rPr>
              <w:t>повторного використання та відновлення знятих з експлуатації транспортні засобів</w:t>
            </w:r>
          </w:p>
        </w:tc>
        <w:tc>
          <w:tcPr>
            <w:tcW w:w="2353" w:type="dxa"/>
          </w:tcPr>
          <w:p w14:paraId="17D1936E"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52120BFC" w14:textId="77777777" w:rsidTr="00681D30">
        <w:trPr>
          <w:gridAfter w:val="1"/>
          <w:wAfter w:w="9" w:type="dxa"/>
          <w:trHeight w:val="170"/>
        </w:trPr>
        <w:tc>
          <w:tcPr>
            <w:tcW w:w="1009" w:type="dxa"/>
          </w:tcPr>
          <w:p w14:paraId="64FB8A6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0F90701"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Показник повторного використання та рециклінгу знятих з експлуатації транспортні засобів</w:t>
            </w:r>
          </w:p>
        </w:tc>
        <w:tc>
          <w:tcPr>
            <w:tcW w:w="2353" w:type="dxa"/>
          </w:tcPr>
          <w:p w14:paraId="0C8E81B1" w14:textId="77777777" w:rsidR="00991C8A" w:rsidRPr="00C22C49" w:rsidRDefault="00991C8A" w:rsidP="00D81F1B">
            <w:pPr>
              <w:spacing w:before="0" w:line="259" w:lineRule="auto"/>
              <w:rPr>
                <w:rFonts w:eastAsia="Calibri" w:cs="Times New Roman"/>
                <w:szCs w:val="24"/>
              </w:rPr>
            </w:pPr>
            <w:r w:rsidRPr="00835DBB">
              <w:rPr>
                <w:rFonts w:eastAsia="Calibri" w:cs="Times New Roman"/>
                <w:szCs w:val="24"/>
              </w:rPr>
              <w:t>%</w:t>
            </w:r>
          </w:p>
        </w:tc>
      </w:tr>
      <w:tr w:rsidR="00991C8A" w:rsidRPr="00C22C49" w14:paraId="516B084A" w14:textId="77777777" w:rsidTr="00681D30">
        <w:trPr>
          <w:trHeight w:val="170"/>
        </w:trPr>
        <w:tc>
          <w:tcPr>
            <w:tcW w:w="1009" w:type="dxa"/>
            <w:shd w:val="clear" w:color="auto" w:fill="B4C6E7"/>
          </w:tcPr>
          <w:p w14:paraId="1962B497" w14:textId="77777777" w:rsidR="00991C8A" w:rsidRPr="00C22C49" w:rsidRDefault="00991C8A" w:rsidP="00D81F1B">
            <w:pPr>
              <w:spacing w:before="0" w:line="259" w:lineRule="auto"/>
              <w:ind w:left="720"/>
              <w:contextualSpacing/>
              <w:jc w:val="left"/>
              <w:rPr>
                <w:rFonts w:eastAsia="Calibri" w:cs="Times New Roman"/>
                <w:szCs w:val="24"/>
              </w:rPr>
            </w:pPr>
          </w:p>
        </w:tc>
        <w:tc>
          <w:tcPr>
            <w:tcW w:w="8783" w:type="dxa"/>
            <w:gridSpan w:val="3"/>
            <w:shd w:val="clear" w:color="auto" w:fill="B4C6E7"/>
          </w:tcPr>
          <w:p w14:paraId="7AB6C9DC"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Відходи мастил (олив)</w:t>
            </w:r>
          </w:p>
        </w:tc>
      </w:tr>
      <w:tr w:rsidR="00991C8A" w:rsidRPr="00C22C49" w14:paraId="34222FCE" w14:textId="77777777" w:rsidTr="00681D30">
        <w:trPr>
          <w:gridAfter w:val="1"/>
          <w:wAfter w:w="9" w:type="dxa"/>
          <w:trHeight w:val="170"/>
        </w:trPr>
        <w:tc>
          <w:tcPr>
            <w:tcW w:w="1009" w:type="dxa"/>
          </w:tcPr>
          <w:p w14:paraId="1229D308"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9918CB5"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мастил (олив) введених в обіг</w:t>
            </w:r>
          </w:p>
        </w:tc>
        <w:tc>
          <w:tcPr>
            <w:tcW w:w="2353" w:type="dxa"/>
          </w:tcPr>
          <w:p w14:paraId="0FCFDB71"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r>
              <w:rPr>
                <w:rFonts w:eastAsia="Calibri" w:cs="Times New Roman"/>
                <w:szCs w:val="24"/>
              </w:rPr>
              <w:t>/рік</w:t>
            </w:r>
          </w:p>
        </w:tc>
      </w:tr>
      <w:tr w:rsidR="00991C8A" w:rsidRPr="00C22C49" w14:paraId="7618B56C" w14:textId="77777777" w:rsidTr="00681D30">
        <w:trPr>
          <w:gridAfter w:val="1"/>
          <w:wAfter w:w="9" w:type="dxa"/>
          <w:trHeight w:val="170"/>
        </w:trPr>
        <w:tc>
          <w:tcPr>
            <w:tcW w:w="1009" w:type="dxa"/>
          </w:tcPr>
          <w:p w14:paraId="1E90BCB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1A39763" w14:textId="0C365743"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C22C49">
              <w:rPr>
                <w:rFonts w:eastAsia="Calibri" w:cs="Times New Roman"/>
                <w:szCs w:val="24"/>
              </w:rPr>
              <w:t xml:space="preserve"> утворених відходів мастил (олив)</w:t>
            </w:r>
          </w:p>
        </w:tc>
        <w:tc>
          <w:tcPr>
            <w:tcW w:w="2353" w:type="dxa"/>
          </w:tcPr>
          <w:p w14:paraId="6BF37692"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r w:rsidRPr="00835DBB">
              <w:rPr>
                <w:rFonts w:eastAsia="Calibri" w:cs="Times New Roman"/>
                <w:szCs w:val="24"/>
              </w:rPr>
              <w:t>/рік</w:t>
            </w:r>
          </w:p>
        </w:tc>
      </w:tr>
      <w:tr w:rsidR="00991C8A" w:rsidRPr="00C22C49" w14:paraId="603296DE" w14:textId="77777777" w:rsidTr="00681D30">
        <w:trPr>
          <w:gridAfter w:val="1"/>
          <w:wAfter w:w="9" w:type="dxa"/>
          <w:trHeight w:val="170"/>
        </w:trPr>
        <w:tc>
          <w:tcPr>
            <w:tcW w:w="1009" w:type="dxa"/>
          </w:tcPr>
          <w:p w14:paraId="2CF4F023"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BAD4AF4" w14:textId="1BBE6136" w:rsidR="00991C8A" w:rsidRPr="00C22C49" w:rsidRDefault="008D7A0F" w:rsidP="00D81F1B">
            <w:pPr>
              <w:spacing w:before="0" w:line="259" w:lineRule="auto"/>
              <w:rPr>
                <w:rFonts w:eastAsia="Calibri" w:cs="Times New Roman"/>
                <w:szCs w:val="24"/>
              </w:rPr>
            </w:pPr>
            <w:r w:rsidRPr="008D7A0F">
              <w:rPr>
                <w:rFonts w:eastAsia="Calibri" w:cs="Times New Roman"/>
                <w:szCs w:val="24"/>
              </w:rPr>
              <w:t>Обсяг</w:t>
            </w:r>
            <w:r w:rsidR="00991C8A" w:rsidRPr="00C22C49">
              <w:rPr>
                <w:rFonts w:eastAsia="Calibri" w:cs="Times New Roman"/>
                <w:szCs w:val="24"/>
              </w:rPr>
              <w:t>ь відновлених відходів мастил (олив)</w:t>
            </w:r>
          </w:p>
        </w:tc>
        <w:tc>
          <w:tcPr>
            <w:tcW w:w="2353" w:type="dxa"/>
          </w:tcPr>
          <w:p w14:paraId="52213D1E"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1710830F" w14:textId="77777777" w:rsidTr="00681D30">
        <w:trPr>
          <w:gridAfter w:val="1"/>
          <w:wAfter w:w="9" w:type="dxa"/>
          <w:trHeight w:val="170"/>
        </w:trPr>
        <w:tc>
          <w:tcPr>
            <w:tcW w:w="1009" w:type="dxa"/>
          </w:tcPr>
          <w:p w14:paraId="0FD29CDE"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DD89870" w14:textId="71A40D1C" w:rsidR="00991C8A" w:rsidRPr="00C22C49" w:rsidRDefault="008D7A0F" w:rsidP="00D81F1B">
            <w:pPr>
              <w:spacing w:before="0" w:line="259" w:lineRule="auto"/>
              <w:rPr>
                <w:rFonts w:eastAsia="Calibri" w:cs="Times New Roman"/>
                <w:szCs w:val="24"/>
              </w:rPr>
            </w:pPr>
            <w:r>
              <w:rPr>
                <w:rFonts w:eastAsia="Calibri" w:cs="Times New Roman"/>
                <w:szCs w:val="24"/>
              </w:rPr>
              <w:t>Обсяг</w:t>
            </w:r>
            <w:r w:rsidR="00991C8A" w:rsidRPr="00C22C49">
              <w:rPr>
                <w:rFonts w:eastAsia="Calibri" w:cs="Times New Roman"/>
                <w:szCs w:val="24"/>
              </w:rPr>
              <w:t xml:space="preserve"> регенерованих відходів мастил (олив)</w:t>
            </w:r>
          </w:p>
        </w:tc>
        <w:tc>
          <w:tcPr>
            <w:tcW w:w="2353" w:type="dxa"/>
          </w:tcPr>
          <w:p w14:paraId="195CC579"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5F52D725" w14:textId="77777777" w:rsidTr="00681D30">
        <w:trPr>
          <w:gridAfter w:val="1"/>
          <w:wAfter w:w="9" w:type="dxa"/>
          <w:trHeight w:val="170"/>
        </w:trPr>
        <w:tc>
          <w:tcPr>
            <w:tcW w:w="1009" w:type="dxa"/>
          </w:tcPr>
          <w:p w14:paraId="6F80909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237EF43" w14:textId="3D97E9BA" w:rsidR="00991C8A" w:rsidRPr="00C22C49" w:rsidRDefault="00991C8A" w:rsidP="00D81F1B">
            <w:pPr>
              <w:spacing w:before="0" w:line="259" w:lineRule="auto"/>
              <w:rPr>
                <w:rFonts w:eastAsia="Calibri" w:cs="Times New Roman"/>
                <w:szCs w:val="24"/>
              </w:rPr>
            </w:pPr>
            <w:r w:rsidRPr="00C22C49">
              <w:rPr>
                <w:rFonts w:eastAsia="Times New Roman" w:cs="Times New Roman"/>
                <w:szCs w:val="24"/>
              </w:rPr>
              <w:t xml:space="preserve">Відсоток </w:t>
            </w:r>
            <w:r w:rsidR="008D7A0F">
              <w:rPr>
                <w:rFonts w:eastAsia="Times New Roman" w:cs="Times New Roman"/>
                <w:szCs w:val="24"/>
              </w:rPr>
              <w:t>обсягу</w:t>
            </w:r>
            <w:r w:rsidRPr="00C22C49">
              <w:rPr>
                <w:rFonts w:eastAsia="Times New Roman" w:cs="Times New Roman"/>
                <w:szCs w:val="24"/>
              </w:rPr>
              <w:t xml:space="preserve"> утворених відходів мастил (олив) щодо яких здійснено операції з відновлення</w:t>
            </w:r>
          </w:p>
        </w:tc>
        <w:tc>
          <w:tcPr>
            <w:tcW w:w="2353" w:type="dxa"/>
          </w:tcPr>
          <w:p w14:paraId="26E2A14D"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766501E8" w14:textId="77777777" w:rsidTr="00681D30">
        <w:trPr>
          <w:gridAfter w:val="1"/>
          <w:wAfter w:w="9" w:type="dxa"/>
          <w:trHeight w:val="170"/>
        </w:trPr>
        <w:tc>
          <w:tcPr>
            <w:tcW w:w="1009" w:type="dxa"/>
          </w:tcPr>
          <w:p w14:paraId="08148DE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795444B" w14:textId="07EE5678" w:rsidR="00991C8A" w:rsidRPr="00C22C49" w:rsidRDefault="00991C8A" w:rsidP="00D81F1B">
            <w:pPr>
              <w:spacing w:before="0" w:line="259" w:lineRule="auto"/>
              <w:rPr>
                <w:rFonts w:eastAsia="Calibri" w:cs="Times New Roman"/>
                <w:szCs w:val="24"/>
              </w:rPr>
            </w:pPr>
            <w:r w:rsidRPr="00C22C49">
              <w:rPr>
                <w:rFonts w:eastAsia="Calibri" w:cs="Times New Roman"/>
                <w:szCs w:val="24"/>
              </w:rPr>
              <w:t xml:space="preserve">Відсоток </w:t>
            </w:r>
            <w:r w:rsidR="008D7A0F">
              <w:rPr>
                <w:rFonts w:eastAsia="Calibri" w:cs="Times New Roman"/>
                <w:szCs w:val="24"/>
              </w:rPr>
              <w:t>обсягу</w:t>
            </w:r>
            <w:r w:rsidRPr="00C22C49">
              <w:rPr>
                <w:rFonts w:eastAsia="Calibri" w:cs="Times New Roman"/>
                <w:szCs w:val="24"/>
              </w:rPr>
              <w:t xml:space="preserve"> утворених відходів мастил (олив) щодо яких здійснено операції з регенерації</w:t>
            </w:r>
          </w:p>
        </w:tc>
        <w:tc>
          <w:tcPr>
            <w:tcW w:w="2353" w:type="dxa"/>
          </w:tcPr>
          <w:p w14:paraId="5469B581"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w:t>
            </w:r>
          </w:p>
        </w:tc>
      </w:tr>
      <w:tr w:rsidR="00991C8A" w:rsidRPr="00C22C49" w14:paraId="4EA04535" w14:textId="77777777" w:rsidTr="00681D30">
        <w:trPr>
          <w:gridAfter w:val="1"/>
          <w:wAfter w:w="9" w:type="dxa"/>
          <w:trHeight w:val="170"/>
        </w:trPr>
        <w:tc>
          <w:tcPr>
            <w:tcW w:w="1009" w:type="dxa"/>
            <w:shd w:val="clear" w:color="auto" w:fill="B4C6E7"/>
          </w:tcPr>
          <w:p w14:paraId="1C071EA4" w14:textId="77777777" w:rsidR="00991C8A" w:rsidRPr="00C22C49" w:rsidRDefault="00991C8A" w:rsidP="00D81F1B">
            <w:pPr>
              <w:spacing w:before="0" w:line="259" w:lineRule="auto"/>
              <w:ind w:left="720"/>
              <w:contextualSpacing/>
              <w:jc w:val="left"/>
              <w:rPr>
                <w:rFonts w:eastAsia="Times New Roman" w:cs="Times New Roman"/>
                <w:b/>
                <w:szCs w:val="24"/>
              </w:rPr>
            </w:pPr>
          </w:p>
        </w:tc>
        <w:tc>
          <w:tcPr>
            <w:tcW w:w="6421" w:type="dxa"/>
            <w:shd w:val="clear" w:color="auto" w:fill="B4C6E7"/>
          </w:tcPr>
          <w:p w14:paraId="582F28B5"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Відходи шин</w:t>
            </w:r>
          </w:p>
        </w:tc>
        <w:tc>
          <w:tcPr>
            <w:tcW w:w="2353" w:type="dxa"/>
            <w:shd w:val="clear" w:color="auto" w:fill="B4C6E7"/>
          </w:tcPr>
          <w:p w14:paraId="24398B43" w14:textId="77777777" w:rsidR="00991C8A" w:rsidRPr="00C22C49" w:rsidRDefault="00991C8A" w:rsidP="00D81F1B">
            <w:pPr>
              <w:spacing w:before="0" w:line="259" w:lineRule="auto"/>
              <w:jc w:val="center"/>
              <w:rPr>
                <w:rFonts w:eastAsia="Times New Roman" w:cs="Times New Roman"/>
                <w:b/>
                <w:szCs w:val="24"/>
              </w:rPr>
            </w:pPr>
          </w:p>
        </w:tc>
      </w:tr>
      <w:tr w:rsidR="00991C8A" w:rsidRPr="00C22C49" w14:paraId="4A9F2586" w14:textId="77777777" w:rsidTr="00681D30">
        <w:trPr>
          <w:gridAfter w:val="1"/>
          <w:wAfter w:w="9" w:type="dxa"/>
          <w:trHeight w:val="170"/>
        </w:trPr>
        <w:tc>
          <w:tcPr>
            <w:tcW w:w="1009" w:type="dxa"/>
          </w:tcPr>
          <w:p w14:paraId="758BE11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247EDBB"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шин</w:t>
            </w:r>
            <w:r w:rsidRPr="00C22C49">
              <w:rPr>
                <w:rFonts w:ascii="Calibri" w:eastAsia="Calibri" w:hAnsi="Calibri" w:cs="Times New Roman"/>
                <w:sz w:val="22"/>
                <w:szCs w:val="22"/>
              </w:rPr>
              <w:t xml:space="preserve"> </w:t>
            </w:r>
            <w:r w:rsidRPr="00C22C49">
              <w:rPr>
                <w:rFonts w:eastAsia="Calibri" w:cs="Times New Roman"/>
                <w:szCs w:val="24"/>
              </w:rPr>
              <w:t>введених в обіг</w:t>
            </w:r>
          </w:p>
        </w:tc>
        <w:tc>
          <w:tcPr>
            <w:tcW w:w="2353" w:type="dxa"/>
          </w:tcPr>
          <w:p w14:paraId="6C77CA77"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r w:rsidRPr="00835DBB">
              <w:rPr>
                <w:rFonts w:eastAsia="Calibri" w:cs="Times New Roman"/>
                <w:szCs w:val="24"/>
              </w:rPr>
              <w:t>/рік</w:t>
            </w:r>
          </w:p>
        </w:tc>
      </w:tr>
      <w:tr w:rsidR="00991C8A" w:rsidRPr="00C22C49" w14:paraId="78D52820" w14:textId="77777777" w:rsidTr="00681D30">
        <w:trPr>
          <w:gridAfter w:val="1"/>
          <w:wAfter w:w="9" w:type="dxa"/>
          <w:trHeight w:val="170"/>
        </w:trPr>
        <w:tc>
          <w:tcPr>
            <w:tcW w:w="1009" w:type="dxa"/>
          </w:tcPr>
          <w:p w14:paraId="566F6DE7"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0BD82A29"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шин, що</w:t>
            </w:r>
            <w:r>
              <w:rPr>
                <w:rFonts w:eastAsia="Calibri" w:cs="Times New Roman"/>
                <w:szCs w:val="24"/>
              </w:rPr>
              <w:t xml:space="preserve">до яких здійснено операції </w:t>
            </w:r>
            <w:r w:rsidRPr="00C22C49">
              <w:rPr>
                <w:rFonts w:eastAsia="Calibri" w:cs="Times New Roman"/>
                <w:szCs w:val="24"/>
              </w:rPr>
              <w:t>з рециклінгу</w:t>
            </w:r>
          </w:p>
        </w:tc>
        <w:tc>
          <w:tcPr>
            <w:tcW w:w="2353" w:type="dxa"/>
          </w:tcPr>
          <w:p w14:paraId="7ED6284E" w14:textId="77777777" w:rsidR="00991C8A" w:rsidRPr="002A636C" w:rsidRDefault="00991C8A" w:rsidP="00D81F1B">
            <w:pPr>
              <w:spacing w:before="0" w:line="259" w:lineRule="auto"/>
              <w:rPr>
                <w:rFonts w:eastAsia="Calibri" w:cs="Times New Roman"/>
                <w:szCs w:val="24"/>
              </w:rPr>
            </w:pPr>
            <w:r w:rsidRPr="002A636C">
              <w:rPr>
                <w:rFonts w:eastAsia="Calibri" w:cs="Times New Roman"/>
                <w:szCs w:val="24"/>
              </w:rPr>
              <w:t>тис.т</w:t>
            </w:r>
            <w:r w:rsidRPr="00835DBB">
              <w:rPr>
                <w:rFonts w:eastAsia="Calibri" w:cs="Times New Roman"/>
                <w:szCs w:val="24"/>
              </w:rPr>
              <w:t>/рік</w:t>
            </w:r>
          </w:p>
        </w:tc>
      </w:tr>
      <w:tr w:rsidR="00991C8A" w:rsidRPr="00C22C49" w14:paraId="19152972" w14:textId="77777777" w:rsidTr="00681D30">
        <w:trPr>
          <w:gridAfter w:val="1"/>
          <w:wAfter w:w="9" w:type="dxa"/>
          <w:trHeight w:val="170"/>
        </w:trPr>
        <w:tc>
          <w:tcPr>
            <w:tcW w:w="1009" w:type="dxa"/>
          </w:tcPr>
          <w:p w14:paraId="2471542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2AB53D3F"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шин, що</w:t>
            </w:r>
            <w:r>
              <w:rPr>
                <w:rFonts w:eastAsia="Calibri" w:cs="Times New Roman"/>
                <w:szCs w:val="24"/>
              </w:rPr>
              <w:t xml:space="preserve">до яких здійснено операції </w:t>
            </w:r>
            <w:r w:rsidRPr="00C22C49">
              <w:rPr>
                <w:rFonts w:eastAsia="Calibri" w:cs="Times New Roman"/>
                <w:szCs w:val="24"/>
              </w:rPr>
              <w:t>з відновлення, крім рециклінгу</w:t>
            </w:r>
          </w:p>
        </w:tc>
        <w:tc>
          <w:tcPr>
            <w:tcW w:w="2353" w:type="dxa"/>
          </w:tcPr>
          <w:p w14:paraId="05FB69C4"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r w:rsidRPr="00835DBB">
              <w:rPr>
                <w:rFonts w:eastAsia="Calibri" w:cs="Times New Roman"/>
                <w:szCs w:val="24"/>
              </w:rPr>
              <w:t>/рік</w:t>
            </w:r>
          </w:p>
        </w:tc>
      </w:tr>
      <w:tr w:rsidR="00991C8A" w:rsidRPr="00C22C49" w14:paraId="556DEDA4" w14:textId="77777777" w:rsidTr="00681D30">
        <w:trPr>
          <w:gridAfter w:val="1"/>
          <w:wAfter w:w="9" w:type="dxa"/>
          <w:trHeight w:val="170"/>
        </w:trPr>
        <w:tc>
          <w:tcPr>
            <w:tcW w:w="1009" w:type="dxa"/>
          </w:tcPr>
          <w:p w14:paraId="5BE3B874"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A28234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відновлення відходів шин</w:t>
            </w:r>
          </w:p>
        </w:tc>
        <w:tc>
          <w:tcPr>
            <w:tcW w:w="2353" w:type="dxa"/>
          </w:tcPr>
          <w:p w14:paraId="00DDBB7A"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5BFE5489" w14:textId="77777777" w:rsidTr="00681D30">
        <w:trPr>
          <w:gridAfter w:val="1"/>
          <w:wAfter w:w="9" w:type="dxa"/>
          <w:trHeight w:val="170"/>
        </w:trPr>
        <w:tc>
          <w:tcPr>
            <w:tcW w:w="1009" w:type="dxa"/>
          </w:tcPr>
          <w:p w14:paraId="7542A0DD"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1822465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Показник рециклінгу відходів шин</w:t>
            </w:r>
          </w:p>
        </w:tc>
        <w:tc>
          <w:tcPr>
            <w:tcW w:w="2353" w:type="dxa"/>
          </w:tcPr>
          <w:p w14:paraId="75F1E580"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w:t>
            </w:r>
          </w:p>
        </w:tc>
      </w:tr>
      <w:tr w:rsidR="00991C8A" w:rsidRPr="00C22C49" w14:paraId="1F67DFB0" w14:textId="77777777" w:rsidTr="00681D30">
        <w:trPr>
          <w:trHeight w:val="170"/>
        </w:trPr>
        <w:tc>
          <w:tcPr>
            <w:tcW w:w="1009" w:type="dxa"/>
            <w:shd w:val="clear" w:color="auto" w:fill="8EAADB"/>
          </w:tcPr>
          <w:p w14:paraId="46FE017B" w14:textId="77777777" w:rsidR="00991C8A" w:rsidRPr="00C22C49" w:rsidRDefault="00991C8A" w:rsidP="00D81F1B">
            <w:pPr>
              <w:spacing w:before="0" w:line="259" w:lineRule="auto"/>
              <w:ind w:left="720"/>
              <w:contextualSpacing/>
              <w:jc w:val="left"/>
              <w:rPr>
                <w:rFonts w:eastAsia="Calibri" w:cs="Times New Roman"/>
                <w:b/>
                <w:bCs/>
                <w:szCs w:val="24"/>
              </w:rPr>
            </w:pPr>
          </w:p>
        </w:tc>
        <w:tc>
          <w:tcPr>
            <w:tcW w:w="8783" w:type="dxa"/>
            <w:gridSpan w:val="3"/>
            <w:shd w:val="clear" w:color="auto" w:fill="8EAADB"/>
          </w:tcPr>
          <w:p w14:paraId="198BB33D" w14:textId="77777777" w:rsidR="00991C8A" w:rsidRPr="00C22C49" w:rsidRDefault="00991C8A" w:rsidP="00D81F1B">
            <w:pPr>
              <w:spacing w:before="0" w:line="259" w:lineRule="auto"/>
              <w:jc w:val="center"/>
              <w:rPr>
                <w:rFonts w:eastAsia="Calibri" w:cs="Times New Roman"/>
                <w:b/>
                <w:bCs/>
                <w:szCs w:val="24"/>
              </w:rPr>
            </w:pPr>
            <w:r w:rsidRPr="00C22C49">
              <w:rPr>
                <w:rFonts w:eastAsia="Calibri" w:cs="Times New Roman"/>
                <w:b/>
                <w:bCs/>
                <w:szCs w:val="24"/>
              </w:rPr>
              <w:t>Інші види відходів, що потребують специфічного управління</w:t>
            </w:r>
          </w:p>
        </w:tc>
      </w:tr>
      <w:tr w:rsidR="00991C8A" w:rsidRPr="00C22C49" w14:paraId="59634DCF" w14:textId="77777777" w:rsidTr="00681D30">
        <w:trPr>
          <w:gridAfter w:val="1"/>
          <w:wAfter w:w="9" w:type="dxa"/>
          <w:trHeight w:val="170"/>
        </w:trPr>
        <w:tc>
          <w:tcPr>
            <w:tcW w:w="1009" w:type="dxa"/>
            <w:shd w:val="clear" w:color="auto" w:fill="B4C6E7"/>
          </w:tcPr>
          <w:p w14:paraId="6EFD2313" w14:textId="77777777" w:rsidR="00991C8A" w:rsidRPr="00C22C49" w:rsidRDefault="00991C8A" w:rsidP="00D81F1B">
            <w:pPr>
              <w:spacing w:before="0" w:line="259" w:lineRule="auto"/>
              <w:ind w:left="720"/>
              <w:contextualSpacing/>
              <w:rPr>
                <w:rFonts w:eastAsia="Times New Roman" w:cs="Times New Roman"/>
                <w:szCs w:val="24"/>
              </w:rPr>
            </w:pPr>
          </w:p>
        </w:tc>
        <w:tc>
          <w:tcPr>
            <w:tcW w:w="6421" w:type="dxa"/>
            <w:shd w:val="clear" w:color="auto" w:fill="B4C6E7"/>
          </w:tcPr>
          <w:p w14:paraId="00377C54" w14:textId="77777777" w:rsidR="00991C8A" w:rsidRPr="00C22C49" w:rsidRDefault="00991C8A" w:rsidP="00D81F1B">
            <w:pPr>
              <w:spacing w:before="0" w:line="259" w:lineRule="auto"/>
              <w:jc w:val="center"/>
              <w:rPr>
                <w:rFonts w:eastAsia="Times New Roman" w:cs="Times New Roman"/>
                <w:b/>
                <w:szCs w:val="24"/>
              </w:rPr>
            </w:pPr>
            <w:r w:rsidRPr="00C22C49">
              <w:rPr>
                <w:rFonts w:eastAsia="Calibri" w:cs="Times New Roman"/>
                <w:b/>
                <w:szCs w:val="24"/>
              </w:rPr>
              <w:t>Осади стічних вод</w:t>
            </w:r>
          </w:p>
        </w:tc>
        <w:tc>
          <w:tcPr>
            <w:tcW w:w="2353" w:type="dxa"/>
            <w:shd w:val="clear" w:color="auto" w:fill="B4C6E7"/>
          </w:tcPr>
          <w:p w14:paraId="6BA94FB2" w14:textId="77777777" w:rsidR="00991C8A" w:rsidRPr="00C22C49" w:rsidRDefault="00991C8A" w:rsidP="00D81F1B">
            <w:pPr>
              <w:spacing w:before="0" w:line="259" w:lineRule="auto"/>
              <w:rPr>
                <w:rFonts w:eastAsia="Times New Roman" w:cs="Times New Roman"/>
                <w:szCs w:val="24"/>
              </w:rPr>
            </w:pPr>
          </w:p>
        </w:tc>
      </w:tr>
      <w:tr w:rsidR="00991C8A" w:rsidRPr="00C22C49" w14:paraId="700627CB" w14:textId="77777777" w:rsidTr="00681D30">
        <w:trPr>
          <w:gridAfter w:val="1"/>
          <w:wAfter w:w="9" w:type="dxa"/>
          <w:trHeight w:val="170"/>
        </w:trPr>
        <w:tc>
          <w:tcPr>
            <w:tcW w:w="1009" w:type="dxa"/>
          </w:tcPr>
          <w:p w14:paraId="51ACE6E0"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121EFB2"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утворених осадів стічних вод</w:t>
            </w:r>
          </w:p>
        </w:tc>
        <w:tc>
          <w:tcPr>
            <w:tcW w:w="2353" w:type="dxa"/>
          </w:tcPr>
          <w:p w14:paraId="3DF57514" w14:textId="77777777" w:rsidR="00991C8A" w:rsidRDefault="00991C8A" w:rsidP="00D81F1B">
            <w:pPr>
              <w:spacing w:before="0" w:line="259" w:lineRule="auto"/>
              <w:rPr>
                <w:rFonts w:eastAsia="Calibri" w:cs="Times New Roman"/>
              </w:rPr>
            </w:pPr>
            <w:r w:rsidRPr="002A636C">
              <w:rPr>
                <w:rFonts w:eastAsia="Calibri" w:cs="Times New Roman"/>
                <w:szCs w:val="24"/>
              </w:rPr>
              <w:t>тис.т</w:t>
            </w:r>
            <w:r>
              <w:rPr>
                <w:rFonts w:eastAsia="Calibri" w:cs="Times New Roman"/>
                <w:szCs w:val="24"/>
              </w:rPr>
              <w:t>,</w:t>
            </w:r>
            <w:r w:rsidRPr="002A636C">
              <w:rPr>
                <w:rFonts w:eastAsia="Calibri" w:cs="Times New Roman"/>
                <w:szCs w:val="24"/>
              </w:rPr>
              <w:t xml:space="preserve"> </w:t>
            </w:r>
          </w:p>
          <w:p w14:paraId="0C994C06"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 xml:space="preserve">тис.т </w:t>
            </w:r>
            <w:r w:rsidRPr="00C22C49">
              <w:rPr>
                <w:rFonts w:eastAsia="Calibri" w:cs="Times New Roman"/>
                <w:szCs w:val="24"/>
              </w:rPr>
              <w:t>сухої ваги</w:t>
            </w:r>
          </w:p>
        </w:tc>
      </w:tr>
      <w:tr w:rsidR="00991C8A" w:rsidRPr="00C22C49" w14:paraId="02077B7C" w14:textId="77777777" w:rsidTr="00681D30">
        <w:trPr>
          <w:gridAfter w:val="1"/>
          <w:wAfter w:w="9" w:type="dxa"/>
          <w:trHeight w:val="58"/>
        </w:trPr>
        <w:tc>
          <w:tcPr>
            <w:tcW w:w="1009" w:type="dxa"/>
          </w:tcPr>
          <w:p w14:paraId="373177A1"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7FC73014"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Кількість відновлених </w:t>
            </w:r>
            <w:r w:rsidRPr="00C22C49">
              <w:rPr>
                <w:rFonts w:ascii="Calibri" w:eastAsia="Calibri" w:hAnsi="Calibri" w:cs="Times New Roman"/>
                <w:sz w:val="22"/>
                <w:szCs w:val="22"/>
              </w:rPr>
              <w:t xml:space="preserve"> </w:t>
            </w:r>
            <w:r w:rsidRPr="00C22C49">
              <w:rPr>
                <w:rFonts w:eastAsia="Calibri" w:cs="Times New Roman"/>
                <w:szCs w:val="24"/>
              </w:rPr>
              <w:t>осадів стічних вод</w:t>
            </w:r>
          </w:p>
        </w:tc>
        <w:tc>
          <w:tcPr>
            <w:tcW w:w="2353" w:type="dxa"/>
          </w:tcPr>
          <w:p w14:paraId="178C723E"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02056B03" w14:textId="77777777" w:rsidTr="00681D30">
        <w:trPr>
          <w:gridAfter w:val="1"/>
          <w:wAfter w:w="9" w:type="dxa"/>
          <w:trHeight w:val="58"/>
        </w:trPr>
        <w:tc>
          <w:tcPr>
            <w:tcW w:w="1009" w:type="dxa"/>
          </w:tcPr>
          <w:p w14:paraId="7418F80B"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CF0C072" w14:textId="77777777" w:rsidR="00991C8A" w:rsidRPr="00C22C49" w:rsidRDefault="00991C8A" w:rsidP="00D81F1B">
            <w:pPr>
              <w:spacing w:before="0" w:line="259" w:lineRule="auto"/>
              <w:rPr>
                <w:rFonts w:eastAsia="Calibri" w:cs="Times New Roman"/>
                <w:szCs w:val="24"/>
              </w:rPr>
            </w:pPr>
            <w:r w:rsidRPr="00C22C49">
              <w:rPr>
                <w:rFonts w:eastAsia="Calibri" w:cs="Times New Roman"/>
                <w:szCs w:val="24"/>
              </w:rPr>
              <w:t>Кількість спалених</w:t>
            </w:r>
            <w:r w:rsidRPr="00C22C49">
              <w:rPr>
                <w:rFonts w:ascii="Calibri" w:eastAsia="Calibri" w:hAnsi="Calibri" w:cs="Times New Roman"/>
                <w:sz w:val="22"/>
                <w:szCs w:val="22"/>
              </w:rPr>
              <w:t xml:space="preserve"> </w:t>
            </w:r>
            <w:r w:rsidRPr="00C22C49">
              <w:rPr>
                <w:rFonts w:eastAsia="Calibri" w:cs="Times New Roman"/>
                <w:szCs w:val="24"/>
              </w:rPr>
              <w:t>осадів стічних вод</w:t>
            </w:r>
          </w:p>
        </w:tc>
        <w:tc>
          <w:tcPr>
            <w:tcW w:w="2353" w:type="dxa"/>
          </w:tcPr>
          <w:p w14:paraId="3B13CF53" w14:textId="77777777" w:rsidR="00991C8A" w:rsidRPr="00C22C49" w:rsidRDefault="00991C8A" w:rsidP="00D81F1B">
            <w:pPr>
              <w:spacing w:before="0" w:line="259" w:lineRule="auto"/>
              <w:rPr>
                <w:rFonts w:eastAsia="Calibri" w:cs="Times New Roman"/>
                <w:szCs w:val="24"/>
              </w:rPr>
            </w:pPr>
            <w:r w:rsidRPr="002A636C">
              <w:rPr>
                <w:rFonts w:eastAsia="Calibri" w:cs="Times New Roman"/>
                <w:szCs w:val="24"/>
              </w:rPr>
              <w:t>тис.т</w:t>
            </w:r>
          </w:p>
        </w:tc>
      </w:tr>
      <w:tr w:rsidR="00991C8A" w:rsidRPr="00C22C49" w14:paraId="37821BCE" w14:textId="77777777" w:rsidTr="00681D30">
        <w:trPr>
          <w:gridAfter w:val="1"/>
          <w:wAfter w:w="9" w:type="dxa"/>
          <w:trHeight w:val="170"/>
        </w:trPr>
        <w:tc>
          <w:tcPr>
            <w:tcW w:w="1009" w:type="dxa"/>
          </w:tcPr>
          <w:p w14:paraId="24E70CFC"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4EE9F08C"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Кількість видалених</w:t>
            </w:r>
            <w:r w:rsidRPr="00C22C49">
              <w:rPr>
                <w:rFonts w:ascii="Calibri" w:eastAsia="Calibri" w:hAnsi="Calibri" w:cs="Times New Roman"/>
                <w:sz w:val="22"/>
                <w:szCs w:val="22"/>
              </w:rPr>
              <w:t xml:space="preserve"> </w:t>
            </w:r>
            <w:r w:rsidRPr="00C22C49">
              <w:rPr>
                <w:rFonts w:eastAsia="Calibri" w:cs="Times New Roman"/>
                <w:szCs w:val="24"/>
              </w:rPr>
              <w:t>осадів стічних вод</w:t>
            </w:r>
          </w:p>
        </w:tc>
        <w:tc>
          <w:tcPr>
            <w:tcW w:w="2353" w:type="dxa"/>
          </w:tcPr>
          <w:p w14:paraId="7FBE02E6"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991C8A" w:rsidRPr="00C22C49" w14:paraId="0D661D60" w14:textId="77777777" w:rsidTr="00681D30">
        <w:trPr>
          <w:gridAfter w:val="1"/>
          <w:wAfter w:w="9" w:type="dxa"/>
          <w:trHeight w:val="170"/>
        </w:trPr>
        <w:tc>
          <w:tcPr>
            <w:tcW w:w="1009" w:type="dxa"/>
          </w:tcPr>
          <w:p w14:paraId="15717732" w14:textId="77777777" w:rsidR="00991C8A" w:rsidRPr="00C22C49" w:rsidRDefault="00991C8A" w:rsidP="00D81F1B">
            <w:pPr>
              <w:numPr>
                <w:ilvl w:val="0"/>
                <w:numId w:val="23"/>
              </w:numPr>
              <w:tabs>
                <w:tab w:val="clear" w:pos="284"/>
                <w:tab w:val="clear" w:pos="1985"/>
              </w:tabs>
              <w:spacing w:before="0" w:after="160" w:line="259" w:lineRule="auto"/>
              <w:contextualSpacing/>
              <w:jc w:val="left"/>
              <w:rPr>
                <w:rFonts w:eastAsia="Times New Roman" w:cs="Times New Roman"/>
                <w:szCs w:val="24"/>
              </w:rPr>
            </w:pPr>
          </w:p>
        </w:tc>
        <w:tc>
          <w:tcPr>
            <w:tcW w:w="6421" w:type="dxa"/>
          </w:tcPr>
          <w:p w14:paraId="3CF665F9" w14:textId="77777777" w:rsidR="00991C8A" w:rsidRPr="00C22C49" w:rsidRDefault="00991C8A" w:rsidP="00D81F1B">
            <w:pPr>
              <w:spacing w:before="0" w:line="259" w:lineRule="auto"/>
              <w:rPr>
                <w:rFonts w:eastAsia="Times New Roman" w:cs="Times New Roman"/>
                <w:szCs w:val="24"/>
              </w:rPr>
            </w:pPr>
            <w:r w:rsidRPr="00C22C49">
              <w:rPr>
                <w:rFonts w:eastAsia="Calibri" w:cs="Times New Roman"/>
                <w:szCs w:val="24"/>
              </w:rPr>
              <w:t xml:space="preserve">Кількість захоронених </w:t>
            </w:r>
            <w:r w:rsidRPr="00C22C49">
              <w:rPr>
                <w:rFonts w:ascii="Calibri" w:eastAsia="Calibri" w:hAnsi="Calibri" w:cs="Times New Roman"/>
                <w:sz w:val="22"/>
                <w:szCs w:val="22"/>
              </w:rPr>
              <w:t xml:space="preserve"> </w:t>
            </w:r>
            <w:r w:rsidRPr="00C22C49">
              <w:rPr>
                <w:rFonts w:eastAsia="Calibri" w:cs="Times New Roman"/>
                <w:szCs w:val="24"/>
              </w:rPr>
              <w:t>осадів стічних вод</w:t>
            </w:r>
          </w:p>
        </w:tc>
        <w:tc>
          <w:tcPr>
            <w:tcW w:w="2353" w:type="dxa"/>
          </w:tcPr>
          <w:p w14:paraId="53B2CCC2" w14:textId="77777777" w:rsidR="00991C8A" w:rsidRPr="00C22C49" w:rsidRDefault="00991C8A" w:rsidP="00D81F1B">
            <w:pPr>
              <w:spacing w:before="0" w:line="259" w:lineRule="auto"/>
              <w:rPr>
                <w:rFonts w:eastAsia="Times New Roman" w:cs="Times New Roman"/>
                <w:szCs w:val="24"/>
              </w:rPr>
            </w:pPr>
            <w:r w:rsidRPr="002A636C">
              <w:rPr>
                <w:rFonts w:eastAsia="Calibri" w:cs="Times New Roman"/>
                <w:szCs w:val="24"/>
              </w:rPr>
              <w:t>тис.т</w:t>
            </w:r>
          </w:p>
        </w:tc>
      </w:tr>
      <w:tr w:rsidR="0070272C" w:rsidRPr="00C22C49" w14:paraId="5C48F480" w14:textId="77777777" w:rsidTr="00681D30">
        <w:trPr>
          <w:trHeight w:val="170"/>
        </w:trPr>
        <w:tc>
          <w:tcPr>
            <w:tcW w:w="9792" w:type="dxa"/>
            <w:gridSpan w:val="4"/>
          </w:tcPr>
          <w:p w14:paraId="214E84CA" w14:textId="229517BC" w:rsidR="0070272C" w:rsidRPr="00F07B59" w:rsidRDefault="0070272C" w:rsidP="00F07B59">
            <w:pPr>
              <w:spacing w:before="0" w:line="259" w:lineRule="auto"/>
              <w:jc w:val="center"/>
              <w:rPr>
                <w:rFonts w:eastAsia="Calibri" w:cs="Times New Roman"/>
                <w:szCs w:val="24"/>
              </w:rPr>
            </w:pPr>
            <w:r w:rsidRPr="00F07B59">
              <w:rPr>
                <w:rFonts w:eastAsia="Calibri" w:cs="Times New Roman"/>
                <w:szCs w:val="24"/>
              </w:rPr>
              <w:t>Індикатори виконання Національної програми запобігання утворенню відходів</w:t>
            </w:r>
          </w:p>
        </w:tc>
      </w:tr>
      <w:tr w:rsidR="0070272C" w:rsidRPr="00C22C49" w14:paraId="56941315" w14:textId="77777777" w:rsidTr="00681D30">
        <w:trPr>
          <w:gridAfter w:val="1"/>
          <w:wAfter w:w="9" w:type="dxa"/>
          <w:trHeight w:val="170"/>
        </w:trPr>
        <w:tc>
          <w:tcPr>
            <w:tcW w:w="1009" w:type="dxa"/>
          </w:tcPr>
          <w:p w14:paraId="3D3569F9" w14:textId="77777777" w:rsidR="0070272C" w:rsidRPr="00F07B5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52F57D6" w14:textId="0032A979" w:rsidR="0070272C" w:rsidRPr="00F07B59" w:rsidRDefault="0070272C" w:rsidP="0070272C">
            <w:pPr>
              <w:spacing w:before="0" w:line="259" w:lineRule="auto"/>
              <w:rPr>
                <w:rFonts w:eastAsia="Calibri" w:cs="Times New Roman"/>
                <w:szCs w:val="24"/>
              </w:rPr>
            </w:pPr>
            <w:r w:rsidRPr="00F07B59">
              <w:t>Загальна кількість утворених відходів</w:t>
            </w:r>
          </w:p>
        </w:tc>
        <w:tc>
          <w:tcPr>
            <w:tcW w:w="2353" w:type="dxa"/>
          </w:tcPr>
          <w:p w14:paraId="4449998A" w14:textId="30AC8EE5" w:rsidR="0070272C" w:rsidRPr="00F07B59" w:rsidRDefault="0070272C" w:rsidP="0070272C">
            <w:pPr>
              <w:spacing w:before="0" w:line="259" w:lineRule="auto"/>
              <w:rPr>
                <w:rFonts w:eastAsia="Calibri" w:cs="Times New Roman"/>
                <w:szCs w:val="24"/>
              </w:rPr>
            </w:pPr>
            <w:r w:rsidRPr="00F07B59">
              <w:rPr>
                <w:rFonts w:eastAsia="Calibri" w:cs="Times New Roman"/>
                <w:szCs w:val="24"/>
              </w:rPr>
              <w:t>тон/особа</w:t>
            </w:r>
          </w:p>
        </w:tc>
      </w:tr>
      <w:tr w:rsidR="0070272C" w:rsidRPr="00C22C49" w14:paraId="5553F49C" w14:textId="77777777" w:rsidTr="00681D30">
        <w:trPr>
          <w:gridAfter w:val="1"/>
          <w:wAfter w:w="9" w:type="dxa"/>
          <w:trHeight w:val="170"/>
        </w:trPr>
        <w:tc>
          <w:tcPr>
            <w:tcW w:w="1009" w:type="dxa"/>
          </w:tcPr>
          <w:p w14:paraId="1E41E8CB"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18C668C" w14:textId="06A674F6" w:rsidR="0070272C" w:rsidRPr="00955CB6" w:rsidRDefault="0070272C" w:rsidP="0070272C">
            <w:pPr>
              <w:spacing w:before="0" w:line="259" w:lineRule="auto"/>
              <w:rPr>
                <w:rFonts w:eastAsia="Calibri" w:cs="Times New Roman"/>
                <w:szCs w:val="24"/>
              </w:rPr>
            </w:pPr>
            <w:r w:rsidRPr="00955CB6">
              <w:t>Загальна кількість домогосподарств</w:t>
            </w:r>
          </w:p>
        </w:tc>
        <w:tc>
          <w:tcPr>
            <w:tcW w:w="2353" w:type="dxa"/>
          </w:tcPr>
          <w:p w14:paraId="6246E88B" w14:textId="269811E2" w:rsidR="0070272C" w:rsidRPr="00F07B59" w:rsidRDefault="00F07B59" w:rsidP="0070272C">
            <w:pPr>
              <w:spacing w:before="0" w:line="259" w:lineRule="auto"/>
              <w:rPr>
                <w:rFonts w:eastAsia="Calibri" w:cs="Times New Roman"/>
                <w:szCs w:val="24"/>
              </w:rPr>
            </w:pPr>
            <w:r w:rsidRPr="00F07B59">
              <w:rPr>
                <w:rFonts w:eastAsia="Calibri" w:cs="Times New Roman"/>
                <w:szCs w:val="24"/>
              </w:rPr>
              <w:t>одиниць</w:t>
            </w:r>
          </w:p>
        </w:tc>
      </w:tr>
      <w:tr w:rsidR="0070272C" w:rsidRPr="00C22C49" w14:paraId="6B723382" w14:textId="77777777" w:rsidTr="00681D30">
        <w:trPr>
          <w:gridAfter w:val="1"/>
          <w:wAfter w:w="9" w:type="dxa"/>
          <w:trHeight w:val="170"/>
        </w:trPr>
        <w:tc>
          <w:tcPr>
            <w:tcW w:w="1009" w:type="dxa"/>
          </w:tcPr>
          <w:p w14:paraId="212C1D34"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4690E56" w14:textId="2364606B" w:rsidR="0070272C" w:rsidRPr="00955CB6" w:rsidRDefault="0070272C" w:rsidP="0070272C">
            <w:pPr>
              <w:spacing w:before="0" w:line="259" w:lineRule="auto"/>
              <w:rPr>
                <w:rFonts w:eastAsia="Calibri" w:cs="Times New Roman"/>
                <w:szCs w:val="24"/>
              </w:rPr>
            </w:pPr>
            <w:r w:rsidRPr="00955CB6">
              <w:t>Кількість домогосподарств, охоплених стимулюючими схемами, наприклад, схемами «плати за те, що викидаєш»</w:t>
            </w:r>
          </w:p>
        </w:tc>
        <w:tc>
          <w:tcPr>
            <w:tcW w:w="2353" w:type="dxa"/>
          </w:tcPr>
          <w:p w14:paraId="3D57C6CB" w14:textId="0DE81FE4" w:rsidR="0070272C" w:rsidRPr="004C01D4" w:rsidRDefault="00F07B59" w:rsidP="0070272C">
            <w:pPr>
              <w:spacing w:before="0" w:line="259" w:lineRule="auto"/>
              <w:rPr>
                <w:rFonts w:eastAsia="Calibri" w:cs="Times New Roman"/>
                <w:szCs w:val="24"/>
              </w:rPr>
            </w:pPr>
            <w:r w:rsidRPr="004C01D4">
              <w:rPr>
                <w:rFonts w:eastAsia="Calibri" w:cs="Times New Roman"/>
                <w:szCs w:val="24"/>
              </w:rPr>
              <w:t>одиниць</w:t>
            </w:r>
          </w:p>
        </w:tc>
      </w:tr>
      <w:tr w:rsidR="0070272C" w:rsidRPr="00C22C49" w14:paraId="00B758AF" w14:textId="77777777" w:rsidTr="00681D30">
        <w:trPr>
          <w:gridAfter w:val="1"/>
          <w:wAfter w:w="9" w:type="dxa"/>
          <w:trHeight w:val="170"/>
        </w:trPr>
        <w:tc>
          <w:tcPr>
            <w:tcW w:w="1009" w:type="dxa"/>
          </w:tcPr>
          <w:p w14:paraId="172EF34C"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F3861D4" w14:textId="3C0F302C" w:rsidR="0070272C" w:rsidRPr="00955CB6" w:rsidRDefault="0070272C" w:rsidP="0070272C">
            <w:pPr>
              <w:spacing w:before="0" w:line="259" w:lineRule="auto"/>
              <w:rPr>
                <w:rFonts w:eastAsia="Calibri" w:cs="Times New Roman"/>
                <w:szCs w:val="24"/>
              </w:rPr>
            </w:pPr>
            <w:r w:rsidRPr="00955CB6">
              <w:t>Витрати домогосподарств на обрані категорії споживання</w:t>
            </w:r>
          </w:p>
        </w:tc>
        <w:tc>
          <w:tcPr>
            <w:tcW w:w="2353" w:type="dxa"/>
          </w:tcPr>
          <w:p w14:paraId="310DFD33" w14:textId="67B1AEBD" w:rsidR="0070272C" w:rsidRPr="004C01D4" w:rsidRDefault="004A6388" w:rsidP="00957351">
            <w:pPr>
              <w:spacing w:before="0" w:line="259" w:lineRule="auto"/>
              <w:rPr>
                <w:rFonts w:eastAsia="Calibri" w:cs="Times New Roman"/>
                <w:szCs w:val="24"/>
              </w:rPr>
            </w:pPr>
            <w:r w:rsidRPr="004C01D4">
              <w:rPr>
                <w:rFonts w:eastAsia="Calibri" w:cs="Times New Roman"/>
                <w:szCs w:val="24"/>
              </w:rPr>
              <w:t>Грн, %</w:t>
            </w:r>
          </w:p>
        </w:tc>
      </w:tr>
      <w:tr w:rsidR="0070272C" w:rsidRPr="00C22C49" w14:paraId="5B259192" w14:textId="77777777" w:rsidTr="00681D30">
        <w:trPr>
          <w:gridAfter w:val="1"/>
          <w:wAfter w:w="9" w:type="dxa"/>
          <w:trHeight w:val="170"/>
        </w:trPr>
        <w:tc>
          <w:tcPr>
            <w:tcW w:w="1009" w:type="dxa"/>
          </w:tcPr>
          <w:p w14:paraId="7F3B2B4B"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BF8E4FE" w14:textId="0E40600C" w:rsidR="0070272C" w:rsidRPr="00955CB6" w:rsidRDefault="0070272C" w:rsidP="0070272C">
            <w:pPr>
              <w:spacing w:before="0" w:line="259" w:lineRule="auto"/>
            </w:pPr>
            <w:r w:rsidRPr="00955CB6">
              <w:t>Споживання продуктів харчування по основних групах</w:t>
            </w:r>
          </w:p>
        </w:tc>
        <w:tc>
          <w:tcPr>
            <w:tcW w:w="2353" w:type="dxa"/>
          </w:tcPr>
          <w:p w14:paraId="3675AAC8" w14:textId="7F60633F" w:rsidR="0070272C" w:rsidRPr="004C01D4" w:rsidRDefault="0070272C" w:rsidP="0070272C">
            <w:pPr>
              <w:spacing w:before="0" w:line="259" w:lineRule="auto"/>
              <w:rPr>
                <w:rFonts w:eastAsia="Calibri" w:cs="Times New Roman"/>
                <w:szCs w:val="24"/>
              </w:rPr>
            </w:pPr>
          </w:p>
        </w:tc>
      </w:tr>
      <w:tr w:rsidR="0070272C" w:rsidRPr="00C22C49" w14:paraId="2FC8DCA4" w14:textId="77777777" w:rsidTr="00681D30">
        <w:trPr>
          <w:gridAfter w:val="1"/>
          <w:wAfter w:w="9" w:type="dxa"/>
          <w:trHeight w:val="170"/>
        </w:trPr>
        <w:tc>
          <w:tcPr>
            <w:tcW w:w="1009" w:type="dxa"/>
          </w:tcPr>
          <w:p w14:paraId="2EA4F401"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09318569" w14:textId="65B57A54" w:rsidR="0070272C" w:rsidRPr="00955CB6" w:rsidRDefault="0070272C" w:rsidP="0070272C">
            <w:pPr>
              <w:spacing w:before="0" w:line="259" w:lineRule="auto"/>
            </w:pPr>
            <w:r w:rsidRPr="00955CB6">
              <w:t>Утворення харчових відходів (за винятком харчової промисловості)/або утворення відходів, що біологічно розкладаються від домогосподарств</w:t>
            </w:r>
          </w:p>
        </w:tc>
        <w:tc>
          <w:tcPr>
            <w:tcW w:w="2353" w:type="dxa"/>
          </w:tcPr>
          <w:p w14:paraId="4BD7C5B7" w14:textId="6A52179E" w:rsidR="0070272C" w:rsidRPr="004C01D4" w:rsidRDefault="007C18A7" w:rsidP="0070272C">
            <w:pPr>
              <w:spacing w:before="0" w:line="259" w:lineRule="auto"/>
              <w:rPr>
                <w:rFonts w:eastAsia="Calibri" w:cs="Times New Roman"/>
                <w:szCs w:val="24"/>
              </w:rPr>
            </w:pPr>
            <w:r>
              <w:rPr>
                <w:rFonts w:eastAsia="Calibri" w:cs="Times New Roman"/>
                <w:szCs w:val="24"/>
              </w:rPr>
              <w:t>тис.т</w:t>
            </w:r>
          </w:p>
        </w:tc>
      </w:tr>
      <w:tr w:rsidR="0070272C" w:rsidRPr="00C22C49" w14:paraId="7C93A935" w14:textId="77777777" w:rsidTr="00681D30">
        <w:trPr>
          <w:gridAfter w:val="1"/>
          <w:wAfter w:w="9" w:type="dxa"/>
          <w:trHeight w:val="170"/>
        </w:trPr>
        <w:tc>
          <w:tcPr>
            <w:tcW w:w="1009" w:type="dxa"/>
          </w:tcPr>
          <w:p w14:paraId="3314F48D"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5F690D3" w14:textId="4E1302F4" w:rsidR="0070272C" w:rsidRPr="007373E3" w:rsidRDefault="0070272C" w:rsidP="0070272C">
            <w:pPr>
              <w:spacing w:before="0" w:line="259" w:lineRule="auto"/>
            </w:pPr>
            <w:r w:rsidRPr="007373E3">
              <w:t>Кількість інформаційних кампаній на 100 тис. мешканців</w:t>
            </w:r>
          </w:p>
        </w:tc>
        <w:tc>
          <w:tcPr>
            <w:tcW w:w="2353" w:type="dxa"/>
          </w:tcPr>
          <w:p w14:paraId="1F1ED30F" w14:textId="41A76CFC" w:rsidR="0070272C" w:rsidRPr="002A636C" w:rsidRDefault="00995A86" w:rsidP="0070272C">
            <w:pPr>
              <w:spacing w:before="0" w:line="259" w:lineRule="auto"/>
              <w:rPr>
                <w:rFonts w:eastAsia="Calibri" w:cs="Times New Roman"/>
                <w:szCs w:val="24"/>
              </w:rPr>
            </w:pPr>
            <w:r>
              <w:rPr>
                <w:rFonts w:eastAsia="Calibri" w:cs="Times New Roman"/>
                <w:szCs w:val="24"/>
              </w:rPr>
              <w:t>одиниць</w:t>
            </w:r>
          </w:p>
        </w:tc>
      </w:tr>
      <w:tr w:rsidR="0070272C" w:rsidRPr="00C22C49" w14:paraId="606B90A2" w14:textId="77777777" w:rsidTr="00681D30">
        <w:trPr>
          <w:gridAfter w:val="1"/>
          <w:wAfter w:w="9" w:type="dxa"/>
          <w:trHeight w:val="170"/>
        </w:trPr>
        <w:tc>
          <w:tcPr>
            <w:tcW w:w="1009" w:type="dxa"/>
          </w:tcPr>
          <w:p w14:paraId="1B0C4C21" w14:textId="77777777" w:rsidR="0070272C" w:rsidRPr="00C22C49" w:rsidRDefault="0070272C" w:rsidP="0070272C">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1D1413D" w14:textId="339C3EC7" w:rsidR="0070272C" w:rsidRPr="007373E3" w:rsidRDefault="0070272C" w:rsidP="0070272C">
            <w:pPr>
              <w:spacing w:before="0" w:line="259" w:lineRule="auto"/>
            </w:pPr>
            <w:r w:rsidRPr="007373E3">
              <w:t>Прийнято законодавство в сфері РВВ</w:t>
            </w:r>
          </w:p>
        </w:tc>
        <w:tc>
          <w:tcPr>
            <w:tcW w:w="2353" w:type="dxa"/>
          </w:tcPr>
          <w:p w14:paraId="13C0A44B" w14:textId="1D85A594" w:rsidR="0070272C" w:rsidRPr="002A636C" w:rsidRDefault="001068BE" w:rsidP="0070272C">
            <w:pPr>
              <w:spacing w:before="0" w:line="259" w:lineRule="auto"/>
              <w:rPr>
                <w:rFonts w:eastAsia="Calibri" w:cs="Times New Roman"/>
                <w:szCs w:val="24"/>
              </w:rPr>
            </w:pPr>
            <w:r>
              <w:rPr>
                <w:rFonts w:eastAsia="Calibri" w:cs="Times New Roman"/>
                <w:szCs w:val="24"/>
              </w:rPr>
              <w:t>Кількість видів продукції, щодо якої прийнято законодавство по РВВ</w:t>
            </w:r>
          </w:p>
        </w:tc>
      </w:tr>
      <w:tr w:rsidR="009A28A5" w:rsidRPr="00C22C49" w14:paraId="363DB929" w14:textId="77777777" w:rsidTr="005402DE">
        <w:trPr>
          <w:gridAfter w:val="1"/>
          <w:wAfter w:w="9" w:type="dxa"/>
          <w:trHeight w:val="170"/>
        </w:trPr>
        <w:tc>
          <w:tcPr>
            <w:tcW w:w="9783" w:type="dxa"/>
            <w:gridSpan w:val="3"/>
          </w:tcPr>
          <w:p w14:paraId="5F78BED4" w14:textId="70AD3227" w:rsidR="009A28A5" w:rsidRPr="007C18A7" w:rsidRDefault="009A28A5" w:rsidP="004C01D4">
            <w:r w:rsidRPr="00CA76C6">
              <w:t>Національна програма</w:t>
            </w:r>
            <w:r>
              <w:t xml:space="preserve"> </w:t>
            </w:r>
            <w:r w:rsidRPr="00CA76C6">
              <w:t>зменшення захоронення біовідходів</w:t>
            </w:r>
          </w:p>
        </w:tc>
      </w:tr>
      <w:tr w:rsidR="009A28A5" w:rsidRPr="00C22C49" w14:paraId="7E273BB3" w14:textId="77777777" w:rsidTr="005402DE">
        <w:trPr>
          <w:gridAfter w:val="1"/>
          <w:wAfter w:w="9" w:type="dxa"/>
          <w:trHeight w:val="170"/>
        </w:trPr>
        <w:tc>
          <w:tcPr>
            <w:tcW w:w="9783" w:type="dxa"/>
            <w:gridSpan w:val="3"/>
          </w:tcPr>
          <w:p w14:paraId="25E5DB9F" w14:textId="30734502" w:rsidR="009A28A5" w:rsidRPr="00CA76C6" w:rsidRDefault="009A28A5" w:rsidP="009A28A5">
            <w:r w:rsidRPr="00427BBB">
              <w:rPr>
                <w:rFonts w:eastAsia="Times New Roman" w:cs="Times New Roman"/>
                <w:b/>
                <w:i/>
                <w:szCs w:val="24"/>
                <w:lang w:eastAsia="ru-RU"/>
              </w:rPr>
              <w:t>Попередження утворення відходів</w:t>
            </w:r>
          </w:p>
        </w:tc>
      </w:tr>
      <w:tr w:rsidR="00D05D2F" w:rsidRPr="00C22C49" w14:paraId="127F846D" w14:textId="77777777" w:rsidTr="007C18A7">
        <w:trPr>
          <w:gridAfter w:val="1"/>
          <w:wAfter w:w="9" w:type="dxa"/>
          <w:trHeight w:val="170"/>
        </w:trPr>
        <w:tc>
          <w:tcPr>
            <w:tcW w:w="1009" w:type="dxa"/>
          </w:tcPr>
          <w:p w14:paraId="2D9C4EAC" w14:textId="77777777" w:rsidR="00D05D2F" w:rsidRPr="00C22C49" w:rsidRDefault="00D05D2F" w:rsidP="00D05D2F">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082E0D1" w14:textId="60C168AE" w:rsidR="00D05D2F" w:rsidRPr="007373E3" w:rsidRDefault="00D05D2F" w:rsidP="00D05D2F">
            <w:pPr>
              <w:spacing w:before="0" w:line="259" w:lineRule="auto"/>
            </w:pPr>
            <w:r w:rsidRPr="00427BBB">
              <w:rPr>
                <w:rFonts w:eastAsia="Times New Roman" w:cs="Times New Roman"/>
                <w:szCs w:val="24"/>
                <w:lang w:eastAsia="ru-RU"/>
              </w:rPr>
              <w:t>Обсяг утворення відходів</w:t>
            </w:r>
            <w:r>
              <w:rPr>
                <w:rFonts w:eastAsia="Times New Roman" w:cs="Times New Roman"/>
                <w:szCs w:val="24"/>
                <w:lang w:eastAsia="ru-RU"/>
              </w:rPr>
              <w:t xml:space="preserve">, </w:t>
            </w:r>
            <w:r w:rsidRPr="004616D1">
              <w:rPr>
                <w:rFonts w:eastAsia="Times New Roman" w:cs="Times New Roman"/>
                <w:szCs w:val="24"/>
                <w:lang w:eastAsia="ru-RU"/>
              </w:rPr>
              <w:t>що біологічно розкладаються</w:t>
            </w:r>
            <w:r w:rsidRPr="00427BBB">
              <w:rPr>
                <w:rFonts w:eastAsia="Times New Roman" w:cs="Times New Roman"/>
                <w:szCs w:val="24"/>
                <w:lang w:eastAsia="ru-RU"/>
              </w:rPr>
              <w:t xml:space="preserve">, відповідно до категорії відходів </w:t>
            </w:r>
          </w:p>
        </w:tc>
        <w:tc>
          <w:tcPr>
            <w:tcW w:w="2353" w:type="dxa"/>
          </w:tcPr>
          <w:p w14:paraId="17F7A4F2" w14:textId="76D9B9B1" w:rsidR="00D05D2F" w:rsidRDefault="00D05D2F" w:rsidP="00D05D2F">
            <w:pPr>
              <w:spacing w:before="0" w:line="259" w:lineRule="auto"/>
              <w:rPr>
                <w:rFonts w:eastAsia="Calibri" w:cs="Times New Roman"/>
                <w:szCs w:val="24"/>
              </w:rPr>
            </w:pPr>
            <w:r>
              <w:rPr>
                <w:rFonts w:eastAsia="Times New Roman" w:cs="Times New Roman"/>
                <w:szCs w:val="24"/>
                <w:lang w:eastAsia="ru-RU"/>
              </w:rPr>
              <w:t xml:space="preserve">Тис. </w:t>
            </w:r>
            <w:r w:rsidRPr="00427BBB">
              <w:rPr>
                <w:rFonts w:eastAsia="Times New Roman" w:cs="Times New Roman"/>
                <w:szCs w:val="24"/>
                <w:lang w:eastAsia="ru-RU"/>
              </w:rPr>
              <w:t>т/рік</w:t>
            </w:r>
          </w:p>
        </w:tc>
      </w:tr>
      <w:tr w:rsidR="00D05D2F" w:rsidRPr="00C22C49" w14:paraId="29A58E47" w14:textId="77777777" w:rsidTr="007C18A7">
        <w:trPr>
          <w:gridAfter w:val="1"/>
          <w:wAfter w:w="9" w:type="dxa"/>
          <w:trHeight w:val="170"/>
        </w:trPr>
        <w:tc>
          <w:tcPr>
            <w:tcW w:w="1009" w:type="dxa"/>
          </w:tcPr>
          <w:p w14:paraId="7C59D405" w14:textId="77777777" w:rsidR="00D05D2F" w:rsidRPr="00C22C49" w:rsidRDefault="00D05D2F" w:rsidP="00D05D2F">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D27C226" w14:textId="19B5BD61" w:rsidR="00D05D2F" w:rsidRPr="007373E3" w:rsidRDefault="00D05D2F" w:rsidP="00D05D2F">
            <w:pPr>
              <w:spacing w:before="0" w:line="259" w:lineRule="auto"/>
            </w:pPr>
            <w:r w:rsidRPr="002E7AA7">
              <w:rPr>
                <w:rFonts w:eastAsia="Times New Roman" w:cs="Times New Roman"/>
                <w:bCs/>
                <w:szCs w:val="24"/>
                <w:lang w:eastAsia="ru-RU"/>
              </w:rPr>
              <w:t xml:space="preserve">Кількість </w:t>
            </w:r>
            <w:r>
              <w:rPr>
                <w:rFonts w:eastAsia="Times New Roman" w:cs="Times New Roman"/>
                <w:bCs/>
                <w:szCs w:val="24"/>
                <w:lang w:eastAsia="ru-RU"/>
              </w:rPr>
              <w:t>утворених</w:t>
            </w:r>
            <w:r w:rsidRPr="002E7AA7">
              <w:rPr>
                <w:rFonts w:eastAsia="Times New Roman" w:cs="Times New Roman"/>
                <w:bCs/>
                <w:szCs w:val="24"/>
                <w:lang w:eastAsia="ru-RU"/>
              </w:rPr>
              <w:t xml:space="preserve"> </w:t>
            </w:r>
            <w:r>
              <w:rPr>
                <w:rFonts w:eastAsia="Times New Roman" w:cs="Times New Roman"/>
                <w:bCs/>
                <w:szCs w:val="24"/>
                <w:lang w:eastAsia="ru-RU"/>
              </w:rPr>
              <w:t xml:space="preserve">побутових </w:t>
            </w:r>
            <w:r w:rsidRPr="002E7AA7">
              <w:rPr>
                <w:rFonts w:eastAsia="Times New Roman" w:cs="Times New Roman"/>
                <w:bCs/>
                <w:szCs w:val="24"/>
                <w:lang w:eastAsia="ru-RU"/>
              </w:rPr>
              <w:t>відходів, що біологічно розкладаються</w:t>
            </w:r>
          </w:p>
        </w:tc>
        <w:tc>
          <w:tcPr>
            <w:tcW w:w="2353" w:type="dxa"/>
          </w:tcPr>
          <w:p w14:paraId="194FE8E0" w14:textId="6C2EF24D" w:rsidR="00D05D2F" w:rsidRDefault="00D05D2F" w:rsidP="00D05D2F">
            <w:pPr>
              <w:spacing w:before="0" w:line="259" w:lineRule="auto"/>
              <w:rPr>
                <w:rFonts w:eastAsia="Calibri" w:cs="Times New Roman"/>
                <w:szCs w:val="24"/>
              </w:rPr>
            </w:pPr>
            <w:r w:rsidRPr="003B4D7B">
              <w:rPr>
                <w:rFonts w:eastAsia="Times New Roman" w:cs="Times New Roman"/>
                <w:bCs/>
                <w:szCs w:val="24"/>
                <w:lang w:eastAsia="ru-RU"/>
              </w:rPr>
              <w:t>Тис. тонн</w:t>
            </w:r>
          </w:p>
        </w:tc>
      </w:tr>
      <w:tr w:rsidR="004D3619" w:rsidRPr="00C22C49" w14:paraId="33133D5D" w14:textId="77777777" w:rsidTr="007C18A7">
        <w:trPr>
          <w:gridAfter w:val="1"/>
          <w:wAfter w:w="9" w:type="dxa"/>
          <w:trHeight w:val="170"/>
        </w:trPr>
        <w:tc>
          <w:tcPr>
            <w:tcW w:w="1009" w:type="dxa"/>
          </w:tcPr>
          <w:p w14:paraId="5306DCB7" w14:textId="77777777" w:rsidR="004D3619" w:rsidRPr="00C22C49" w:rsidRDefault="004D3619" w:rsidP="00D05D2F">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94E28A7" w14:textId="36AC65B9" w:rsidR="004D3619" w:rsidRPr="002E7AA7" w:rsidRDefault="004D3619" w:rsidP="00D05D2F">
            <w:pPr>
              <w:spacing w:before="0" w:line="259" w:lineRule="auto"/>
              <w:rPr>
                <w:rFonts w:eastAsia="Times New Roman" w:cs="Times New Roman"/>
                <w:bCs/>
                <w:szCs w:val="24"/>
                <w:lang w:eastAsia="ru-RU"/>
              </w:rPr>
            </w:pPr>
            <w:r w:rsidRPr="004D3619">
              <w:rPr>
                <w:rFonts w:eastAsia="Times New Roman" w:cs="Times New Roman"/>
                <w:bCs/>
                <w:szCs w:val="24"/>
                <w:lang w:eastAsia="ru-RU"/>
              </w:rPr>
              <w:t>Відсоток ваги захоронених біорозкладаних відходів (крім побутових відходів) по відношенню до ваги утворених відходів</w:t>
            </w:r>
          </w:p>
        </w:tc>
        <w:tc>
          <w:tcPr>
            <w:tcW w:w="2353" w:type="dxa"/>
          </w:tcPr>
          <w:p w14:paraId="567A7625" w14:textId="403AA381" w:rsidR="004D3619" w:rsidRPr="003B4D7B" w:rsidRDefault="004D3619" w:rsidP="00D05D2F">
            <w:pPr>
              <w:spacing w:before="0" w:line="259" w:lineRule="auto"/>
              <w:rPr>
                <w:rFonts w:eastAsia="Times New Roman" w:cs="Times New Roman"/>
                <w:bCs/>
                <w:szCs w:val="24"/>
                <w:lang w:eastAsia="ru-RU"/>
              </w:rPr>
            </w:pPr>
            <w:r>
              <w:rPr>
                <w:rFonts w:eastAsia="Times New Roman" w:cs="Times New Roman"/>
                <w:bCs/>
                <w:szCs w:val="24"/>
                <w:lang w:eastAsia="ru-RU"/>
              </w:rPr>
              <w:t>%</w:t>
            </w:r>
          </w:p>
        </w:tc>
      </w:tr>
      <w:tr w:rsidR="00D05D2F" w:rsidRPr="00C22C49" w14:paraId="559FB90C" w14:textId="77777777" w:rsidTr="007C18A7">
        <w:trPr>
          <w:gridAfter w:val="1"/>
          <w:wAfter w:w="9" w:type="dxa"/>
          <w:trHeight w:val="170"/>
        </w:trPr>
        <w:tc>
          <w:tcPr>
            <w:tcW w:w="1009" w:type="dxa"/>
          </w:tcPr>
          <w:p w14:paraId="77943929" w14:textId="77777777" w:rsidR="00D05D2F" w:rsidRPr="00C22C49" w:rsidRDefault="00D05D2F" w:rsidP="00D05D2F">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0C61C306" w14:textId="6012596D" w:rsidR="00D05D2F" w:rsidRPr="007373E3" w:rsidRDefault="00D05D2F" w:rsidP="00D05D2F">
            <w:pPr>
              <w:spacing w:before="0" w:line="259" w:lineRule="auto"/>
            </w:pPr>
            <w:r w:rsidRPr="00BB2C49">
              <w:rPr>
                <w:rFonts w:eastAsia="Calibri" w:cs="Times New Roman"/>
                <w:szCs w:val="24"/>
              </w:rPr>
              <w:t>Кількість відновлених побутових відходів, що біологічно розкладаються</w:t>
            </w:r>
          </w:p>
        </w:tc>
        <w:tc>
          <w:tcPr>
            <w:tcW w:w="2353" w:type="dxa"/>
          </w:tcPr>
          <w:p w14:paraId="1D836AAA" w14:textId="3AFD8257" w:rsidR="00D05D2F" w:rsidRDefault="00D05D2F" w:rsidP="00D05D2F">
            <w:pPr>
              <w:spacing w:before="0" w:line="259" w:lineRule="auto"/>
              <w:rPr>
                <w:rFonts w:eastAsia="Calibri" w:cs="Times New Roman"/>
                <w:szCs w:val="24"/>
              </w:rPr>
            </w:pPr>
            <w:r w:rsidRPr="00BB2C49">
              <w:rPr>
                <w:rFonts w:eastAsia="Calibri" w:cs="Times New Roman"/>
                <w:szCs w:val="24"/>
              </w:rPr>
              <w:t>Тис. тонн</w:t>
            </w:r>
          </w:p>
        </w:tc>
      </w:tr>
      <w:tr w:rsidR="00D05D2F" w:rsidRPr="00C22C49" w14:paraId="779F80CE" w14:textId="77777777" w:rsidTr="007C18A7">
        <w:trPr>
          <w:gridAfter w:val="1"/>
          <w:wAfter w:w="9" w:type="dxa"/>
          <w:trHeight w:val="170"/>
        </w:trPr>
        <w:tc>
          <w:tcPr>
            <w:tcW w:w="1009" w:type="dxa"/>
          </w:tcPr>
          <w:p w14:paraId="794DC8EE" w14:textId="77777777" w:rsidR="00D05D2F" w:rsidRPr="00C22C49" w:rsidRDefault="00D05D2F" w:rsidP="00D05D2F">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82257D6" w14:textId="2A7E11FB" w:rsidR="00D05D2F" w:rsidRPr="007373E3" w:rsidRDefault="00D05D2F" w:rsidP="00D05D2F">
            <w:pPr>
              <w:spacing w:before="0" w:line="259" w:lineRule="auto"/>
            </w:pPr>
            <w:r w:rsidRPr="00BB2C49">
              <w:rPr>
                <w:rFonts w:eastAsia="Calibri" w:cs="Times New Roman"/>
                <w:szCs w:val="24"/>
              </w:rPr>
              <w:t>Кількість спалених побутових відходів, що біологічно розкладаються</w:t>
            </w:r>
          </w:p>
        </w:tc>
        <w:tc>
          <w:tcPr>
            <w:tcW w:w="2353" w:type="dxa"/>
          </w:tcPr>
          <w:p w14:paraId="18906C82" w14:textId="4184A3DF" w:rsidR="00D05D2F" w:rsidRDefault="00D05D2F" w:rsidP="00D05D2F">
            <w:pPr>
              <w:spacing w:before="0" w:line="259" w:lineRule="auto"/>
              <w:rPr>
                <w:rFonts w:eastAsia="Calibri" w:cs="Times New Roman"/>
                <w:szCs w:val="24"/>
              </w:rPr>
            </w:pPr>
            <w:r w:rsidRPr="00BB2C49">
              <w:rPr>
                <w:rFonts w:eastAsia="Calibri" w:cs="Times New Roman"/>
                <w:szCs w:val="24"/>
              </w:rPr>
              <w:t>Тис. тонн</w:t>
            </w:r>
          </w:p>
        </w:tc>
      </w:tr>
      <w:tr w:rsidR="00D05D2F" w:rsidRPr="00C22C49" w14:paraId="19A5FF7F" w14:textId="77777777" w:rsidTr="007C18A7">
        <w:trPr>
          <w:gridAfter w:val="1"/>
          <w:wAfter w:w="9" w:type="dxa"/>
          <w:trHeight w:val="170"/>
        </w:trPr>
        <w:tc>
          <w:tcPr>
            <w:tcW w:w="1009" w:type="dxa"/>
          </w:tcPr>
          <w:p w14:paraId="106CD385" w14:textId="77777777" w:rsidR="00D05D2F" w:rsidRPr="00C22C49" w:rsidRDefault="00D05D2F" w:rsidP="00D05D2F">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9FB4486" w14:textId="188F8C1D" w:rsidR="00D05D2F" w:rsidRPr="007373E3" w:rsidRDefault="00D05D2F" w:rsidP="00D05D2F">
            <w:pPr>
              <w:spacing w:before="0" w:line="259" w:lineRule="auto"/>
            </w:pPr>
            <w:r w:rsidRPr="00BB2C49">
              <w:rPr>
                <w:rFonts w:eastAsia="Calibri" w:cs="Times New Roman"/>
                <w:szCs w:val="24"/>
              </w:rPr>
              <w:t>Кількість побутових відходів, що біологічно розкладаються захоронених на полігонах</w:t>
            </w:r>
          </w:p>
        </w:tc>
        <w:tc>
          <w:tcPr>
            <w:tcW w:w="2353" w:type="dxa"/>
          </w:tcPr>
          <w:p w14:paraId="77808CC9" w14:textId="55FEEFCD" w:rsidR="00D05D2F" w:rsidRDefault="00D05D2F" w:rsidP="00D05D2F">
            <w:pPr>
              <w:spacing w:before="0" w:line="259" w:lineRule="auto"/>
              <w:rPr>
                <w:rFonts w:eastAsia="Calibri" w:cs="Times New Roman"/>
                <w:szCs w:val="24"/>
              </w:rPr>
            </w:pPr>
            <w:r w:rsidRPr="00BB2C49">
              <w:rPr>
                <w:rFonts w:eastAsia="Calibri" w:cs="Times New Roman"/>
                <w:szCs w:val="24"/>
              </w:rPr>
              <w:t>Тис. тонн</w:t>
            </w:r>
          </w:p>
        </w:tc>
      </w:tr>
      <w:tr w:rsidR="00D05D2F" w:rsidRPr="00C22C49" w14:paraId="7C00515F" w14:textId="77777777" w:rsidTr="00BB6FA8">
        <w:trPr>
          <w:gridAfter w:val="1"/>
          <w:wAfter w:w="9" w:type="dxa"/>
          <w:trHeight w:val="170"/>
        </w:trPr>
        <w:tc>
          <w:tcPr>
            <w:tcW w:w="9783" w:type="dxa"/>
            <w:gridSpan w:val="3"/>
          </w:tcPr>
          <w:p w14:paraId="5B0222DD" w14:textId="565B0C3B" w:rsidR="00D05D2F" w:rsidRPr="00BB2C49" w:rsidRDefault="00D05D2F" w:rsidP="00D05D2F">
            <w:pPr>
              <w:spacing w:before="0" w:line="259" w:lineRule="auto"/>
              <w:rPr>
                <w:rFonts w:eastAsia="Calibri" w:cs="Times New Roman"/>
                <w:szCs w:val="24"/>
              </w:rPr>
            </w:pPr>
            <w:r w:rsidRPr="00D05D2F">
              <w:rPr>
                <w:rFonts w:eastAsia="Calibri" w:cs="Times New Roman"/>
                <w:szCs w:val="24"/>
              </w:rPr>
              <w:t>Управління відходами, що біологічно розкладаються</w:t>
            </w:r>
          </w:p>
        </w:tc>
      </w:tr>
      <w:tr w:rsidR="00556A22" w:rsidRPr="00C22C49" w14:paraId="697524E0" w14:textId="77777777" w:rsidTr="007C18A7">
        <w:trPr>
          <w:gridAfter w:val="1"/>
          <w:wAfter w:w="9" w:type="dxa"/>
          <w:trHeight w:val="170"/>
        </w:trPr>
        <w:tc>
          <w:tcPr>
            <w:tcW w:w="1009" w:type="dxa"/>
          </w:tcPr>
          <w:p w14:paraId="0DF40BDD"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677C31F" w14:textId="35DFD41A" w:rsidR="00556A22" w:rsidRPr="00BB2C49" w:rsidRDefault="00556A22" w:rsidP="00556A22">
            <w:pPr>
              <w:spacing w:before="0" w:line="259" w:lineRule="auto"/>
              <w:rPr>
                <w:rFonts w:eastAsia="Calibri" w:cs="Times New Roman"/>
                <w:szCs w:val="24"/>
              </w:rPr>
            </w:pPr>
            <w:r w:rsidRPr="00F26BA2">
              <w:rPr>
                <w:rFonts w:eastAsia="Times New Roman" w:cs="Times New Roman"/>
                <w:bCs/>
                <w:iCs/>
                <w:szCs w:val="24"/>
                <w:lang w:eastAsia="ru-RU"/>
              </w:rPr>
              <w:t>Кількість майданчиків для компостування</w:t>
            </w:r>
          </w:p>
        </w:tc>
        <w:tc>
          <w:tcPr>
            <w:tcW w:w="2353" w:type="dxa"/>
          </w:tcPr>
          <w:p w14:paraId="1B85720D" w14:textId="66D8AB4F" w:rsidR="00556A22" w:rsidRPr="00BB2C49" w:rsidRDefault="00556A22" w:rsidP="00556A22">
            <w:pPr>
              <w:spacing w:before="0" w:line="259" w:lineRule="auto"/>
              <w:rPr>
                <w:rFonts w:eastAsia="Calibri" w:cs="Times New Roman"/>
                <w:szCs w:val="24"/>
              </w:rPr>
            </w:pPr>
            <w:r w:rsidRPr="00DC4FE6">
              <w:rPr>
                <w:rFonts w:eastAsia="Times New Roman" w:cs="Times New Roman"/>
                <w:bCs/>
                <w:iCs/>
                <w:szCs w:val="24"/>
                <w:lang w:val="ru-RU" w:eastAsia="ru-RU"/>
              </w:rPr>
              <w:t>одиниць</w:t>
            </w:r>
          </w:p>
        </w:tc>
      </w:tr>
      <w:tr w:rsidR="00556A22" w:rsidRPr="00C22C49" w14:paraId="33532CAE" w14:textId="77777777" w:rsidTr="007C18A7">
        <w:trPr>
          <w:gridAfter w:val="1"/>
          <w:wAfter w:w="9" w:type="dxa"/>
          <w:trHeight w:val="170"/>
        </w:trPr>
        <w:tc>
          <w:tcPr>
            <w:tcW w:w="1009" w:type="dxa"/>
          </w:tcPr>
          <w:p w14:paraId="02DD4985"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E5A176E" w14:textId="2130D0F7" w:rsidR="00556A22" w:rsidRPr="00BB2C49" w:rsidRDefault="00556A22" w:rsidP="00556A22">
            <w:pPr>
              <w:spacing w:before="0" w:line="259" w:lineRule="auto"/>
              <w:rPr>
                <w:rFonts w:eastAsia="Calibri" w:cs="Times New Roman"/>
                <w:szCs w:val="24"/>
              </w:rPr>
            </w:pPr>
            <w:r w:rsidRPr="00F26BA2">
              <w:rPr>
                <w:rFonts w:eastAsia="Times New Roman" w:cs="Times New Roman"/>
                <w:bCs/>
                <w:iCs/>
                <w:szCs w:val="24"/>
                <w:lang w:eastAsia="ru-RU"/>
              </w:rPr>
              <w:t>Кількість населення/домогосподарств, які беруть участь у домашньому компостуванні</w:t>
            </w:r>
          </w:p>
        </w:tc>
        <w:tc>
          <w:tcPr>
            <w:tcW w:w="2353" w:type="dxa"/>
          </w:tcPr>
          <w:p w14:paraId="6141C5EE" w14:textId="68CD5058" w:rsidR="00556A22" w:rsidRPr="00BB2C49" w:rsidRDefault="00556A22" w:rsidP="00556A22">
            <w:pPr>
              <w:spacing w:before="0" w:line="259" w:lineRule="auto"/>
              <w:rPr>
                <w:rFonts w:eastAsia="Calibri" w:cs="Times New Roman"/>
                <w:szCs w:val="24"/>
              </w:rPr>
            </w:pPr>
            <w:r>
              <w:rPr>
                <w:rFonts w:eastAsia="Times New Roman" w:cs="Times New Roman"/>
                <w:bCs/>
                <w:iCs/>
                <w:szCs w:val="24"/>
                <w:lang w:val="ru-RU" w:eastAsia="ru-RU"/>
              </w:rPr>
              <w:t>Осіб/домогосподарств</w:t>
            </w:r>
          </w:p>
        </w:tc>
      </w:tr>
      <w:tr w:rsidR="00556A22" w:rsidRPr="00C22C49" w14:paraId="79A7F57F" w14:textId="77777777" w:rsidTr="007C18A7">
        <w:trPr>
          <w:gridAfter w:val="1"/>
          <w:wAfter w:w="9" w:type="dxa"/>
          <w:trHeight w:val="170"/>
        </w:trPr>
        <w:tc>
          <w:tcPr>
            <w:tcW w:w="1009" w:type="dxa"/>
          </w:tcPr>
          <w:p w14:paraId="276401A2"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429F7872" w14:textId="27903E26" w:rsidR="00556A22" w:rsidRPr="00BB2C49" w:rsidRDefault="00556A22" w:rsidP="00556A22">
            <w:pPr>
              <w:spacing w:before="0" w:line="259" w:lineRule="auto"/>
              <w:rPr>
                <w:rFonts w:eastAsia="Calibri" w:cs="Times New Roman"/>
                <w:szCs w:val="24"/>
              </w:rPr>
            </w:pPr>
            <w:r>
              <w:rPr>
                <w:rFonts w:eastAsia="Times New Roman" w:cs="Times New Roman"/>
                <w:bCs/>
                <w:iCs/>
                <w:szCs w:val="24"/>
                <w:lang w:eastAsia="ru-RU"/>
              </w:rPr>
              <w:t>Кількість об’єктів МБО</w:t>
            </w:r>
          </w:p>
        </w:tc>
        <w:tc>
          <w:tcPr>
            <w:tcW w:w="2353" w:type="dxa"/>
          </w:tcPr>
          <w:p w14:paraId="7ADC8A06" w14:textId="63AD0D25" w:rsidR="00556A22" w:rsidRPr="00BB2C49" w:rsidRDefault="00556A22" w:rsidP="00556A22">
            <w:pPr>
              <w:spacing w:before="0" w:line="259" w:lineRule="auto"/>
              <w:rPr>
                <w:rFonts w:eastAsia="Calibri" w:cs="Times New Roman"/>
                <w:szCs w:val="24"/>
              </w:rPr>
            </w:pPr>
            <w:r w:rsidRPr="00DC4FE6">
              <w:rPr>
                <w:rFonts w:eastAsia="Times New Roman" w:cs="Times New Roman"/>
                <w:bCs/>
                <w:iCs/>
                <w:szCs w:val="24"/>
                <w:lang w:val="ru-RU" w:eastAsia="ru-RU"/>
              </w:rPr>
              <w:t>одиниць</w:t>
            </w:r>
          </w:p>
        </w:tc>
      </w:tr>
      <w:tr w:rsidR="00556A22" w:rsidRPr="00C22C49" w14:paraId="66614DCF" w14:textId="77777777" w:rsidTr="007C18A7">
        <w:trPr>
          <w:gridAfter w:val="1"/>
          <w:wAfter w:w="9" w:type="dxa"/>
          <w:trHeight w:val="170"/>
        </w:trPr>
        <w:tc>
          <w:tcPr>
            <w:tcW w:w="1009" w:type="dxa"/>
          </w:tcPr>
          <w:p w14:paraId="3B8209F0"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06C41F52" w14:textId="00DE4061"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Об’єм біомаси сільськогосподарських відходів використаних для виробництва енергії  </w:t>
            </w:r>
          </w:p>
        </w:tc>
        <w:tc>
          <w:tcPr>
            <w:tcW w:w="2353" w:type="dxa"/>
          </w:tcPr>
          <w:p w14:paraId="2CF24C2E" w14:textId="695866FC" w:rsidR="00556A22" w:rsidRPr="00BB2C49" w:rsidRDefault="00556A22" w:rsidP="00556A22">
            <w:pPr>
              <w:spacing w:before="0" w:line="259" w:lineRule="auto"/>
              <w:rPr>
                <w:rFonts w:eastAsia="Calibri" w:cs="Times New Roman"/>
                <w:szCs w:val="24"/>
              </w:rPr>
            </w:pPr>
            <w:r>
              <w:rPr>
                <w:rFonts w:eastAsia="Times New Roman" w:cs="Times New Roman"/>
                <w:szCs w:val="24"/>
                <w:lang w:eastAsia="ru-RU"/>
              </w:rPr>
              <w:t xml:space="preserve">Тис. </w:t>
            </w:r>
            <w:r w:rsidRPr="00427BBB">
              <w:rPr>
                <w:rFonts w:eastAsia="Times New Roman" w:cs="Times New Roman"/>
                <w:szCs w:val="24"/>
                <w:lang w:eastAsia="ru-RU"/>
              </w:rPr>
              <w:t>т/рік</w:t>
            </w:r>
          </w:p>
        </w:tc>
      </w:tr>
      <w:tr w:rsidR="00556A22" w:rsidRPr="00C22C49" w14:paraId="1E6F136C" w14:textId="77777777" w:rsidTr="007C18A7">
        <w:trPr>
          <w:gridAfter w:val="1"/>
          <w:wAfter w:w="9" w:type="dxa"/>
          <w:trHeight w:val="170"/>
        </w:trPr>
        <w:tc>
          <w:tcPr>
            <w:tcW w:w="1009" w:type="dxa"/>
          </w:tcPr>
          <w:p w14:paraId="22094CF1"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59D98FF1" w14:textId="7F73AFA8"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Обсяг компостованих відходів сільського господарства рослинного походження </w:t>
            </w:r>
          </w:p>
        </w:tc>
        <w:tc>
          <w:tcPr>
            <w:tcW w:w="2353" w:type="dxa"/>
          </w:tcPr>
          <w:p w14:paraId="0A73FAF4" w14:textId="1426AABB" w:rsidR="00556A22" w:rsidRPr="00BB2C49" w:rsidRDefault="00556A22" w:rsidP="00556A22">
            <w:pPr>
              <w:spacing w:before="0" w:line="259" w:lineRule="auto"/>
              <w:rPr>
                <w:rFonts w:eastAsia="Calibri" w:cs="Times New Roman"/>
                <w:szCs w:val="24"/>
              </w:rPr>
            </w:pPr>
            <w:r>
              <w:rPr>
                <w:rFonts w:eastAsia="Times New Roman" w:cs="Times New Roman"/>
                <w:szCs w:val="24"/>
                <w:lang w:eastAsia="ru-RU"/>
              </w:rPr>
              <w:t>Тис.</w:t>
            </w:r>
            <w:r w:rsidRPr="00427BBB">
              <w:rPr>
                <w:rFonts w:eastAsia="Times New Roman" w:cs="Times New Roman"/>
                <w:szCs w:val="24"/>
                <w:lang w:eastAsia="ru-RU"/>
              </w:rPr>
              <w:t>т/рік</w:t>
            </w:r>
          </w:p>
        </w:tc>
      </w:tr>
      <w:tr w:rsidR="00556A22" w:rsidRPr="00C22C49" w14:paraId="5F0D25E8" w14:textId="77777777" w:rsidTr="007C18A7">
        <w:trPr>
          <w:gridAfter w:val="1"/>
          <w:wAfter w:w="9" w:type="dxa"/>
          <w:trHeight w:val="170"/>
        </w:trPr>
        <w:tc>
          <w:tcPr>
            <w:tcW w:w="1009" w:type="dxa"/>
          </w:tcPr>
          <w:p w14:paraId="2648D33A"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52DC2C5D" w14:textId="2A709496"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та потужність комбінованих ТЕЦ, що використовують біомасу </w:t>
            </w:r>
          </w:p>
        </w:tc>
        <w:tc>
          <w:tcPr>
            <w:tcW w:w="2353" w:type="dxa"/>
          </w:tcPr>
          <w:p w14:paraId="3C01115D" w14:textId="77777777" w:rsidR="00556A22" w:rsidRPr="00675DFA" w:rsidRDefault="00556A22" w:rsidP="00556A22">
            <w:pPr>
              <w:tabs>
                <w:tab w:val="clear" w:pos="284"/>
                <w:tab w:val="clear" w:pos="1985"/>
              </w:tabs>
              <w:spacing w:before="60" w:after="0" w:line="240" w:lineRule="auto"/>
              <w:rPr>
                <w:rFonts w:eastAsia="Times New Roman" w:cs="Times New Roman"/>
                <w:szCs w:val="24"/>
                <w:lang w:eastAsia="ru-RU"/>
              </w:rPr>
            </w:pPr>
            <w:r w:rsidRPr="00675DFA">
              <w:rPr>
                <w:rFonts w:eastAsia="Times New Roman" w:cs="Times New Roman"/>
                <w:szCs w:val="24"/>
                <w:lang w:eastAsia="ru-RU"/>
              </w:rPr>
              <w:t xml:space="preserve">одиниць </w:t>
            </w:r>
          </w:p>
          <w:p w14:paraId="639ED2E2" w14:textId="1003F295" w:rsidR="00556A22" w:rsidRPr="00BB2C49" w:rsidRDefault="00556A22" w:rsidP="00556A22">
            <w:pPr>
              <w:spacing w:before="0" w:line="259" w:lineRule="auto"/>
              <w:rPr>
                <w:rFonts w:eastAsia="Calibri" w:cs="Times New Roman"/>
                <w:szCs w:val="24"/>
              </w:rPr>
            </w:pPr>
            <w:r w:rsidRPr="00675DFA">
              <w:rPr>
                <w:rFonts w:eastAsia="Times New Roman" w:cs="Times New Roman"/>
                <w:szCs w:val="24"/>
                <w:lang w:eastAsia="ru-RU"/>
              </w:rPr>
              <w:t>т/рік</w:t>
            </w:r>
          </w:p>
        </w:tc>
      </w:tr>
      <w:tr w:rsidR="00556A22" w:rsidRPr="00C22C49" w14:paraId="73E61D4B" w14:textId="77777777" w:rsidTr="007C18A7">
        <w:trPr>
          <w:gridAfter w:val="1"/>
          <w:wAfter w:w="9" w:type="dxa"/>
          <w:trHeight w:val="170"/>
        </w:trPr>
        <w:tc>
          <w:tcPr>
            <w:tcW w:w="1009" w:type="dxa"/>
          </w:tcPr>
          <w:p w14:paraId="2CE3EF81"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3F6805C0" w14:textId="027DF0C9"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та потужність підприємств з анаеробного розкладення, які використовують біомасу  </w:t>
            </w:r>
          </w:p>
        </w:tc>
        <w:tc>
          <w:tcPr>
            <w:tcW w:w="2353" w:type="dxa"/>
          </w:tcPr>
          <w:p w14:paraId="348AFA67" w14:textId="77777777" w:rsidR="00556A22" w:rsidRPr="00675DFA" w:rsidRDefault="00556A22" w:rsidP="00556A22">
            <w:pPr>
              <w:tabs>
                <w:tab w:val="clear" w:pos="284"/>
                <w:tab w:val="clear" w:pos="1985"/>
              </w:tabs>
              <w:spacing w:before="60" w:after="0" w:line="240" w:lineRule="auto"/>
              <w:rPr>
                <w:rFonts w:eastAsia="Times New Roman" w:cs="Times New Roman"/>
                <w:szCs w:val="24"/>
                <w:lang w:eastAsia="ru-RU"/>
              </w:rPr>
            </w:pPr>
            <w:r w:rsidRPr="00675DFA">
              <w:rPr>
                <w:rFonts w:eastAsia="Times New Roman" w:cs="Times New Roman"/>
                <w:szCs w:val="24"/>
                <w:lang w:eastAsia="ru-RU"/>
              </w:rPr>
              <w:t xml:space="preserve">одиниць </w:t>
            </w:r>
          </w:p>
          <w:p w14:paraId="14B16115" w14:textId="52B521C7" w:rsidR="00556A22" w:rsidRPr="00BB2C49" w:rsidRDefault="00556A22" w:rsidP="00556A22">
            <w:pPr>
              <w:spacing w:before="0" w:line="259" w:lineRule="auto"/>
              <w:rPr>
                <w:rFonts w:eastAsia="Calibri" w:cs="Times New Roman"/>
                <w:szCs w:val="24"/>
              </w:rPr>
            </w:pPr>
            <w:r w:rsidRPr="00675DFA">
              <w:rPr>
                <w:rFonts w:eastAsia="Times New Roman" w:cs="Times New Roman"/>
                <w:szCs w:val="24"/>
                <w:lang w:eastAsia="ru-RU"/>
              </w:rPr>
              <w:t>т/рік</w:t>
            </w:r>
          </w:p>
        </w:tc>
      </w:tr>
      <w:tr w:rsidR="00556A22" w:rsidRPr="00C22C49" w14:paraId="03CECEF3" w14:textId="77777777" w:rsidTr="007C18A7">
        <w:trPr>
          <w:gridAfter w:val="1"/>
          <w:wAfter w:w="9" w:type="dxa"/>
          <w:trHeight w:val="170"/>
        </w:trPr>
        <w:tc>
          <w:tcPr>
            <w:tcW w:w="1009" w:type="dxa"/>
          </w:tcPr>
          <w:p w14:paraId="5DFECF10"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35A8CBB" w14:textId="09DDB067"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сільськогосподарських відходів тваринного походження, призначених для різних методів оброблення  </w:t>
            </w:r>
          </w:p>
        </w:tc>
        <w:tc>
          <w:tcPr>
            <w:tcW w:w="2353" w:type="dxa"/>
          </w:tcPr>
          <w:p w14:paraId="13D59556" w14:textId="18C5227B" w:rsidR="00556A22" w:rsidRPr="00BB2C49" w:rsidRDefault="00556A22" w:rsidP="00556A22">
            <w:pPr>
              <w:spacing w:before="0" w:line="259" w:lineRule="auto"/>
              <w:rPr>
                <w:rFonts w:eastAsia="Calibri" w:cs="Times New Roman"/>
                <w:szCs w:val="24"/>
              </w:rPr>
            </w:pPr>
            <w:r>
              <w:rPr>
                <w:rFonts w:eastAsia="Times New Roman" w:cs="Times New Roman"/>
                <w:szCs w:val="24"/>
                <w:lang w:eastAsia="ru-RU"/>
              </w:rPr>
              <w:t>Тис.</w:t>
            </w:r>
            <w:r w:rsidRPr="00427BBB">
              <w:rPr>
                <w:rFonts w:eastAsia="Times New Roman" w:cs="Times New Roman"/>
                <w:szCs w:val="24"/>
                <w:lang w:eastAsia="ru-RU"/>
              </w:rPr>
              <w:t>т/рік</w:t>
            </w:r>
          </w:p>
        </w:tc>
      </w:tr>
      <w:tr w:rsidR="00556A22" w:rsidRPr="00C22C49" w14:paraId="01C8204F" w14:textId="77777777" w:rsidTr="007C18A7">
        <w:trPr>
          <w:gridAfter w:val="1"/>
          <w:wAfter w:w="9" w:type="dxa"/>
          <w:trHeight w:val="170"/>
        </w:trPr>
        <w:tc>
          <w:tcPr>
            <w:tcW w:w="1009" w:type="dxa"/>
          </w:tcPr>
          <w:p w14:paraId="2FE5F76D"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2451DE73" w14:textId="5DC891F6"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та потужність підприємств з витоплювання жирів (рендерінгу) з відходів тваринництва </w:t>
            </w:r>
          </w:p>
        </w:tc>
        <w:tc>
          <w:tcPr>
            <w:tcW w:w="2353" w:type="dxa"/>
          </w:tcPr>
          <w:p w14:paraId="72947CEE" w14:textId="77777777" w:rsidR="00556A22" w:rsidRDefault="00556A22" w:rsidP="00556A22">
            <w:pPr>
              <w:tabs>
                <w:tab w:val="clear" w:pos="284"/>
                <w:tab w:val="clear" w:pos="1985"/>
              </w:tabs>
              <w:spacing w:before="60" w:after="0" w:line="240" w:lineRule="auto"/>
              <w:rPr>
                <w:rFonts w:eastAsia="Times New Roman" w:cs="Times New Roman"/>
                <w:szCs w:val="24"/>
                <w:lang w:eastAsia="ru-RU"/>
              </w:rPr>
            </w:pPr>
            <w:r w:rsidRPr="00675DFA">
              <w:rPr>
                <w:rFonts w:eastAsia="Times New Roman" w:cs="Times New Roman"/>
                <w:szCs w:val="24"/>
                <w:lang w:eastAsia="ru-RU"/>
              </w:rPr>
              <w:t xml:space="preserve">одиниць </w:t>
            </w:r>
          </w:p>
          <w:p w14:paraId="73CFB10C" w14:textId="4589AC40"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т/рік</w:t>
            </w:r>
          </w:p>
        </w:tc>
      </w:tr>
      <w:tr w:rsidR="00556A22" w:rsidRPr="00C22C49" w14:paraId="6C477CD7" w14:textId="77777777" w:rsidTr="007C18A7">
        <w:trPr>
          <w:gridAfter w:val="1"/>
          <w:wAfter w:w="9" w:type="dxa"/>
          <w:trHeight w:val="170"/>
        </w:trPr>
        <w:tc>
          <w:tcPr>
            <w:tcW w:w="1009" w:type="dxa"/>
          </w:tcPr>
          <w:p w14:paraId="758C2F6B"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1E0408F9" w14:textId="4DA1DB68"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та потужність підприємств для виробництва компосту з продукції </w:t>
            </w:r>
            <w:r w:rsidRPr="00926E6D">
              <w:rPr>
                <w:rFonts w:eastAsia="Times New Roman" w:cs="Times New Roman"/>
                <w:szCs w:val="24"/>
                <w:lang w:eastAsia="ru-RU"/>
              </w:rPr>
              <w:t>тваринного</w:t>
            </w:r>
            <w:r w:rsidRPr="00427BBB">
              <w:rPr>
                <w:rFonts w:eastAsia="Times New Roman" w:cs="Times New Roman"/>
                <w:szCs w:val="24"/>
                <w:lang w:eastAsia="ru-RU"/>
              </w:rPr>
              <w:t xml:space="preserve"> походження </w:t>
            </w:r>
          </w:p>
        </w:tc>
        <w:tc>
          <w:tcPr>
            <w:tcW w:w="2353" w:type="dxa"/>
          </w:tcPr>
          <w:p w14:paraId="556AFB8C" w14:textId="77777777" w:rsidR="00556A22" w:rsidRPr="00675DFA" w:rsidRDefault="00556A22" w:rsidP="00556A22">
            <w:pPr>
              <w:tabs>
                <w:tab w:val="clear" w:pos="284"/>
                <w:tab w:val="clear" w:pos="1985"/>
              </w:tabs>
              <w:spacing w:before="60" w:after="0" w:line="240" w:lineRule="auto"/>
              <w:rPr>
                <w:rFonts w:eastAsia="Times New Roman" w:cs="Times New Roman"/>
                <w:szCs w:val="24"/>
                <w:lang w:eastAsia="ru-RU"/>
              </w:rPr>
            </w:pPr>
            <w:r w:rsidRPr="00675DFA">
              <w:rPr>
                <w:rFonts w:eastAsia="Times New Roman" w:cs="Times New Roman"/>
                <w:szCs w:val="24"/>
                <w:lang w:eastAsia="ru-RU"/>
              </w:rPr>
              <w:t xml:space="preserve">одиниць </w:t>
            </w:r>
          </w:p>
          <w:p w14:paraId="1BD8EEA2" w14:textId="044110BD" w:rsidR="00556A22" w:rsidRPr="00BB2C49" w:rsidRDefault="00556A22" w:rsidP="00556A22">
            <w:pPr>
              <w:spacing w:before="0" w:line="259" w:lineRule="auto"/>
              <w:rPr>
                <w:rFonts w:eastAsia="Calibri" w:cs="Times New Roman"/>
                <w:szCs w:val="24"/>
              </w:rPr>
            </w:pPr>
            <w:r w:rsidRPr="00675DFA">
              <w:rPr>
                <w:rFonts w:eastAsia="Times New Roman" w:cs="Times New Roman"/>
                <w:szCs w:val="24"/>
                <w:lang w:eastAsia="ru-RU"/>
              </w:rPr>
              <w:t>т/рік</w:t>
            </w:r>
          </w:p>
        </w:tc>
      </w:tr>
      <w:tr w:rsidR="00556A22" w:rsidRPr="00C22C49" w14:paraId="1A8BB7CB" w14:textId="77777777" w:rsidTr="007C18A7">
        <w:trPr>
          <w:gridAfter w:val="1"/>
          <w:wAfter w:w="9" w:type="dxa"/>
          <w:trHeight w:val="170"/>
        </w:trPr>
        <w:tc>
          <w:tcPr>
            <w:tcW w:w="1009" w:type="dxa"/>
          </w:tcPr>
          <w:p w14:paraId="0D8D2298"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A74D6A4" w14:textId="4F2BE532"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мобільних установок для спалювання відходів </w:t>
            </w:r>
            <w:r w:rsidRPr="00926E6D">
              <w:rPr>
                <w:rFonts w:eastAsia="Times New Roman" w:cs="Times New Roman"/>
                <w:szCs w:val="24"/>
                <w:lang w:eastAsia="ru-RU"/>
              </w:rPr>
              <w:t>тваринного</w:t>
            </w:r>
            <w:r w:rsidRPr="00427BBB">
              <w:rPr>
                <w:rFonts w:eastAsia="Times New Roman" w:cs="Times New Roman"/>
                <w:szCs w:val="24"/>
                <w:lang w:eastAsia="ru-RU"/>
              </w:rPr>
              <w:t xml:space="preserve"> походження у надзвичайних ситуація </w:t>
            </w:r>
          </w:p>
        </w:tc>
        <w:tc>
          <w:tcPr>
            <w:tcW w:w="2353" w:type="dxa"/>
          </w:tcPr>
          <w:p w14:paraId="62049464" w14:textId="77777777" w:rsidR="00556A22" w:rsidRPr="00427BBB" w:rsidRDefault="00556A22" w:rsidP="00556A22">
            <w:pPr>
              <w:tabs>
                <w:tab w:val="clear" w:pos="284"/>
                <w:tab w:val="clear" w:pos="1985"/>
              </w:tabs>
              <w:spacing w:before="60" w:after="0" w:line="240" w:lineRule="auto"/>
              <w:rPr>
                <w:rFonts w:eastAsia="Times New Roman" w:cs="Times New Roman"/>
                <w:szCs w:val="24"/>
                <w:lang w:eastAsia="ru-RU"/>
              </w:rPr>
            </w:pPr>
            <w:r w:rsidRPr="00427BBB">
              <w:rPr>
                <w:rFonts w:eastAsia="Times New Roman" w:cs="Times New Roman"/>
                <w:szCs w:val="24"/>
                <w:lang w:eastAsia="ru-RU"/>
              </w:rPr>
              <w:t xml:space="preserve">К-ть </w:t>
            </w:r>
          </w:p>
          <w:p w14:paraId="6F5B3EF9" w14:textId="77777777" w:rsidR="00556A22" w:rsidRPr="00BB2C49" w:rsidRDefault="00556A22" w:rsidP="00556A22">
            <w:pPr>
              <w:spacing w:before="0" w:line="259" w:lineRule="auto"/>
              <w:rPr>
                <w:rFonts w:eastAsia="Calibri" w:cs="Times New Roman"/>
                <w:szCs w:val="24"/>
              </w:rPr>
            </w:pPr>
          </w:p>
        </w:tc>
      </w:tr>
      <w:tr w:rsidR="00556A22" w:rsidRPr="00C22C49" w14:paraId="69F40196" w14:textId="77777777" w:rsidTr="007C18A7">
        <w:trPr>
          <w:gridAfter w:val="1"/>
          <w:wAfter w:w="9" w:type="dxa"/>
          <w:trHeight w:val="170"/>
        </w:trPr>
        <w:tc>
          <w:tcPr>
            <w:tcW w:w="1009" w:type="dxa"/>
          </w:tcPr>
          <w:p w14:paraId="7D16986C"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66E2517B" w14:textId="64BDA960"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відходів сільського господарства тваринного походження видалені до місць захоронення </w:t>
            </w:r>
          </w:p>
        </w:tc>
        <w:tc>
          <w:tcPr>
            <w:tcW w:w="2353" w:type="dxa"/>
          </w:tcPr>
          <w:p w14:paraId="135CCB68" w14:textId="5B17BB0A" w:rsidR="00556A22" w:rsidRPr="00BB2C49" w:rsidRDefault="00556A22" w:rsidP="00556A22">
            <w:pPr>
              <w:spacing w:before="0" w:line="259" w:lineRule="auto"/>
              <w:rPr>
                <w:rFonts w:eastAsia="Calibri" w:cs="Times New Roman"/>
                <w:szCs w:val="24"/>
              </w:rPr>
            </w:pPr>
            <w:r>
              <w:rPr>
                <w:rFonts w:eastAsia="Times New Roman" w:cs="Times New Roman"/>
                <w:szCs w:val="24"/>
                <w:lang w:eastAsia="ru-RU"/>
              </w:rPr>
              <w:t>Тис.</w:t>
            </w:r>
            <w:r w:rsidRPr="00427BBB">
              <w:rPr>
                <w:rFonts w:eastAsia="Times New Roman" w:cs="Times New Roman"/>
                <w:szCs w:val="24"/>
                <w:lang w:eastAsia="ru-RU"/>
              </w:rPr>
              <w:t>т/рік</w:t>
            </w:r>
          </w:p>
        </w:tc>
      </w:tr>
      <w:tr w:rsidR="00556A22" w:rsidRPr="00C22C49" w14:paraId="5C782763" w14:textId="77777777" w:rsidTr="007C18A7">
        <w:trPr>
          <w:gridAfter w:val="1"/>
          <w:wAfter w:w="9" w:type="dxa"/>
          <w:trHeight w:val="170"/>
        </w:trPr>
        <w:tc>
          <w:tcPr>
            <w:tcW w:w="1009" w:type="dxa"/>
          </w:tcPr>
          <w:p w14:paraId="3EDE6049"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420AE54" w14:textId="386F4F71"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 xml:space="preserve">Кількість тваринних екскрементів використаних для внесення у ґрунт </w:t>
            </w:r>
          </w:p>
        </w:tc>
        <w:tc>
          <w:tcPr>
            <w:tcW w:w="2353" w:type="dxa"/>
          </w:tcPr>
          <w:p w14:paraId="24CCB63E" w14:textId="21476F9B" w:rsidR="00556A22" w:rsidRPr="00BB2C49" w:rsidRDefault="00556A22" w:rsidP="00556A22">
            <w:pPr>
              <w:spacing w:before="0" w:line="259" w:lineRule="auto"/>
              <w:rPr>
                <w:rFonts w:eastAsia="Calibri" w:cs="Times New Roman"/>
                <w:szCs w:val="24"/>
              </w:rPr>
            </w:pPr>
            <w:r>
              <w:rPr>
                <w:rFonts w:eastAsia="Times New Roman" w:cs="Times New Roman"/>
                <w:szCs w:val="24"/>
                <w:lang w:eastAsia="ru-RU"/>
              </w:rPr>
              <w:t xml:space="preserve">Тис. </w:t>
            </w:r>
            <w:r w:rsidRPr="00427BBB">
              <w:rPr>
                <w:rFonts w:eastAsia="Times New Roman" w:cs="Times New Roman"/>
                <w:szCs w:val="24"/>
                <w:lang w:eastAsia="ru-RU"/>
              </w:rPr>
              <w:t>т/рік</w:t>
            </w:r>
          </w:p>
        </w:tc>
      </w:tr>
      <w:tr w:rsidR="00556A22" w:rsidRPr="00C22C49" w14:paraId="61270AC9" w14:textId="77777777" w:rsidTr="007C18A7">
        <w:trPr>
          <w:gridAfter w:val="1"/>
          <w:wAfter w:w="9" w:type="dxa"/>
          <w:trHeight w:val="170"/>
        </w:trPr>
        <w:tc>
          <w:tcPr>
            <w:tcW w:w="1009" w:type="dxa"/>
          </w:tcPr>
          <w:p w14:paraId="088BEA05" w14:textId="77777777" w:rsidR="00556A22" w:rsidRPr="00C22C49" w:rsidRDefault="00556A22" w:rsidP="00556A22">
            <w:pPr>
              <w:numPr>
                <w:ilvl w:val="0"/>
                <w:numId w:val="23"/>
              </w:numPr>
              <w:tabs>
                <w:tab w:val="clear" w:pos="284"/>
                <w:tab w:val="clear" w:pos="1985"/>
              </w:tabs>
              <w:spacing w:before="0" w:after="160" w:line="259" w:lineRule="auto"/>
              <w:contextualSpacing/>
              <w:jc w:val="left"/>
              <w:rPr>
                <w:rFonts w:eastAsia="Calibri" w:cs="Times New Roman"/>
                <w:szCs w:val="24"/>
              </w:rPr>
            </w:pPr>
          </w:p>
        </w:tc>
        <w:tc>
          <w:tcPr>
            <w:tcW w:w="6421" w:type="dxa"/>
          </w:tcPr>
          <w:p w14:paraId="7A9D6840" w14:textId="4C9140B5" w:rsidR="00556A22" w:rsidRPr="00BB2C49" w:rsidRDefault="00556A22" w:rsidP="00556A22">
            <w:pPr>
              <w:spacing w:before="0" w:line="259" w:lineRule="auto"/>
              <w:rPr>
                <w:rFonts w:eastAsia="Calibri" w:cs="Times New Roman"/>
                <w:szCs w:val="24"/>
              </w:rPr>
            </w:pPr>
            <w:r w:rsidRPr="00427BBB">
              <w:rPr>
                <w:rFonts w:eastAsia="Times New Roman" w:cs="Times New Roman"/>
                <w:szCs w:val="24"/>
                <w:lang w:eastAsia="ru-RU"/>
              </w:rPr>
              <w:t>Кількість тваринних екскрементів призначених для компостування та анаеробного розкладення</w:t>
            </w:r>
          </w:p>
        </w:tc>
        <w:tc>
          <w:tcPr>
            <w:tcW w:w="2353" w:type="dxa"/>
          </w:tcPr>
          <w:p w14:paraId="03B5666D" w14:textId="7B6C50D1" w:rsidR="00556A22" w:rsidRPr="00BB2C49" w:rsidRDefault="00556A22" w:rsidP="00556A22">
            <w:pPr>
              <w:spacing w:before="0" w:line="259" w:lineRule="auto"/>
              <w:rPr>
                <w:rFonts w:eastAsia="Calibri" w:cs="Times New Roman"/>
                <w:szCs w:val="24"/>
              </w:rPr>
            </w:pPr>
            <w:r>
              <w:rPr>
                <w:rFonts w:eastAsia="Times New Roman" w:cs="Times New Roman"/>
                <w:szCs w:val="24"/>
                <w:lang w:eastAsia="ru-RU"/>
              </w:rPr>
              <w:t>Тис.</w:t>
            </w:r>
            <w:r w:rsidRPr="00427BBB">
              <w:rPr>
                <w:rFonts w:eastAsia="Times New Roman" w:cs="Times New Roman"/>
                <w:szCs w:val="24"/>
                <w:lang w:eastAsia="ru-RU"/>
              </w:rPr>
              <w:t>т/рік</w:t>
            </w:r>
          </w:p>
        </w:tc>
      </w:tr>
    </w:tbl>
    <w:p w14:paraId="5740EEE6" w14:textId="77777777" w:rsidR="00447C56" w:rsidRPr="00C22C49" w:rsidRDefault="00447C56" w:rsidP="00447C56">
      <w:pPr>
        <w:pStyle w:val="20"/>
      </w:pPr>
      <w:bookmarkStart w:id="122" w:name="_Toc151583290"/>
      <w:bookmarkStart w:id="123" w:name="_Hlk151315239"/>
      <w:r w:rsidRPr="00C22C49">
        <w:t>ІНСТРУМЕНТИ РЕАЛІЗАЦІЇ ПЛАНУ, У ТОМУ ЧИСЛІ ЕКОНОМІЧНІ, ОЦІНКА ЇХ ПРИДАТНОСТІ ТА ПРОГНОЗНІ ПОКАЗНИКИ ОЧІКУВАНИХ РЕЗУЛЬТАТІВ.</w:t>
      </w:r>
      <w:bookmarkEnd w:id="122"/>
    </w:p>
    <w:p w14:paraId="7119E06B" w14:textId="77777777" w:rsidR="00447C56" w:rsidRPr="00C22C49" w:rsidRDefault="00447C56" w:rsidP="00447C56">
      <w:r w:rsidRPr="00C22C49">
        <w:t>Для стимулювання дотримання ієрархії управління відходами, забезпечення повного відшкодування витрат утворювачів та власників відходів та забезпечення фінансування заходів у сфері управління відходами Законом України «Про управління відходами» передбачено впровадження наступних економічних інструментів:</w:t>
      </w:r>
    </w:p>
    <w:p w14:paraId="08C3542C" w14:textId="77777777" w:rsidR="00447C56" w:rsidRPr="00C22C49" w:rsidRDefault="00447C56" w:rsidP="00447C56">
      <w:pPr>
        <w:pStyle w:val="a1"/>
        <w:numPr>
          <w:ilvl w:val="0"/>
          <w:numId w:val="14"/>
        </w:numPr>
        <w:rPr>
          <w:color w:val="auto"/>
        </w:rPr>
      </w:pPr>
      <w:r w:rsidRPr="00C22C49">
        <w:rPr>
          <w:color w:val="auto"/>
        </w:rPr>
        <w:t>встановлення ставок екологічного податку, що справляється за захоронення відходів на полігонах, залежно від виду відходів та класу полігону;</w:t>
      </w:r>
    </w:p>
    <w:p w14:paraId="4880D3A8" w14:textId="77777777" w:rsidR="00447C56" w:rsidRPr="00C22C49" w:rsidRDefault="00447C56" w:rsidP="00447C56">
      <w:pPr>
        <w:pStyle w:val="a1"/>
        <w:rPr>
          <w:color w:val="auto"/>
        </w:rPr>
      </w:pPr>
      <w:r w:rsidRPr="00C22C49">
        <w:rPr>
          <w:color w:val="auto"/>
        </w:rPr>
        <w:t>запровадження системи, за якої утворювачі та власники відходів сплачують лише за фактичну вагу відходів, непридатних для підготовки до повторного використання та відновлення, та створюються стимули для роздільного збирання відходів;</w:t>
      </w:r>
    </w:p>
    <w:p w14:paraId="1144AC4D" w14:textId="77777777" w:rsidR="00447C56" w:rsidRPr="00C22C49" w:rsidRDefault="00447C56" w:rsidP="00447C56">
      <w:pPr>
        <w:pStyle w:val="a1"/>
        <w:rPr>
          <w:color w:val="auto"/>
        </w:rPr>
      </w:pPr>
      <w:r w:rsidRPr="00C22C49">
        <w:rPr>
          <w:color w:val="auto"/>
        </w:rPr>
        <w:t>запровадження розширеної відповідальності виробника для певних видів відходів, розроблення заходів для підвищення її організаційної та економічної ефективності;</w:t>
      </w:r>
    </w:p>
    <w:p w14:paraId="1292B867" w14:textId="77777777" w:rsidR="00447C56" w:rsidRPr="00C22C49" w:rsidRDefault="00447C56" w:rsidP="00447C56">
      <w:pPr>
        <w:pStyle w:val="a1"/>
        <w:rPr>
          <w:color w:val="auto"/>
        </w:rPr>
      </w:pPr>
      <w:r w:rsidRPr="00C22C49">
        <w:rPr>
          <w:color w:val="auto"/>
        </w:rPr>
        <w:t>впровадження депозитних схем та інших заходів для заохочення ефективного збирання використаних продукції та матеріалів;</w:t>
      </w:r>
    </w:p>
    <w:p w14:paraId="21B90443" w14:textId="77777777" w:rsidR="00447C56" w:rsidRPr="00C22C49" w:rsidRDefault="00447C56" w:rsidP="00447C56">
      <w:pPr>
        <w:pStyle w:val="a1"/>
        <w:rPr>
          <w:color w:val="auto"/>
        </w:rPr>
      </w:pPr>
      <w:r w:rsidRPr="00C22C49">
        <w:rPr>
          <w:color w:val="auto"/>
        </w:rPr>
        <w:t>надання податкових пільг для стимулювання повторного використання та благодійного пожертвування продукції;</w:t>
      </w:r>
    </w:p>
    <w:p w14:paraId="51E544B2" w14:textId="77777777" w:rsidR="00447C56" w:rsidRPr="00C22C49" w:rsidRDefault="00447C56" w:rsidP="00447C56">
      <w:pPr>
        <w:pStyle w:val="a1"/>
        <w:rPr>
          <w:color w:val="auto"/>
        </w:rPr>
      </w:pPr>
      <w:r w:rsidRPr="00C22C49">
        <w:rPr>
          <w:color w:val="auto"/>
        </w:rPr>
        <w:t>оподаткування продукції, відходи якої спричиняють значний негативний вплив на навколишнє природне середовище, з метою зменшення споживання такої продукції та стимулювання впровадження найкращих доступних технологій і методів управління для їх рециклінгу;</w:t>
      </w:r>
    </w:p>
    <w:p w14:paraId="63895001" w14:textId="77777777" w:rsidR="00447C56" w:rsidRPr="00C22C49" w:rsidRDefault="00447C56" w:rsidP="00447C56">
      <w:pPr>
        <w:pStyle w:val="a1"/>
        <w:rPr>
          <w:color w:val="auto"/>
        </w:rPr>
      </w:pPr>
      <w:r w:rsidRPr="00C22C49">
        <w:rPr>
          <w:color w:val="auto"/>
        </w:rPr>
        <w:t>стимулювання використання продукції та матеріалів, отриманих у результаті підготовки відходів до повторного використання та рециклінгу;</w:t>
      </w:r>
    </w:p>
    <w:p w14:paraId="25CF336C" w14:textId="77777777" w:rsidR="00447C56" w:rsidRPr="00C22C49" w:rsidRDefault="00447C56" w:rsidP="00447C56">
      <w:pPr>
        <w:pStyle w:val="a1"/>
        <w:rPr>
          <w:color w:val="auto"/>
        </w:rPr>
      </w:pPr>
      <w:r w:rsidRPr="00C22C49">
        <w:rPr>
          <w:color w:val="auto"/>
        </w:rPr>
        <w:t>надання податкових і кредитних пільг для фінансової підтримки проведення наукових досліджень та впровадження інноваційних технологій оброблення, зокрема рециклінгу, відходів.</w:t>
      </w:r>
    </w:p>
    <w:p w14:paraId="18F46FC8" w14:textId="77777777" w:rsidR="00447C56" w:rsidRPr="00C22C49" w:rsidRDefault="00447C56" w:rsidP="00447C56">
      <w:r w:rsidRPr="00C22C49">
        <w:t>Інші можливі інструменти запобігання утворенню відходів та дотримання ієрархії відходів.</w:t>
      </w:r>
    </w:p>
    <w:p w14:paraId="74711250" w14:textId="77777777" w:rsidR="00447C56" w:rsidRPr="00C22C49" w:rsidRDefault="00447C56" w:rsidP="00447C56">
      <w:pPr>
        <w:pStyle w:val="REDBoldonly"/>
        <w:rPr>
          <w:rStyle w:val="affe"/>
          <w:iCs w:val="0"/>
        </w:rPr>
      </w:pPr>
      <w:r w:rsidRPr="00C22C49">
        <w:rPr>
          <w:rStyle w:val="affe"/>
          <w:iCs w:val="0"/>
        </w:rPr>
        <w:t>Еко-податки на продукцію</w:t>
      </w:r>
    </w:p>
    <w:p w14:paraId="30D86BEB" w14:textId="77777777" w:rsidR="00447C56" w:rsidRPr="00C22C49" w:rsidRDefault="00447C56" w:rsidP="00447C56">
      <w:r w:rsidRPr="00C22C49">
        <w:t xml:space="preserve">Еко-податки на продукцію будуть запроваджені як економічний інструмент для скорочення споживання певних категорій товарів. Зокрема, пропонується запровадження податку на вживані транспортні засоби, термін експлуатації яких більше 20р. та оливи. Уряд також оцінить необхідність запровадження еко-податку, зокрема на упаковку, електричного та електронного обладнання, батарейки та акумулятори та </w:t>
      </w:r>
      <w:r w:rsidRPr="00C22C49">
        <w:rPr>
          <w:rStyle w:val="rynqvb"/>
        </w:rPr>
        <w:t xml:space="preserve">інші, </w:t>
      </w:r>
      <w:r w:rsidRPr="00C22C49">
        <w:t>протягом перших трьох років після ухвалення Плану дій. Еко-податок на продукт не доцільно запроваджувати, якщо організовані схеми РВВ охоплять щонайменше 70% продукції.</w:t>
      </w:r>
    </w:p>
    <w:p w14:paraId="79B0DCBA" w14:textId="77777777" w:rsidR="00447C56" w:rsidRPr="00C22C49" w:rsidRDefault="00447C56" w:rsidP="00447C56">
      <w:pPr>
        <w:pStyle w:val="REDBoldonly"/>
        <w:rPr>
          <w:rStyle w:val="affe"/>
          <w:b w:val="0"/>
          <w:iCs w:val="0"/>
        </w:rPr>
      </w:pPr>
      <w:r w:rsidRPr="00C22C49">
        <w:rPr>
          <w:rStyle w:val="affe"/>
          <w:iCs w:val="0"/>
        </w:rPr>
        <w:t>Сталі державні закупівлі</w:t>
      </w:r>
    </w:p>
    <w:p w14:paraId="1110BAEB" w14:textId="77777777" w:rsidR="00447C56" w:rsidRPr="00C22C49" w:rsidRDefault="00447C56" w:rsidP="00447C56">
      <w:r w:rsidRPr="00C22C49">
        <w:t xml:space="preserve">З метою сприяння ефективному управлінню </w:t>
      </w:r>
      <w:r w:rsidRPr="00C22C49">
        <w:rPr>
          <w:b/>
        </w:rPr>
        <w:t>відходами будівництва та знесення</w:t>
      </w:r>
      <w:r w:rsidRPr="00C22C49">
        <w:t>, рекомендується у вимогах до державних закупівель передбачати використання визначеного відсотка будівельних матеріалів, виготовлених з відходів. Це дозволить не тільки зменшити навантаження на довкілля, але й стимулювати ринок вторинної сировини.</w:t>
      </w:r>
    </w:p>
    <w:p w14:paraId="49DF79D9" w14:textId="77777777" w:rsidR="00447C56" w:rsidRPr="00C22C49" w:rsidRDefault="00447C56" w:rsidP="00447C56">
      <w:r w:rsidRPr="00C22C49">
        <w:t>Іншим кроком є проведення закупівель канцелярських товарів, виготовлених з перероблених матеріалів. Такий підхід дозволить забезпечити розвиток циркулярної економіки в Україні, зосереджуючи увагу на рециклінгу та повторному використанні ресурсів, а не на їхньому видаленні.</w:t>
      </w:r>
    </w:p>
    <w:p w14:paraId="1D5267AE" w14:textId="77777777" w:rsidR="00447C56" w:rsidRPr="00C22C49" w:rsidRDefault="00447C56" w:rsidP="00447C56">
      <w:pPr>
        <w:pStyle w:val="REDBoldonly"/>
        <w:rPr>
          <w:rStyle w:val="affe"/>
          <w:iCs w:val="0"/>
        </w:rPr>
      </w:pPr>
      <w:r w:rsidRPr="00C22C49">
        <w:rPr>
          <w:rStyle w:val="affe"/>
          <w:iCs w:val="0"/>
        </w:rPr>
        <w:t>Перегляд системи оподаткування на розміщення відходів</w:t>
      </w:r>
    </w:p>
    <w:p w14:paraId="7D603C9F" w14:textId="77777777" w:rsidR="00447C56" w:rsidRPr="00C22C49" w:rsidRDefault="00447C56" w:rsidP="00447C56">
      <w:pPr>
        <w:pStyle w:val="BulletRED"/>
      </w:pPr>
      <w:r w:rsidRPr="00C22C49">
        <w:t>підвищення ставки екологічного податку на розміщення побутових відходів на полігонах та диференціювання податкових ставок для збалансування коштів, сплачених за захоронення відходів на полігонах, що мають тимчасові дозволи, з урахуванням витрат на їх вивезення на регіональні полігони.</w:t>
      </w:r>
    </w:p>
    <w:p w14:paraId="7002ABBA" w14:textId="77777777" w:rsidR="00447C56" w:rsidRPr="00C22C49" w:rsidRDefault="00447C56" w:rsidP="00447C56">
      <w:pPr>
        <w:pStyle w:val="BulletRED"/>
      </w:pPr>
      <w:r w:rsidRPr="00C22C49">
        <w:t xml:space="preserve">підвищення ставки екологічного податку на розміщення відходів будівництва та знесення; </w:t>
      </w:r>
    </w:p>
    <w:p w14:paraId="3182E419" w14:textId="77777777" w:rsidR="00447C56" w:rsidRPr="00C22C49" w:rsidRDefault="00447C56" w:rsidP="00447C56">
      <w:pPr>
        <w:pStyle w:val="BulletRED"/>
      </w:pPr>
      <w:r w:rsidRPr="00C22C49">
        <w:t>тимчасове звільнення від сплати екологічного податку нових полігонів, якщо вони відповідають сучасним технічним стандартам та новим вимогам законодавства.</w:t>
      </w:r>
    </w:p>
    <w:p w14:paraId="057571B8" w14:textId="77777777" w:rsidR="00447C56" w:rsidRPr="00C22C49" w:rsidRDefault="00447C56" w:rsidP="00447C56">
      <w:r w:rsidRPr="00C22C49">
        <w:t>Кошти, отримані від сплати екологічного податку у першу чергу будуть спрямовані на фінансування програм закриття сміттєзвалищ та полігонів побутових відходів, які не відповідають законодавчим вимогам, а також можуть використовуватись для компенсації органам місцевого самоврядування за розташування об’єктів управління відходами (включаючи полігон) на їх території.</w:t>
      </w:r>
    </w:p>
    <w:p w14:paraId="05986322" w14:textId="77777777" w:rsidR="00447C56" w:rsidRPr="00C22C49" w:rsidRDefault="00447C56" w:rsidP="00447C56">
      <w:pPr>
        <w:pStyle w:val="REDBoldonly"/>
        <w:rPr>
          <w:rStyle w:val="affe"/>
          <w:iCs w:val="0"/>
        </w:rPr>
      </w:pPr>
      <w:r w:rsidRPr="00C22C49">
        <w:rPr>
          <w:rStyle w:val="affe"/>
          <w:iCs w:val="0"/>
        </w:rPr>
        <w:t>Фінансова доступність, фінансова стійкість та грантове фінансування</w:t>
      </w:r>
    </w:p>
    <w:p w14:paraId="421FC72C" w14:textId="77777777" w:rsidR="00447C56" w:rsidRPr="00C22C49" w:rsidRDefault="00447C56" w:rsidP="00447C56">
      <w:r w:rsidRPr="00C22C49">
        <w:t>На рівень тарифів на управління побутовими відходами впливають три фактори: їхня фінансова доступність, спроможність підтримувати послуги у фінансовому плані протягом тривалого часу та наявність грантового фінансування. Ці фактори визначають сферу, масштаб і терміни реалізації реалістичної та досяжної стратегії.</w:t>
      </w:r>
    </w:p>
    <w:p w14:paraId="5828C92F" w14:textId="77777777" w:rsidR="00447C56" w:rsidRPr="00C22C49" w:rsidRDefault="00447C56" w:rsidP="00447C56">
      <w:r w:rsidRPr="00C22C49">
        <w:t xml:space="preserve">Економічна доступність - це здатність домогосподарств платити за послуги. Вона вказує на частку середнього доходу домогосподарства, яку воно може собі дозволити для оплати послуг з управління побутовими відходами. У міжнародній практиці зазвичай використовується діапазон від </w:t>
      </w:r>
      <w:r w:rsidRPr="00C22C49">
        <w:rPr>
          <w:b/>
          <w:bCs/>
        </w:rPr>
        <w:t>0,75% до 1,25% середнього доходу домогосподарства</w:t>
      </w:r>
      <w:r w:rsidRPr="00C22C49">
        <w:t xml:space="preserve">. </w:t>
      </w:r>
    </w:p>
    <w:p w14:paraId="2FBB06FD" w14:textId="77777777" w:rsidR="00447C56" w:rsidRPr="00C22C49" w:rsidRDefault="00447C56" w:rsidP="00447C56">
      <w:pPr>
        <w:rPr>
          <w:b/>
          <w:bCs/>
        </w:rPr>
      </w:pPr>
      <w:r w:rsidRPr="00C22C49">
        <w:t>Для України</w:t>
      </w:r>
      <w:r w:rsidRPr="00C22C49">
        <w:rPr>
          <w:b/>
          <w:bCs/>
        </w:rPr>
        <w:t xml:space="preserve"> прийнято коефіцієнт 1%.</w:t>
      </w:r>
    </w:p>
    <w:p w14:paraId="3507D581" w14:textId="77777777" w:rsidR="00447C56" w:rsidRPr="00C22C49" w:rsidRDefault="00447C56" w:rsidP="00447C56">
      <w:r w:rsidRPr="00C22C49">
        <w:t>При проведенні аналізу економічної доступності потрібно застосовати наступні підходи:</w:t>
      </w:r>
    </w:p>
    <w:p w14:paraId="0896752E" w14:textId="77777777" w:rsidR="00447C56" w:rsidRPr="00C22C49" w:rsidRDefault="00447C56" w:rsidP="00447C56">
      <w:pPr>
        <w:pStyle w:val="a1"/>
        <w:numPr>
          <w:ilvl w:val="0"/>
          <w:numId w:val="12"/>
        </w:numPr>
        <w:rPr>
          <w:color w:val="auto"/>
        </w:rPr>
      </w:pPr>
      <w:r w:rsidRPr="00C22C49">
        <w:rPr>
          <w:color w:val="auto"/>
        </w:rPr>
        <w:t>Визначити середній дохід домогосподарства та прогнози його зростання у майбутньому;</w:t>
      </w:r>
    </w:p>
    <w:p w14:paraId="0F1A2BD9" w14:textId="77777777" w:rsidR="00447C56" w:rsidRPr="00C22C49" w:rsidRDefault="00447C56" w:rsidP="00447C56">
      <w:pPr>
        <w:pStyle w:val="a1"/>
        <w:rPr>
          <w:color w:val="auto"/>
        </w:rPr>
      </w:pPr>
      <w:r w:rsidRPr="00C22C49">
        <w:rPr>
          <w:color w:val="auto"/>
        </w:rPr>
        <w:t>Прийняти коефіцієнт доступності для встановлення верхньої межі тарифів по відношенню до середнього доходу;</w:t>
      </w:r>
    </w:p>
    <w:p w14:paraId="7A10D7E7" w14:textId="77777777" w:rsidR="00447C56" w:rsidRPr="00C22C49" w:rsidRDefault="00447C56" w:rsidP="00447C56">
      <w:pPr>
        <w:pStyle w:val="a1"/>
        <w:rPr>
          <w:color w:val="auto"/>
        </w:rPr>
      </w:pPr>
      <w:r w:rsidRPr="00C22C49">
        <w:rPr>
          <w:color w:val="auto"/>
        </w:rPr>
        <w:t>Визначити період, протягом якого має бути досягнутий доступний тариф, та/або визначити максимально допустимий річний реальний темп підвищення тарифів;</w:t>
      </w:r>
    </w:p>
    <w:p w14:paraId="7337C255" w14:textId="77777777" w:rsidR="00447C56" w:rsidRPr="00C22C49" w:rsidRDefault="00447C56" w:rsidP="00447C56">
      <w:pPr>
        <w:pStyle w:val="a1"/>
        <w:rPr>
          <w:color w:val="auto"/>
        </w:rPr>
      </w:pPr>
      <w:r w:rsidRPr="00C22C49">
        <w:rPr>
          <w:color w:val="auto"/>
        </w:rPr>
        <w:t>Додати відповідний ПДВ;</w:t>
      </w:r>
    </w:p>
    <w:p w14:paraId="3D273C2D" w14:textId="77777777" w:rsidR="00447C56" w:rsidRPr="00C22C49" w:rsidRDefault="00447C56" w:rsidP="00447C56">
      <w:pPr>
        <w:pStyle w:val="a1"/>
        <w:rPr>
          <w:color w:val="auto"/>
        </w:rPr>
      </w:pPr>
      <w:r w:rsidRPr="00C22C49">
        <w:rPr>
          <w:color w:val="auto"/>
        </w:rPr>
        <w:t>Пересвідчитись, що тарифи не перевищують коефіцієнт доступності і не виходять за межі рівня повного відшкодування витрат.</w:t>
      </w:r>
    </w:p>
    <w:p w14:paraId="253C6995" w14:textId="77777777" w:rsidR="00447C56" w:rsidRPr="00C22C49" w:rsidRDefault="00447C56" w:rsidP="00447C56">
      <w:r w:rsidRPr="00C22C49">
        <w:t xml:space="preserve">Фінансова стійкість означає наявність позитивного кумулятивного грошового потоку щороку. Це мінімальний дохід, необхідний щорічно для підтримки послуг у сфері управління відходами. Він не є фіксованим і на нього можна впливати шляхом (i) використання грантових коштів у структурі фінансування; або (ii) коригування інвестиційної програми. Обидва заходи впливають на визначення цілей та дизайн системи. </w:t>
      </w:r>
    </w:p>
    <w:p w14:paraId="19AB4DCD" w14:textId="77777777" w:rsidR="00447C56" w:rsidRPr="00C22C49" w:rsidRDefault="00447C56" w:rsidP="00447C56">
      <w:pPr>
        <w:pStyle w:val="REDBoldonly"/>
      </w:pPr>
      <w:r w:rsidRPr="00C22C49">
        <w:t>До аналізу фінансової стійкості застосовуються наступні правила прийняття рішень:</w:t>
      </w:r>
    </w:p>
    <w:p w14:paraId="5BD46EB0" w14:textId="77777777" w:rsidR="00447C56" w:rsidRPr="00C22C49" w:rsidRDefault="00447C56" w:rsidP="00447C56">
      <w:pPr>
        <w:pStyle w:val="BulletRED"/>
      </w:pPr>
      <w:r w:rsidRPr="00C22C49">
        <w:t xml:space="preserve">Гранти мають бути використані для досягнення довгострокової фінансової життєздатності при збереженні тарифів на доступному рівні; </w:t>
      </w:r>
    </w:p>
    <w:p w14:paraId="7FA73F22" w14:textId="77777777" w:rsidR="00447C56" w:rsidRPr="00C22C49" w:rsidRDefault="00447C56" w:rsidP="00447C56">
      <w:pPr>
        <w:pStyle w:val="BulletRED"/>
      </w:pPr>
      <w:r w:rsidRPr="00C22C49">
        <w:t>Гранти мають бути використані лише один раз для фінансування початкових інвестиційних потреб;</w:t>
      </w:r>
    </w:p>
    <w:p w14:paraId="4E2DFC74" w14:textId="77777777" w:rsidR="00447C56" w:rsidRPr="00C22C49" w:rsidRDefault="00447C56" w:rsidP="00447C56">
      <w:pPr>
        <w:pStyle w:val="BulletRED"/>
      </w:pPr>
      <w:r w:rsidRPr="00C22C49">
        <w:t>Грантові кошти лише зрідка поєднуються з приватним фінансуванням у фінансуванні проектів;</w:t>
      </w:r>
    </w:p>
    <w:p w14:paraId="553AC6C8" w14:textId="77777777" w:rsidR="00447C56" w:rsidRPr="00C22C49" w:rsidRDefault="00447C56" w:rsidP="00447C56">
      <w:pPr>
        <w:pStyle w:val="BulletRED"/>
      </w:pPr>
      <w:r w:rsidRPr="00C22C49">
        <w:t>Заміщення активів має фінансуватися з інших джерел фінансування, окрім грантів;</w:t>
      </w:r>
    </w:p>
    <w:p w14:paraId="4AE8BBED" w14:textId="77777777" w:rsidR="00447C56" w:rsidRPr="00C22C49" w:rsidRDefault="00447C56" w:rsidP="00447C56">
      <w:pPr>
        <w:pStyle w:val="BulletRED"/>
      </w:pPr>
      <w:r w:rsidRPr="00C22C49">
        <w:t>Тарифи повинні покривати, як мінімум, витрати на експлуатацію та обслуговування в повному обсязі з початку експлуатації;</w:t>
      </w:r>
    </w:p>
    <w:p w14:paraId="5D7E41B2" w14:textId="77777777" w:rsidR="00447C56" w:rsidRPr="00C22C49" w:rsidRDefault="00447C56" w:rsidP="00447C56">
      <w:pPr>
        <w:pStyle w:val="BulletRED"/>
      </w:pPr>
      <w:r w:rsidRPr="00C22C49">
        <w:t>Тарифи повинні покривати 100% амортизації всіх замінених активів;</w:t>
      </w:r>
    </w:p>
    <w:p w14:paraId="4FAB3842" w14:textId="77777777" w:rsidR="00447C56" w:rsidRPr="00C22C49" w:rsidRDefault="00447C56" w:rsidP="00447C56">
      <w:pPr>
        <w:pStyle w:val="BulletRED"/>
      </w:pPr>
      <w:r w:rsidRPr="00C22C49">
        <w:t xml:space="preserve">Тарифи повинні покривати частку амортизації на початкові активи; та </w:t>
      </w:r>
    </w:p>
    <w:p w14:paraId="769A19B5" w14:textId="77777777" w:rsidR="00447C56" w:rsidRPr="00C22C49" w:rsidRDefault="00447C56" w:rsidP="00447C56">
      <w:pPr>
        <w:pStyle w:val="BulletRED"/>
      </w:pPr>
      <w:r w:rsidRPr="00C22C49">
        <w:t>Кумулятивний чистий грошовий потік має бути позитивним у всі роки.</w:t>
      </w:r>
    </w:p>
    <w:p w14:paraId="10D93DE0" w14:textId="77777777" w:rsidR="00447C56" w:rsidRPr="00C22C49" w:rsidRDefault="00447C56" w:rsidP="00447C56">
      <w:r w:rsidRPr="00C22C49">
        <w:t>Мінінфраструктури координуватиме надання державної допомоги у сфері управління побутовими відходами. Конкретні питання, що потребують вирішення, є наступними:</w:t>
      </w:r>
    </w:p>
    <w:p w14:paraId="79277D6F" w14:textId="77777777" w:rsidR="00447C56" w:rsidRPr="00C22C49" w:rsidRDefault="00447C56" w:rsidP="00447C56">
      <w:pPr>
        <w:pStyle w:val="BulletRED"/>
      </w:pPr>
      <w:r w:rsidRPr="00C22C49">
        <w:t>Обсяг грантових коштів, доступних для співфінансування інвестицій у секторі управління побутовими відходами;</w:t>
      </w:r>
    </w:p>
    <w:p w14:paraId="7B03FAF7" w14:textId="77777777" w:rsidR="00447C56" w:rsidRPr="00C22C49" w:rsidRDefault="00447C56" w:rsidP="00447C56">
      <w:pPr>
        <w:pStyle w:val="BulletRED"/>
      </w:pPr>
      <w:r w:rsidRPr="00C22C49">
        <w:t xml:space="preserve">Розподіл цих коштів на конкретні заходи у сфері управління побутовими відходами; </w:t>
      </w:r>
    </w:p>
    <w:p w14:paraId="62BFC872" w14:textId="77777777" w:rsidR="00447C56" w:rsidRPr="00C22C49" w:rsidRDefault="00447C56" w:rsidP="00447C56">
      <w:pPr>
        <w:pStyle w:val="BulletRED"/>
      </w:pPr>
      <w:r w:rsidRPr="00C22C49">
        <w:t>Вплив правил державної допомоги на залучення приватного сектору.</w:t>
      </w:r>
    </w:p>
    <w:p w14:paraId="72799AD9" w14:textId="77777777" w:rsidR="00447C56" w:rsidRPr="00C22C49" w:rsidRDefault="00447C56" w:rsidP="00447C56">
      <w:pPr>
        <w:pStyle w:val="REDBoldonly"/>
        <w:rPr>
          <w:rStyle w:val="affe"/>
          <w:iCs w:val="0"/>
        </w:rPr>
      </w:pPr>
      <w:r w:rsidRPr="00C22C49">
        <w:rPr>
          <w:rStyle w:val="affe"/>
          <w:iCs w:val="0"/>
        </w:rPr>
        <w:t>Залучення приватного сектору</w:t>
      </w:r>
    </w:p>
    <w:p w14:paraId="3E366414" w14:textId="77777777" w:rsidR="00447C56" w:rsidRPr="00C22C49" w:rsidRDefault="00447C56" w:rsidP="00447C56">
      <w:r w:rsidRPr="00C22C49">
        <w:t xml:space="preserve">Інфраструктура управління відходами не може бути профінансована повністю за рахунок національних та міжнародних грантових фондів, кредитних коштів або коштів місцевих бюджетів. </w:t>
      </w:r>
      <w:r w:rsidRPr="00C22C49">
        <w:rPr>
          <w:b/>
          <w:bCs/>
        </w:rPr>
        <w:t>Очікується, що приватний сектор також відіграватиме важливу роль.</w:t>
      </w:r>
      <w:r w:rsidRPr="00C22C49">
        <w:t xml:space="preserve"> Однак компанії приватного сектору очікують повного відшкодування своїх інвестиційних витрат, встановлення тарифів на основі </w:t>
      </w:r>
      <w:r w:rsidRPr="00C22C49">
        <w:rPr>
          <w:b/>
          <w:bCs/>
        </w:rPr>
        <w:t>повного відшкодування витрат</w:t>
      </w:r>
      <w:r w:rsidRPr="00C22C49">
        <w:t xml:space="preserve"> і їх доступності для користувачів, високого рівня збирання платежів і забезпечення їх сплати користувачами, а також </w:t>
      </w:r>
      <w:r w:rsidRPr="00C22C49">
        <w:rPr>
          <w:b/>
          <w:bCs/>
        </w:rPr>
        <w:t>чесної і</w:t>
      </w:r>
      <w:r w:rsidRPr="00C22C49">
        <w:t xml:space="preserve"> </w:t>
      </w:r>
      <w:r w:rsidRPr="00C22C49">
        <w:rPr>
          <w:b/>
          <w:bCs/>
        </w:rPr>
        <w:t>відкритої конкуренції з державними та комунальними підприємствами</w:t>
      </w:r>
      <w:r w:rsidRPr="00C22C49">
        <w:t>.</w:t>
      </w:r>
    </w:p>
    <w:p w14:paraId="47AA26CF" w14:textId="77777777" w:rsidR="00447C56" w:rsidRPr="00C22C49" w:rsidRDefault="00447C56" w:rsidP="00447C56">
      <w:pPr>
        <w:pStyle w:val="BulletRED"/>
        <w:numPr>
          <w:ilvl w:val="0"/>
          <w:numId w:val="0"/>
        </w:numPr>
      </w:pPr>
      <w:r w:rsidRPr="00C22C49">
        <w:t xml:space="preserve">Залучення приватного сектору буде зосереджене на: </w:t>
      </w:r>
    </w:p>
    <w:p w14:paraId="659FC158" w14:textId="77777777" w:rsidR="00447C56" w:rsidRPr="00C22C49" w:rsidRDefault="00447C56" w:rsidP="00447C56">
      <w:pPr>
        <w:pStyle w:val="BulletRED"/>
      </w:pPr>
      <w:r w:rsidRPr="00C22C49">
        <w:t>Наданні послуг, які найменш ефективно надаються комунальним сектором;</w:t>
      </w:r>
    </w:p>
    <w:p w14:paraId="3CC92742" w14:textId="77777777" w:rsidR="00447C56" w:rsidRPr="00C22C49" w:rsidRDefault="00447C56" w:rsidP="00447C56">
      <w:pPr>
        <w:pStyle w:val="BulletRED"/>
      </w:pPr>
      <w:r w:rsidRPr="00C22C49">
        <w:t>Діяльності, яка потребує нових технологій (наприклад, рециклінг, відновлення та видалення побутових відходів на санітарних полігонах); та</w:t>
      </w:r>
    </w:p>
    <w:p w14:paraId="0BF3E419" w14:textId="77777777" w:rsidR="00447C56" w:rsidRPr="00C22C49" w:rsidRDefault="00447C56" w:rsidP="00447C56">
      <w:pPr>
        <w:pStyle w:val="BulletRED"/>
      </w:pPr>
      <w:r w:rsidRPr="00C22C49">
        <w:t>Послуги, які вимагають значної частки бюджетних коштів з місцевих інвестиційних та операційних бюджетів.</w:t>
      </w:r>
    </w:p>
    <w:p w14:paraId="268253BF" w14:textId="77777777" w:rsidR="00447C56" w:rsidRPr="00C22C49" w:rsidRDefault="00447C56" w:rsidP="00447C56">
      <w:r w:rsidRPr="00C22C49">
        <w:t>Таким чином, уряд намагатиметься запровадити наступні</w:t>
      </w:r>
      <w:r w:rsidRPr="00C22C49">
        <w:rPr>
          <w:b/>
          <w:bCs/>
        </w:rPr>
        <w:t xml:space="preserve"> пріоритетні заходи для сприяння участі приватного сектору</w:t>
      </w:r>
      <w:r w:rsidRPr="00C22C49">
        <w:t>:</w:t>
      </w:r>
    </w:p>
    <w:p w14:paraId="70D396DB" w14:textId="77777777" w:rsidR="00447C56" w:rsidRPr="00C22C49" w:rsidRDefault="00447C56" w:rsidP="00447C56">
      <w:pPr>
        <w:pStyle w:val="a1"/>
        <w:numPr>
          <w:ilvl w:val="0"/>
          <w:numId w:val="13"/>
        </w:numPr>
        <w:rPr>
          <w:color w:val="auto"/>
        </w:rPr>
      </w:pPr>
      <w:r w:rsidRPr="00C22C49">
        <w:rPr>
          <w:color w:val="auto"/>
        </w:rPr>
        <w:t xml:space="preserve">Політичне зобов'язання запровадити механізми повного відшкодування витрат на послуги з управління побутовими відходами; </w:t>
      </w:r>
    </w:p>
    <w:p w14:paraId="004F52E9" w14:textId="77777777" w:rsidR="00447C56" w:rsidRPr="00C22C49" w:rsidRDefault="00447C56" w:rsidP="00447C56">
      <w:pPr>
        <w:pStyle w:val="a1"/>
        <w:rPr>
          <w:color w:val="auto"/>
        </w:rPr>
      </w:pPr>
      <w:r w:rsidRPr="00C22C49">
        <w:rPr>
          <w:color w:val="auto"/>
        </w:rPr>
        <w:t>Підготувати стандартні процедури закупівель та шаблони контрактів для підтримки місцевих органів влади в укладанні контрактів з приватним сектором. Також буде підготовлено інструментарій для підготовки проєктів, проведення тендерів на послуги, моніторингу виконання контрактів;</w:t>
      </w:r>
    </w:p>
    <w:p w14:paraId="7E2C7827" w14:textId="77777777" w:rsidR="00447C56" w:rsidRPr="00C22C49" w:rsidRDefault="00447C56" w:rsidP="00447C56">
      <w:pPr>
        <w:pStyle w:val="a1"/>
        <w:rPr>
          <w:color w:val="auto"/>
        </w:rPr>
      </w:pPr>
      <w:r w:rsidRPr="00C22C49">
        <w:rPr>
          <w:color w:val="auto"/>
        </w:rPr>
        <w:t xml:space="preserve">Підготувати рекомендації щодо визначення повної вартості та економічної доступності систем і послуг у сфері управління відходами; </w:t>
      </w:r>
    </w:p>
    <w:p w14:paraId="0B0A6343" w14:textId="77777777" w:rsidR="00447C56" w:rsidRPr="00C22C49" w:rsidRDefault="00447C56" w:rsidP="00447C56">
      <w:pPr>
        <w:pStyle w:val="a1"/>
        <w:rPr>
          <w:color w:val="auto"/>
        </w:rPr>
      </w:pPr>
      <w:r w:rsidRPr="00C22C49">
        <w:rPr>
          <w:color w:val="auto"/>
        </w:rPr>
        <w:t>Визнати, що залучення приватного сектору матиме значні наслідки для комунального сектору та його спроможності укладати контракти, управляти та регулювати сектор, і, таким чином, намагатися забезпечити наступне:</w:t>
      </w:r>
    </w:p>
    <w:p w14:paraId="288EC334" w14:textId="77777777" w:rsidR="00447C56" w:rsidRPr="00C22C49" w:rsidRDefault="00447C56" w:rsidP="00447C56">
      <w:pPr>
        <w:pStyle w:val="BulletRED"/>
      </w:pPr>
      <w:r w:rsidRPr="00C22C49">
        <w:t xml:space="preserve">Кластери управління відходами мають бути чітко визначені, а співробітництво територіальних громад має бути врегульоване додатковими нормативно-правовими актами та інструкціями; </w:t>
      </w:r>
    </w:p>
    <w:p w14:paraId="07E36EC5" w14:textId="77777777" w:rsidR="00447C56" w:rsidRPr="00C22C49" w:rsidRDefault="00447C56" w:rsidP="00447C56">
      <w:pPr>
        <w:pStyle w:val="BulletRED"/>
      </w:pPr>
      <w:r w:rsidRPr="00C22C49">
        <w:t>Мінінфраструктури повинно відігравати активну роль у координації підготовки та впровадження нових регіональних систем управління відходами;</w:t>
      </w:r>
    </w:p>
    <w:p w14:paraId="3B1D3CFB" w14:textId="77777777" w:rsidR="00447C56" w:rsidRPr="00C22C49" w:rsidRDefault="00447C56" w:rsidP="00447C56">
      <w:pPr>
        <w:pStyle w:val="BulletRED"/>
      </w:pPr>
      <w:r w:rsidRPr="00C22C49">
        <w:t>Необхідно запровадити відповідні механізми правозастосування для підтримки розвитку нової інфраструктури управління відходами;</w:t>
      </w:r>
    </w:p>
    <w:p w14:paraId="6BB9329C" w14:textId="77777777" w:rsidR="00447C56" w:rsidRPr="00C22C49" w:rsidRDefault="00447C56" w:rsidP="00447C56">
      <w:pPr>
        <w:pStyle w:val="BulletRED"/>
      </w:pPr>
      <w:r w:rsidRPr="00C22C49">
        <w:t>Бюджетні кошти не повинні надаватися для підтримки збирання побутових відходів (через викривлення конкуренції між комунальним та приватним секторами);</w:t>
      </w:r>
    </w:p>
    <w:p w14:paraId="3AD78B2D" w14:textId="77777777" w:rsidR="00447C56" w:rsidRPr="00C22C49" w:rsidRDefault="00447C56" w:rsidP="00447C56">
      <w:pPr>
        <w:pStyle w:val="BulletRED"/>
      </w:pPr>
      <w:r w:rsidRPr="00C22C49">
        <w:t>Рівне ставлення до постачальників послуг з управління відходами у комунальному та приватному секторах має бути гарантоване через єдину політику визначення тарифів та процедури укладання договорів.</w:t>
      </w:r>
    </w:p>
    <w:p w14:paraId="7A03049A" w14:textId="77777777" w:rsidR="00447C56" w:rsidRPr="00C22C49" w:rsidRDefault="00447C56" w:rsidP="00447C56">
      <w:pPr>
        <w:pStyle w:val="REDBoldonly"/>
        <w:rPr>
          <w:rStyle w:val="affe"/>
          <w:iCs w:val="0"/>
        </w:rPr>
      </w:pPr>
      <w:r w:rsidRPr="00C22C49">
        <w:rPr>
          <w:rStyle w:val="affe"/>
          <w:iCs w:val="0"/>
        </w:rPr>
        <w:t>Відшкодування витрат: реєстрація користувачів, механізми нарахування та оплати</w:t>
      </w:r>
    </w:p>
    <w:p w14:paraId="60D47E2E" w14:textId="77777777" w:rsidR="00447C56" w:rsidRPr="00C22C49" w:rsidRDefault="00447C56" w:rsidP="00447C56">
      <w:pPr>
        <w:pStyle w:val="af9"/>
      </w:pPr>
      <w:r w:rsidRPr="00C22C49">
        <w:t xml:space="preserve">На початковому етапі реалізації Плану Мінінфраструктури розгляне наступні питання, пов'язані з доходами: </w:t>
      </w:r>
    </w:p>
    <w:p w14:paraId="52F99CD3" w14:textId="77777777" w:rsidR="00447C56" w:rsidRPr="00C22C49" w:rsidRDefault="00447C56" w:rsidP="00447C56">
      <w:pPr>
        <w:pStyle w:val="BulletRED"/>
      </w:pPr>
      <w:r w:rsidRPr="00C22C49">
        <w:t>Чи повинні громади бути зобов'язані користуватися регіональними послугами, що надаються в межах певної зони (кластеру) управління відходами;</w:t>
      </w:r>
    </w:p>
    <w:p w14:paraId="4D023CFE" w14:textId="77777777" w:rsidR="00447C56" w:rsidRPr="00C22C49" w:rsidRDefault="00447C56" w:rsidP="00447C56">
      <w:pPr>
        <w:pStyle w:val="BulletRED"/>
      </w:pPr>
      <w:r w:rsidRPr="00C22C49">
        <w:t xml:space="preserve">Чи доцільно встановлення єдиних тарифів на послуги, що надаються на рівні регіональної системи; </w:t>
      </w:r>
    </w:p>
    <w:p w14:paraId="69EABD27" w14:textId="77777777" w:rsidR="00447C56" w:rsidRPr="00C22C49" w:rsidRDefault="00447C56" w:rsidP="00447C56">
      <w:pPr>
        <w:pStyle w:val="BulletRED"/>
      </w:pPr>
      <w:r w:rsidRPr="00C22C49">
        <w:t>Чи потрібно визначати мінімальний рівень збирання платежів як умову для отримання бюджетного/грантового фінансування;</w:t>
      </w:r>
    </w:p>
    <w:p w14:paraId="6D677C0C" w14:textId="77777777" w:rsidR="00447C56" w:rsidRPr="00C22C49" w:rsidRDefault="00447C56" w:rsidP="00447C56">
      <w:pPr>
        <w:pStyle w:val="BulletRED"/>
      </w:pPr>
      <w:r w:rsidRPr="00C22C49">
        <w:t xml:space="preserve">Передбачити заходи для покращення рівня збирання платежів; </w:t>
      </w:r>
    </w:p>
    <w:p w14:paraId="360ED45E" w14:textId="77777777" w:rsidR="00447C56" w:rsidRPr="00C22C49" w:rsidRDefault="00447C56" w:rsidP="00447C56">
      <w:pPr>
        <w:pStyle w:val="BulletRED"/>
      </w:pPr>
      <w:r w:rsidRPr="00C22C49">
        <w:t>Заходи щодо підвищення рівня оплати за послуги;</w:t>
      </w:r>
    </w:p>
    <w:p w14:paraId="71F5E54C" w14:textId="77777777" w:rsidR="00447C56" w:rsidRPr="00C22C49" w:rsidRDefault="00447C56" w:rsidP="00447C56">
      <w:pPr>
        <w:pStyle w:val="BulletRED"/>
      </w:pPr>
      <w:r w:rsidRPr="00C22C49">
        <w:t>Заходи для забезпечення того, щоб усі утворювачі відходів пропорційно сплачували вартість послуг, що надаються;</w:t>
      </w:r>
    </w:p>
    <w:p w14:paraId="016A9BEF" w14:textId="77777777" w:rsidR="00447C56" w:rsidRPr="00C22C49" w:rsidRDefault="00447C56" w:rsidP="00447C56">
      <w:pPr>
        <w:pStyle w:val="BulletRED"/>
      </w:pPr>
      <w:r w:rsidRPr="00C22C49">
        <w:t xml:space="preserve">Обсяг надання пільг зі сплати ПДВ на операції зі збирання, відновлення, видалення відходів та продажу вторинної сировини. </w:t>
      </w:r>
    </w:p>
    <w:p w14:paraId="71ECD518" w14:textId="77777777" w:rsidR="00447C56" w:rsidRPr="00C22C49" w:rsidRDefault="00447C56" w:rsidP="00447C56">
      <w:pPr>
        <w:pStyle w:val="af9"/>
        <w:rPr>
          <w:b/>
          <w:bCs/>
        </w:rPr>
      </w:pPr>
      <w:r w:rsidRPr="00C22C49">
        <w:rPr>
          <w:b/>
          <w:bCs/>
        </w:rPr>
        <w:t>Тільки проєкти, які відповідають положенням регіональних планів управління відходами, матимуть право на державне бюджетне фінансування.</w:t>
      </w:r>
    </w:p>
    <w:p w14:paraId="25B7FF8B" w14:textId="77777777" w:rsidR="00447C56" w:rsidRPr="00C22C49" w:rsidRDefault="00447C56" w:rsidP="00447C56">
      <w:pPr>
        <w:pStyle w:val="REDBoldonly"/>
        <w:rPr>
          <w:rStyle w:val="affe"/>
          <w:iCs w:val="0"/>
        </w:rPr>
      </w:pPr>
      <w:r w:rsidRPr="00C22C49">
        <w:rPr>
          <w:rStyle w:val="affe"/>
          <w:iCs w:val="0"/>
        </w:rPr>
        <w:t>Економічні та адміністративні інструменти для розвитку полігонів</w:t>
      </w:r>
    </w:p>
    <w:p w14:paraId="1ED34640" w14:textId="77777777" w:rsidR="00447C56" w:rsidRPr="00C22C49" w:rsidRDefault="00447C56" w:rsidP="00447C56">
      <w:pPr>
        <w:pStyle w:val="af9"/>
      </w:pPr>
      <w:r w:rsidRPr="00C22C49">
        <w:t>В Україні існують дві основні проблеми у сфері управління побутовими відходами: велика кількість несанкціонованих сміттєзвалищ; та неготовність місцевої влади розміщувати на своїх територіях регіональні об'єкти з управління відходами. Звідси випливають два пов'язані між собою наслідки:</w:t>
      </w:r>
    </w:p>
    <w:p w14:paraId="2A3AB50E" w14:textId="77777777" w:rsidR="00447C56" w:rsidRPr="00C22C49" w:rsidRDefault="00447C56" w:rsidP="00447C56">
      <w:pPr>
        <w:pStyle w:val="BulletRED"/>
      </w:pPr>
      <w:r w:rsidRPr="00C22C49">
        <w:t xml:space="preserve">Одночасне закриття полігонів та звалищ, які не відповідають вимогам неможливе без створення альтернативних об'єктів відновлення та видалення відходів; </w:t>
      </w:r>
    </w:p>
    <w:p w14:paraId="2940AF95" w14:textId="77777777" w:rsidR="00447C56" w:rsidRPr="00C22C49" w:rsidRDefault="00447C56" w:rsidP="00447C56">
      <w:pPr>
        <w:pStyle w:val="BulletRED"/>
      </w:pPr>
      <w:r w:rsidRPr="00C22C49">
        <w:t>Дозволи громад на розміщення на своїх територіях об'єктами управління відходами отримати важко без додаткової компенсації за можливу соціальну та екологічну шкоду.</w:t>
      </w:r>
    </w:p>
    <w:p w14:paraId="319CA446" w14:textId="77777777" w:rsidR="00447C56" w:rsidRPr="00312EC5" w:rsidRDefault="00447C56" w:rsidP="00447C56">
      <w:pPr>
        <w:pStyle w:val="af9"/>
      </w:pPr>
      <w:r w:rsidRPr="00C22C49">
        <w:t xml:space="preserve">Як зазначено нижче, уряд пропонує </w:t>
      </w:r>
      <w:r w:rsidRPr="00C22C49">
        <w:rPr>
          <w:b/>
          <w:bCs/>
        </w:rPr>
        <w:t xml:space="preserve">використовувати комбіновані адміністративні та </w:t>
      </w:r>
      <w:r w:rsidRPr="00312EC5">
        <w:rPr>
          <w:b/>
          <w:bCs/>
        </w:rPr>
        <w:t>економічні інструменти для вирішення цих двох проблем</w:t>
      </w:r>
      <w:r w:rsidRPr="00312EC5">
        <w:t>:</w:t>
      </w:r>
    </w:p>
    <w:p w14:paraId="6156CD4C" w14:textId="77777777" w:rsidR="00447C56" w:rsidRPr="00312EC5" w:rsidRDefault="00447C56" w:rsidP="00447C56">
      <w:pPr>
        <w:pStyle w:val="a1"/>
        <w:numPr>
          <w:ilvl w:val="0"/>
          <w:numId w:val="15"/>
        </w:numPr>
        <w:rPr>
          <w:color w:val="auto"/>
        </w:rPr>
      </w:pPr>
      <w:r w:rsidRPr="00312EC5">
        <w:rPr>
          <w:color w:val="auto"/>
        </w:rPr>
        <w:t>Встановлення зобов’язання відповідальності виробника відходів за кінцеве видалення відходів та забезпечення контролю виконання;</w:t>
      </w:r>
    </w:p>
    <w:p w14:paraId="5A0EBB78" w14:textId="77777777" w:rsidR="00447C56" w:rsidRPr="00312EC5" w:rsidRDefault="00447C56" w:rsidP="00447C56">
      <w:pPr>
        <w:pStyle w:val="a1"/>
        <w:numPr>
          <w:ilvl w:val="0"/>
          <w:numId w:val="15"/>
        </w:numPr>
        <w:rPr>
          <w:color w:val="auto"/>
        </w:rPr>
      </w:pPr>
      <w:r w:rsidRPr="00312EC5">
        <w:rPr>
          <w:color w:val="auto"/>
        </w:rPr>
        <w:t>Відповідальність місцевих органів влади за управління побутовими відходами в межах території громади має бути визначена в законодавстві із застосуванням економічних стимулів та санкцій;</w:t>
      </w:r>
    </w:p>
    <w:p w14:paraId="023AC2CA" w14:textId="77777777" w:rsidR="00447C56" w:rsidRPr="00312EC5" w:rsidRDefault="00447C56" w:rsidP="00447C56">
      <w:pPr>
        <w:pStyle w:val="a1"/>
        <w:numPr>
          <w:ilvl w:val="0"/>
          <w:numId w:val="15"/>
        </w:numPr>
        <w:rPr>
          <w:color w:val="auto"/>
        </w:rPr>
      </w:pPr>
      <w:r w:rsidRPr="00312EC5">
        <w:rPr>
          <w:color w:val="auto"/>
        </w:rPr>
        <w:t>Якщо регіональним планом управління відходами передбачено продовження строку експлуатації місць розміщення відходів (полігонів, звалищ), які не відповідають вимогам закону «Про управління відходами», суб’єкт господарювання, що здійснює управління таким місцем розміщення відходів, повинен разом з документами на отримання дозволу на здійснення операцій з оброблення відходів подати план та техніко-економічне обґрунтування приведення місця розміщення відходів у відповідність з вимогами законодавства.</w:t>
      </w:r>
    </w:p>
    <w:p w14:paraId="234F6AD8" w14:textId="77777777" w:rsidR="00447C56" w:rsidRPr="00312EC5" w:rsidRDefault="00447C56" w:rsidP="00447C56">
      <w:pPr>
        <w:pStyle w:val="a1"/>
        <w:numPr>
          <w:ilvl w:val="0"/>
          <w:numId w:val="0"/>
        </w:numPr>
        <w:ind w:left="644"/>
        <w:rPr>
          <w:color w:val="auto"/>
        </w:rPr>
      </w:pPr>
      <w:r w:rsidRPr="00312EC5">
        <w:rPr>
          <w:color w:val="auto"/>
        </w:rPr>
        <w:t>Якщо регіональним планом управління відходами передбачено припинення експлуатації місця розміщення відходів (полігону, звалища), яке не відповідає вимогам закону «Про управління відходами», власник (балансоутримувач) такого місця розміщення відходів повинен забезпечити розроблення та виконання проекту рекультивації місця розміщення відходів та догляд за ним після припинення експлуатації протягом 30 років.</w:t>
      </w:r>
    </w:p>
    <w:p w14:paraId="38C2A16F" w14:textId="77777777" w:rsidR="00447C56" w:rsidRPr="00312EC5" w:rsidRDefault="00447C56" w:rsidP="00447C56">
      <w:pPr>
        <w:pStyle w:val="a1"/>
        <w:numPr>
          <w:ilvl w:val="0"/>
          <w:numId w:val="0"/>
        </w:numPr>
        <w:ind w:left="644"/>
        <w:rPr>
          <w:color w:val="auto"/>
        </w:rPr>
      </w:pPr>
      <w:r w:rsidRPr="00312EC5">
        <w:rPr>
          <w:color w:val="auto"/>
        </w:rPr>
        <w:t>З 1 січня 2030 року експлуатація місць розміщення відходів (полігонів, звалищ), що не оснащені системами вилучення та знешкодження біогазу та фільтрату, системами моніторингу викидів в атмосферне повітря та моніторингу забруднення ґрунтів і підземних вод, забороняється.</w:t>
      </w:r>
    </w:p>
    <w:p w14:paraId="1DB7FC50" w14:textId="77777777" w:rsidR="00447C56" w:rsidRPr="00312EC5" w:rsidRDefault="00447C56" w:rsidP="00447C56">
      <w:pPr>
        <w:pStyle w:val="a1"/>
        <w:numPr>
          <w:ilvl w:val="0"/>
          <w:numId w:val="0"/>
        </w:numPr>
        <w:ind w:left="644"/>
        <w:rPr>
          <w:color w:val="auto"/>
        </w:rPr>
      </w:pPr>
      <w:r w:rsidRPr="00312EC5">
        <w:rPr>
          <w:color w:val="auto"/>
        </w:rPr>
        <w:t>Вимоги не застосовуються, якщо суб’єкт господарювання, що здійснює управління місцем розміщення відходів, виконує план приведення місця розміщення відходів у відповідність з вимогами законодавства у відповідності згідно з графіком, визначеним умовами дозволу на здійснення операцій з оброблення відходів</w:t>
      </w:r>
    </w:p>
    <w:p w14:paraId="36574C80" w14:textId="77777777" w:rsidR="00447C56" w:rsidRPr="00312EC5" w:rsidRDefault="00447C56" w:rsidP="00447C56">
      <w:pPr>
        <w:pStyle w:val="af9"/>
      </w:pPr>
      <w:r w:rsidRPr="00312EC5">
        <w:t>Застосування перелічених інструментів дозволить стимулювати закриття та рекультивацію несанкціонованих полігонів та сміттєзвалищ та створить фінансове забезпечення для відкриття нових та рекультивації наявних полігонів із дотриманням вимог державних будівельних норм.</w:t>
      </w:r>
    </w:p>
    <w:p w14:paraId="4E1E9042" w14:textId="77777777" w:rsidR="00447C56" w:rsidRPr="007A0910" w:rsidRDefault="00447C56" w:rsidP="00447C56">
      <w:pPr>
        <w:pStyle w:val="REDBoldonly"/>
        <w:rPr>
          <w:rStyle w:val="affe"/>
          <w:iCs w:val="0"/>
        </w:rPr>
      </w:pPr>
      <w:r w:rsidRPr="007A0910">
        <w:rPr>
          <w:rStyle w:val="affe"/>
          <w:iCs w:val="0"/>
        </w:rPr>
        <w:t>Фінансова гарантія (фінансове забезпечення) закриття полігону та догляду за ним</w:t>
      </w:r>
    </w:p>
    <w:p w14:paraId="059111F1" w14:textId="77777777" w:rsidR="00447C56" w:rsidRPr="00C22C49" w:rsidRDefault="00447C56" w:rsidP="00447C56">
      <w:pPr>
        <w:pStyle w:val="af9"/>
      </w:pPr>
      <w:r w:rsidRPr="00C22C49">
        <w:t xml:space="preserve">Відповідно до статті 40 Закону України «Про управління відходами», власник (балансоутримувач) полігона або суб’єкт господарювання, що здійснює управління полігоном, забезпечує проведення </w:t>
      </w:r>
      <w:r w:rsidRPr="00C22C49">
        <w:rPr>
          <w:b/>
          <w:bCs/>
        </w:rPr>
        <w:t>рекультивації</w:t>
      </w:r>
      <w:r w:rsidRPr="00C22C49">
        <w:t xml:space="preserve"> полігона після припинення його експлуатації, а також </w:t>
      </w:r>
      <w:r w:rsidRPr="00C22C49">
        <w:rPr>
          <w:b/>
          <w:bCs/>
        </w:rPr>
        <w:t>догляд за ним після його рекультивації протягом 30 років.</w:t>
      </w:r>
      <w:r w:rsidRPr="00C22C49">
        <w:t xml:space="preserve"> Догляд за полігоном після припинення його експлуатації включає дії, пов’язані з утриманням полігона після припинення його експлуатації, із здійсненням контролю і моніторингу параметрів навколишнього природного середовища, з усуненням можливих негативних впливів полігона на здоров’я людей та навколишнє природне середовище.</w:t>
      </w:r>
    </w:p>
    <w:p w14:paraId="2969F57D" w14:textId="77777777" w:rsidR="00447C56" w:rsidRPr="00C22C49" w:rsidRDefault="00447C56" w:rsidP="00447C56">
      <w:pPr>
        <w:pStyle w:val="af9"/>
      </w:pPr>
      <w:r w:rsidRPr="00C22C49">
        <w:t xml:space="preserve">Фінансування забезпечується тарифами. </w:t>
      </w:r>
      <w:r w:rsidRPr="00C22C49">
        <w:rPr>
          <w:b/>
          <w:bCs/>
        </w:rPr>
        <w:t>При формуванні тарифу на захоронення відходів</w:t>
      </w:r>
      <w:r w:rsidRPr="00C22C49">
        <w:t xml:space="preserve"> до його складу включається повний перелік </w:t>
      </w:r>
      <w:r w:rsidRPr="00C22C49">
        <w:rPr>
          <w:b/>
          <w:bCs/>
        </w:rPr>
        <w:t>матеріально-технічних, експлуатаційних та адміністративних витрат</w:t>
      </w:r>
      <w:r w:rsidRPr="00C22C49">
        <w:t xml:space="preserve">, а також </w:t>
      </w:r>
      <w:r w:rsidRPr="00C22C49">
        <w:rPr>
          <w:b/>
          <w:bCs/>
        </w:rPr>
        <w:t>фінансова гарантія</w:t>
      </w:r>
      <w:r w:rsidRPr="00C22C49">
        <w:t>, що включає витрати на припинення експлуатації, рекультивацію та догляд за полігоном після припинення його експлуатації.</w:t>
      </w:r>
    </w:p>
    <w:p w14:paraId="60FB72F5" w14:textId="77777777" w:rsidR="00447C56" w:rsidRPr="007A0910" w:rsidRDefault="00447C56" w:rsidP="00447C56">
      <w:pPr>
        <w:pStyle w:val="af9"/>
      </w:pPr>
      <w:r w:rsidRPr="00C22C49">
        <w:t xml:space="preserve">Порядок </w:t>
      </w:r>
      <w:r w:rsidRPr="007A0910">
        <w:t xml:space="preserve">розрахунку (встановлення) та використання фінансової гарантії встановлюється законом. </w:t>
      </w:r>
    </w:p>
    <w:p w14:paraId="297603D6" w14:textId="77777777" w:rsidR="00447C56" w:rsidRPr="007A0910" w:rsidRDefault="00447C56" w:rsidP="00447C56">
      <w:pPr>
        <w:pStyle w:val="af9"/>
      </w:pPr>
      <w:r w:rsidRPr="007A0910">
        <w:t>Оцінка витрат на закриття і догляду після закриття полігону готується до початку експлуатації об'єкта. Загальний фінансовий резерв фінансової гарантії має нараховуватися протягом усього терміну експлуатації полігону. Достатність коштів резерву повинна постійно контролюватися і коригуватися щорічно за необхідності до моменту припинення моніторингу та технічного обслуговування полігону після закриття.</w:t>
      </w:r>
    </w:p>
    <w:p w14:paraId="2F7DF29F" w14:textId="77777777" w:rsidR="00447C56" w:rsidRPr="007A0910" w:rsidRDefault="00447C56" w:rsidP="00447C56">
      <w:pPr>
        <w:pStyle w:val="af9"/>
      </w:pPr>
      <w:r w:rsidRPr="007A0910">
        <w:t>Фінансова гарантія має бути достатньою для виконання зобов'язань, передбачених дозволом на оброблення відходів, доти, доки полігон становить небезпеку. Врахування фінансового забезпечення в методології розрахунку тарифів буде визначено в новому законодавстві.</w:t>
      </w:r>
    </w:p>
    <w:p w14:paraId="0DD19B5A" w14:textId="77777777" w:rsidR="00447C56" w:rsidRPr="00C22C49" w:rsidRDefault="00447C56" w:rsidP="00447C56">
      <w:pPr>
        <w:pStyle w:val="20"/>
      </w:pPr>
      <w:bookmarkStart w:id="124" w:name="_Toc151583291"/>
      <w:bookmarkEnd w:id="123"/>
      <w:r w:rsidRPr="00C22C49">
        <w:t>МОНІТОРИНГ ТА ОЦІНКА ЕФЕКТИВНОСТІ ВИКОНАННЯ ПЛАНУ.</w:t>
      </w:r>
      <w:bookmarkEnd w:id="124"/>
    </w:p>
    <w:p w14:paraId="3D417A27" w14:textId="77777777" w:rsidR="00447C56" w:rsidRPr="00C22C49" w:rsidRDefault="00447C56" w:rsidP="00447C56"/>
    <w:p w14:paraId="13F7F553" w14:textId="589E6A66" w:rsidR="00447C56" w:rsidRPr="00C22C49" w:rsidRDefault="00447C56" w:rsidP="00447C56">
      <w:pPr>
        <w:rPr>
          <w:lang w:eastAsia="bg-BG"/>
        </w:rPr>
      </w:pPr>
      <w:r w:rsidRPr="00C22C49">
        <w:rPr>
          <w:lang w:eastAsia="bg-BG"/>
        </w:rPr>
        <w:t>Моніторинг</w:t>
      </w:r>
      <w:r w:rsidR="00656D73">
        <w:rPr>
          <w:lang w:eastAsia="bg-BG"/>
        </w:rPr>
        <w:t>,</w:t>
      </w:r>
      <w:r w:rsidRPr="00C22C49">
        <w:rPr>
          <w:lang w:eastAsia="bg-BG"/>
        </w:rPr>
        <w:t xml:space="preserve"> </w:t>
      </w:r>
      <w:r w:rsidR="004C37F6">
        <w:rPr>
          <w:lang w:eastAsia="bg-BG"/>
        </w:rPr>
        <w:t xml:space="preserve">як </w:t>
      </w:r>
      <w:r w:rsidRPr="00C22C49">
        <w:rPr>
          <w:lang w:eastAsia="bg-BG"/>
        </w:rPr>
        <w:t>процес регулярного збирання ключових кількісних даних для визначення прогресу в досягненні встановлених цільових показників та попередженні небажаних результатів, відставання тощо</w:t>
      </w:r>
      <w:r w:rsidR="004C37F6">
        <w:rPr>
          <w:lang w:eastAsia="bg-BG"/>
        </w:rPr>
        <w:t>,</w:t>
      </w:r>
      <w:r w:rsidR="00656D73">
        <w:rPr>
          <w:lang w:eastAsia="bg-BG"/>
        </w:rPr>
        <w:t xml:space="preserve"> </w:t>
      </w:r>
      <w:r w:rsidRPr="00C22C49">
        <w:rPr>
          <w:lang w:eastAsia="bg-BG"/>
        </w:rPr>
        <w:t>здійснюється за принципами достовірності, добросовісності, відповідності та актуальності інформації та обов’язкового врахування.</w:t>
      </w:r>
    </w:p>
    <w:p w14:paraId="2A8B2BBF" w14:textId="77777777" w:rsidR="00447C56" w:rsidRPr="008D2907" w:rsidRDefault="00447C56" w:rsidP="00447C56">
      <w:pPr>
        <w:rPr>
          <w:lang w:eastAsia="bg-BG"/>
        </w:rPr>
      </w:pPr>
      <w:r w:rsidRPr="00C22C49">
        <w:rPr>
          <w:lang w:eastAsia="bg-BG"/>
        </w:rPr>
        <w:t xml:space="preserve">Центральний орган виконавчої влади, що реалізує державну політику у сфері управління відходами, на основі показників оцінки досягнення цілей та здійснення заходів один раз на два роки здійснює оцінку </w:t>
      </w:r>
      <w:r w:rsidRPr="008D2907">
        <w:rPr>
          <w:lang w:eastAsia="bg-BG"/>
        </w:rPr>
        <w:t>ефективності впровадження Національного плану управління відходами та оприлюднює її результати на своєму офіційному веб-сайті.</w:t>
      </w:r>
    </w:p>
    <w:p w14:paraId="381A19E0" w14:textId="77777777" w:rsidR="00447C56" w:rsidRPr="00A61872" w:rsidRDefault="00447C56" w:rsidP="00447C56">
      <w:pPr>
        <w:rPr>
          <w:b/>
          <w:bCs/>
          <w:lang w:eastAsia="bg-BG"/>
        </w:rPr>
      </w:pPr>
      <w:r w:rsidRPr="00A61872">
        <w:rPr>
          <w:b/>
          <w:bCs/>
          <w:lang w:eastAsia="bg-BG"/>
        </w:rPr>
        <w:t>Для відстежування ефективності реалізації плану та виконання встановлених планом цільових показників, щороку до 1 травня центральний орган виконавчої влади, що реалізує державну політику у сфері управління відходами готує відповідний звіт щодо виконання плану на основі отриманої інформації про хід виконання регіональних планів.</w:t>
      </w:r>
    </w:p>
    <w:p w14:paraId="5C5F77E5" w14:textId="77777777" w:rsidR="00447C56" w:rsidRPr="00C22C49" w:rsidRDefault="00447C56" w:rsidP="00447C56">
      <w:pPr>
        <w:rPr>
          <w:lang w:eastAsia="bg-BG"/>
        </w:rPr>
      </w:pPr>
      <w:r w:rsidRPr="008D2907">
        <w:rPr>
          <w:lang w:eastAsia="bg-BG"/>
        </w:rPr>
        <w:t>НПУВ є основою для розроблення регіонального та місцевого</w:t>
      </w:r>
      <w:r w:rsidRPr="00C22C49">
        <w:rPr>
          <w:lang w:eastAsia="bg-BG"/>
        </w:rPr>
        <w:t xml:space="preserve"> плану управління відходами та підлягає перегляду кожні чотири роки з дати набрання своєї чинності. У разі серйозних змін у законодавчій базі з управління відходами чи обґрунтування у регіональних планах, НПУВ повинен бути оновлений, щоб відобразити ці зміни.</w:t>
      </w:r>
    </w:p>
    <w:p w14:paraId="55877E02" w14:textId="77777777" w:rsidR="00447C56" w:rsidRDefault="00447C56" w:rsidP="00447C56">
      <w:pPr>
        <w:rPr>
          <w:lang w:eastAsia="bg-BG"/>
        </w:rPr>
      </w:pPr>
      <w:r w:rsidRPr="00C22C49">
        <w:rPr>
          <w:lang w:eastAsia="bg-BG"/>
        </w:rPr>
        <w:t>Процес моніторингу реалізації цього Плану управління відходами проводиться за індикаторами, що визначають контрольні параметри виконання запланованих цілей й відповідних завдань з певною періодичність контролю.</w:t>
      </w:r>
    </w:p>
    <w:p w14:paraId="05CE32AB" w14:textId="77A4D557" w:rsidR="008B3935" w:rsidRPr="00C22C49" w:rsidRDefault="008B3935" w:rsidP="00447C56">
      <w:pPr>
        <w:rPr>
          <w:lang w:eastAsia="bg-BG"/>
        </w:rPr>
      </w:pPr>
      <w:r>
        <w:rPr>
          <w:lang w:eastAsia="bg-BG"/>
        </w:rPr>
        <w:t>Ч</w:t>
      </w:r>
      <w:r w:rsidRPr="008B3935">
        <w:rPr>
          <w:lang w:eastAsia="bg-BG"/>
        </w:rPr>
        <w:t>астин</w:t>
      </w:r>
      <w:r>
        <w:rPr>
          <w:lang w:eastAsia="bg-BG"/>
        </w:rPr>
        <w:t>ами</w:t>
      </w:r>
      <w:r w:rsidRPr="008B3935">
        <w:rPr>
          <w:lang w:eastAsia="bg-BG"/>
        </w:rPr>
        <w:t xml:space="preserve"> Національного плану управління відходами в Україні</w:t>
      </w:r>
      <w:r>
        <w:rPr>
          <w:lang w:eastAsia="bg-BG"/>
        </w:rPr>
        <w:t xml:space="preserve"> є </w:t>
      </w:r>
      <w:r w:rsidRPr="008B3935">
        <w:rPr>
          <w:lang w:eastAsia="bg-BG"/>
        </w:rPr>
        <w:t>Національн</w:t>
      </w:r>
      <w:r>
        <w:rPr>
          <w:lang w:eastAsia="bg-BG"/>
        </w:rPr>
        <w:t>а</w:t>
      </w:r>
      <w:r w:rsidRPr="008B3935">
        <w:rPr>
          <w:lang w:eastAsia="bg-BG"/>
        </w:rPr>
        <w:t xml:space="preserve"> програм</w:t>
      </w:r>
      <w:r>
        <w:rPr>
          <w:lang w:eastAsia="bg-BG"/>
        </w:rPr>
        <w:t xml:space="preserve">а </w:t>
      </w:r>
      <w:r w:rsidRPr="008B3935">
        <w:rPr>
          <w:lang w:eastAsia="bg-BG"/>
        </w:rPr>
        <w:t>запобігання утворенню відходів</w:t>
      </w:r>
      <w:r>
        <w:rPr>
          <w:lang w:eastAsia="bg-BG"/>
        </w:rPr>
        <w:t xml:space="preserve"> та </w:t>
      </w:r>
      <w:r w:rsidRPr="008B3935">
        <w:rPr>
          <w:lang w:eastAsia="bg-BG"/>
        </w:rPr>
        <w:t>Національн</w:t>
      </w:r>
      <w:r>
        <w:rPr>
          <w:lang w:eastAsia="bg-BG"/>
        </w:rPr>
        <w:t>а</w:t>
      </w:r>
      <w:r w:rsidRPr="008B3935">
        <w:rPr>
          <w:lang w:eastAsia="bg-BG"/>
        </w:rPr>
        <w:t xml:space="preserve"> програм</w:t>
      </w:r>
      <w:r>
        <w:rPr>
          <w:lang w:eastAsia="bg-BG"/>
        </w:rPr>
        <w:t>а</w:t>
      </w:r>
      <w:r w:rsidRPr="008B3935">
        <w:rPr>
          <w:lang w:eastAsia="bg-BG"/>
        </w:rPr>
        <w:t xml:space="preserve"> зменшення захоронення біовідходів</w:t>
      </w:r>
    </w:p>
    <w:p w14:paraId="321E7B4A" w14:textId="394943DF" w:rsidR="00AF3807" w:rsidRDefault="00447C56" w:rsidP="00447C56">
      <w:pPr>
        <w:rPr>
          <w:lang w:eastAsia="bg-BG"/>
        </w:rPr>
      </w:pPr>
      <w:r w:rsidRPr="00C22C49">
        <w:rPr>
          <w:lang w:eastAsia="bg-BG"/>
        </w:rPr>
        <w:t xml:space="preserve">Відповідно розроблений комплекс індикаторів </w:t>
      </w:r>
      <w:r w:rsidR="00CC58B3">
        <w:rPr>
          <w:lang w:eastAsia="bg-BG"/>
        </w:rPr>
        <w:t>у Розділі 5</w:t>
      </w:r>
      <w:r w:rsidRPr="00C22C49">
        <w:rPr>
          <w:lang w:eastAsia="bg-BG"/>
        </w:rPr>
        <w:t xml:space="preserve"> із індикаторами виконання запланованих завдань й заходів </w:t>
      </w:r>
      <w:r w:rsidR="00CC58B3">
        <w:rPr>
          <w:lang w:eastAsia="bg-BG"/>
        </w:rPr>
        <w:t xml:space="preserve">у Плані Заходів НПУВ </w:t>
      </w:r>
      <w:r w:rsidRPr="00C22C49">
        <w:rPr>
          <w:lang w:eastAsia="bg-BG"/>
        </w:rPr>
        <w:t>є основою подальшого моніторингу виконання цього плану.</w:t>
      </w:r>
    </w:p>
    <w:p w14:paraId="356C8DFD" w14:textId="77777777" w:rsidR="00B44896" w:rsidRPr="009F5B1C" w:rsidRDefault="00B44896" w:rsidP="00CC58B3">
      <w:pPr>
        <w:pStyle w:val="30"/>
        <w:ind w:left="0"/>
      </w:pPr>
      <w:bookmarkStart w:id="125" w:name="_Toc151583292"/>
      <w:r w:rsidRPr="009F5B1C">
        <w:t>Моніторинг</w:t>
      </w:r>
      <w:r>
        <w:t xml:space="preserve"> </w:t>
      </w:r>
      <w:r w:rsidRPr="00B44896">
        <w:t>Національної програми запобігання утворенню відходів</w:t>
      </w:r>
      <w:bookmarkEnd w:id="125"/>
    </w:p>
    <w:p w14:paraId="208FFFC0" w14:textId="77777777" w:rsidR="00B44896" w:rsidRDefault="00B44896" w:rsidP="00B44896">
      <w:r>
        <w:t>Відповідно до закону «про управління відходами», ц</w:t>
      </w:r>
      <w:r w:rsidRPr="00902B91">
        <w:t>ентральний орган виконавчої влади, що забезпечує формування державної політики у сфері охорони навколишнього природного середовища, один раз на два роки здійснює оцінку ефективності виконання Національної програми запобігання утворенню відходів та оприлюднює її на своєму офіційному веб-сайті.</w:t>
      </w:r>
    </w:p>
    <w:p w14:paraId="6731E696" w14:textId="1EE2809B" w:rsidR="00412B1F" w:rsidRPr="00902B91" w:rsidRDefault="00412B1F" w:rsidP="00B44896">
      <w:r w:rsidRPr="00412B1F">
        <w:t>Цілі та заходи, визначені в плані дій НП</w:t>
      </w:r>
      <w:r>
        <w:t>ЗУВ</w:t>
      </w:r>
      <w:r w:rsidRPr="00412B1F">
        <w:t>, є нерозривною частиною Національного плану управління відходами в Україні.</w:t>
      </w:r>
    </w:p>
    <w:p w14:paraId="0562F19A" w14:textId="0AF5BF1E" w:rsidR="002E2B86" w:rsidRDefault="002E2B86" w:rsidP="00CC58B3">
      <w:pPr>
        <w:pStyle w:val="30"/>
        <w:ind w:left="0"/>
        <w:rPr>
          <w:lang w:eastAsia="bg-BG"/>
        </w:rPr>
      </w:pPr>
      <w:bookmarkStart w:id="126" w:name="_Toc151583293"/>
      <w:r>
        <w:rPr>
          <w:lang w:eastAsia="bg-BG"/>
        </w:rPr>
        <w:t>Моніторинг Національної програми</w:t>
      </w:r>
      <w:r w:rsidR="005D095A">
        <w:rPr>
          <w:lang w:eastAsia="bg-BG"/>
        </w:rPr>
        <w:t xml:space="preserve"> зменшення захоронення біовідходів</w:t>
      </w:r>
      <w:bookmarkEnd w:id="126"/>
    </w:p>
    <w:p w14:paraId="3FDB62BC" w14:textId="580B5C81" w:rsidR="002E2B86" w:rsidRDefault="002E2B86" w:rsidP="002E2B86">
      <w:pPr>
        <w:rPr>
          <w:lang w:eastAsia="bg-BG"/>
        </w:rPr>
      </w:pPr>
      <w:r>
        <w:rPr>
          <w:lang w:eastAsia="bg-BG"/>
        </w:rPr>
        <w:t xml:space="preserve">Основним завданням моніторингу є виявлення відхилень від </w:t>
      </w:r>
      <w:r w:rsidR="00F10942">
        <w:rPr>
          <w:lang w:eastAsia="bg-BG"/>
        </w:rPr>
        <w:t>п</w:t>
      </w:r>
      <w:r>
        <w:rPr>
          <w:lang w:eastAsia="bg-BG"/>
        </w:rPr>
        <w:t>лану заході</w:t>
      </w:r>
      <w:r w:rsidR="005D095A">
        <w:rPr>
          <w:lang w:eastAsia="bg-BG"/>
        </w:rPr>
        <w:t xml:space="preserve">в у частині </w:t>
      </w:r>
      <w:r w:rsidR="005D095A" w:rsidRPr="005D095A">
        <w:rPr>
          <w:lang w:eastAsia="bg-BG"/>
        </w:rPr>
        <w:t>зменшення захоронення біовідходів</w:t>
      </w:r>
      <w:r>
        <w:rPr>
          <w:lang w:eastAsia="bg-BG"/>
        </w:rPr>
        <w:t xml:space="preserve"> для вжиття</w:t>
      </w:r>
      <w:r w:rsidR="0040676E">
        <w:rPr>
          <w:lang w:eastAsia="bg-BG"/>
        </w:rPr>
        <w:t xml:space="preserve"> відповідних</w:t>
      </w:r>
      <w:r>
        <w:rPr>
          <w:lang w:eastAsia="bg-BG"/>
        </w:rPr>
        <w:t xml:space="preserve"> заходів</w:t>
      </w:r>
      <w:r w:rsidR="0040676E">
        <w:rPr>
          <w:lang w:eastAsia="bg-BG"/>
        </w:rPr>
        <w:t xml:space="preserve"> і </w:t>
      </w:r>
      <w:r>
        <w:rPr>
          <w:lang w:eastAsia="bg-BG"/>
        </w:rPr>
        <w:t>забезпечити своєчасну корекцію.</w:t>
      </w:r>
    </w:p>
    <w:p w14:paraId="06984914" w14:textId="584E431B" w:rsidR="00BB6EF6" w:rsidRDefault="002E2B86" w:rsidP="002E2B86">
      <w:pPr>
        <w:rPr>
          <w:lang w:eastAsia="bg-BG"/>
        </w:rPr>
      </w:pPr>
      <w:r>
        <w:rPr>
          <w:lang w:eastAsia="bg-BG"/>
        </w:rPr>
        <w:t xml:space="preserve">Моніторинг буде здійснюватися шляхом моніторингу кількісної зміни показників, що відображають ступінь прогресу у виконанні заходів, передбачених </w:t>
      </w:r>
      <w:r w:rsidR="00BB6EF6" w:rsidRPr="00BB6EF6">
        <w:rPr>
          <w:lang w:eastAsia="bg-BG"/>
        </w:rPr>
        <w:t>Національно</w:t>
      </w:r>
      <w:r w:rsidR="00BB6EF6">
        <w:rPr>
          <w:lang w:eastAsia="bg-BG"/>
        </w:rPr>
        <w:t>ю</w:t>
      </w:r>
      <w:r w:rsidR="00BB6EF6" w:rsidRPr="00BB6EF6">
        <w:rPr>
          <w:lang w:eastAsia="bg-BG"/>
        </w:rPr>
        <w:t xml:space="preserve"> програм</w:t>
      </w:r>
      <w:r w:rsidR="00BB6EF6">
        <w:rPr>
          <w:lang w:eastAsia="bg-BG"/>
        </w:rPr>
        <w:t>ою</w:t>
      </w:r>
      <w:r w:rsidR="00BB6EF6" w:rsidRPr="00BB6EF6">
        <w:rPr>
          <w:lang w:eastAsia="bg-BG"/>
        </w:rPr>
        <w:t xml:space="preserve"> зменшення захоронення біовідходів</w:t>
      </w:r>
      <w:r w:rsidR="00BB6EF6">
        <w:rPr>
          <w:lang w:eastAsia="bg-BG"/>
        </w:rPr>
        <w:t xml:space="preserve"> (НПЗЗБ)</w:t>
      </w:r>
      <w:r>
        <w:rPr>
          <w:lang w:eastAsia="bg-BG"/>
        </w:rPr>
        <w:t xml:space="preserve">. </w:t>
      </w:r>
    </w:p>
    <w:p w14:paraId="31EBCE84" w14:textId="5BD4BA0F" w:rsidR="0016029D" w:rsidRDefault="0016029D" w:rsidP="002E2B86">
      <w:pPr>
        <w:rPr>
          <w:lang w:eastAsia="bg-BG"/>
        </w:rPr>
      </w:pPr>
      <w:r w:rsidRPr="0016029D">
        <w:rPr>
          <w:lang w:eastAsia="bg-BG"/>
        </w:rPr>
        <w:t>Цілі та заходи, визначені в плані дій НПЗЗБ, є нерозривною частиною Національного плану управління відходами в Україні.</w:t>
      </w:r>
    </w:p>
    <w:p w14:paraId="3AF64D16" w14:textId="5351D8F7" w:rsidR="00F35630" w:rsidRDefault="00F35630" w:rsidP="00CC58B3">
      <w:pPr>
        <w:pStyle w:val="30"/>
        <w:rPr>
          <w:lang w:eastAsia="bg-BG"/>
        </w:rPr>
      </w:pPr>
      <w:bookmarkStart w:id="127" w:name="_Toc151583294"/>
      <w:r w:rsidRPr="00F35630">
        <w:rPr>
          <w:lang w:eastAsia="bg-BG"/>
        </w:rPr>
        <w:t>Координаційний орган з моніторингу</w:t>
      </w:r>
      <w:r>
        <w:rPr>
          <w:lang w:eastAsia="bg-BG"/>
        </w:rPr>
        <w:t xml:space="preserve"> </w:t>
      </w:r>
      <w:r w:rsidRPr="00F35630">
        <w:rPr>
          <w:lang w:eastAsia="bg-BG"/>
        </w:rPr>
        <w:t>та оцінки виконання</w:t>
      </w:r>
      <w:bookmarkEnd w:id="127"/>
    </w:p>
    <w:p w14:paraId="5E678C34" w14:textId="07791B82" w:rsidR="002E2B86" w:rsidRDefault="002E2B86" w:rsidP="002E2B86">
      <w:pPr>
        <w:rPr>
          <w:lang w:eastAsia="bg-BG"/>
        </w:rPr>
      </w:pPr>
      <w:r>
        <w:rPr>
          <w:lang w:eastAsia="bg-BG"/>
        </w:rPr>
        <w:t xml:space="preserve">Координаційний орган з моніторингу та оцінки виконання </w:t>
      </w:r>
      <w:r w:rsidR="00F35630">
        <w:rPr>
          <w:lang w:eastAsia="bg-BG"/>
        </w:rPr>
        <w:t xml:space="preserve">НПУВ </w:t>
      </w:r>
      <w:r>
        <w:rPr>
          <w:lang w:eastAsia="bg-BG"/>
        </w:rPr>
        <w:t>- Міністерство захисту довкілля та природних ресурсів.</w:t>
      </w:r>
      <w:r w:rsidR="005D095A">
        <w:rPr>
          <w:lang w:eastAsia="bg-BG"/>
        </w:rPr>
        <w:t xml:space="preserve"> </w:t>
      </w:r>
    </w:p>
    <w:p w14:paraId="457A92CA" w14:textId="77777777" w:rsidR="002E2B86" w:rsidRDefault="002E2B86" w:rsidP="002E2B86">
      <w:pPr>
        <w:rPr>
          <w:lang w:eastAsia="bg-BG"/>
        </w:rPr>
      </w:pPr>
      <w:r>
        <w:rPr>
          <w:lang w:eastAsia="bg-BG"/>
        </w:rPr>
        <w:t>Координаційний орган:</w:t>
      </w:r>
    </w:p>
    <w:p w14:paraId="0A5E1871" w14:textId="7E9C945B" w:rsidR="002E2B86" w:rsidRDefault="002E2B86" w:rsidP="002E2B86">
      <w:pPr>
        <w:rPr>
          <w:lang w:eastAsia="bg-BG"/>
        </w:rPr>
      </w:pPr>
      <w:r>
        <w:rPr>
          <w:lang w:eastAsia="bg-BG"/>
        </w:rPr>
        <w:t>1.</w:t>
      </w:r>
      <w:r>
        <w:rPr>
          <w:lang w:eastAsia="bg-BG"/>
        </w:rPr>
        <w:tab/>
        <w:t>аналізує та оцінює інформацію про ступінь виконання заходів, відповідно до встановлених показників;</w:t>
      </w:r>
    </w:p>
    <w:p w14:paraId="56DC5E59" w14:textId="3201C357" w:rsidR="002E2B86" w:rsidRDefault="002E2B86" w:rsidP="002E2B86">
      <w:pPr>
        <w:rPr>
          <w:lang w:eastAsia="bg-BG"/>
        </w:rPr>
      </w:pPr>
      <w:r>
        <w:rPr>
          <w:lang w:eastAsia="bg-BG"/>
        </w:rPr>
        <w:t>2.</w:t>
      </w:r>
      <w:r>
        <w:rPr>
          <w:lang w:eastAsia="bg-BG"/>
        </w:rPr>
        <w:tab/>
        <w:t xml:space="preserve">оцінює суспільну значущість і прихильність суспільства до реалізації </w:t>
      </w:r>
      <w:r w:rsidR="006F2946">
        <w:rPr>
          <w:lang w:eastAsia="bg-BG"/>
        </w:rPr>
        <w:t>заходів</w:t>
      </w:r>
      <w:r>
        <w:rPr>
          <w:lang w:eastAsia="bg-BG"/>
        </w:rPr>
        <w:t>.</w:t>
      </w:r>
    </w:p>
    <w:p w14:paraId="5F1C581E" w14:textId="0EF41230" w:rsidR="002E2B86" w:rsidRDefault="002E2B86" w:rsidP="002E2B86">
      <w:pPr>
        <w:rPr>
          <w:lang w:eastAsia="bg-BG"/>
        </w:rPr>
      </w:pPr>
      <w:r>
        <w:rPr>
          <w:lang w:eastAsia="bg-BG"/>
        </w:rPr>
        <w:t xml:space="preserve">Інші установи, відповідальні за реалізацію </w:t>
      </w:r>
      <w:r w:rsidR="00F35630">
        <w:rPr>
          <w:lang w:eastAsia="bg-BG"/>
        </w:rPr>
        <w:t xml:space="preserve">НПУВ </w:t>
      </w:r>
      <w:r>
        <w:rPr>
          <w:lang w:eastAsia="bg-BG"/>
        </w:rPr>
        <w:t xml:space="preserve">відповідно до їх повноважень згідно із Законом України «Про управління відходами» - Міністерство аграрної політики та продовольства, Міністерство освіти і науки, Міністерство фінансів, громади, бізнес, промислові організації, наукові інститути, в межах своєї компетенції повинні діяти і забезпечувати виконання положень </w:t>
      </w:r>
      <w:r w:rsidR="006F2946" w:rsidRPr="006F2946">
        <w:rPr>
          <w:lang w:eastAsia="bg-BG"/>
        </w:rPr>
        <w:t>Н</w:t>
      </w:r>
      <w:r w:rsidR="00F35630">
        <w:rPr>
          <w:lang w:eastAsia="bg-BG"/>
        </w:rPr>
        <w:t>ПУВ</w:t>
      </w:r>
      <w:r w:rsidR="006F2946" w:rsidRPr="006F2946">
        <w:rPr>
          <w:lang w:eastAsia="bg-BG"/>
        </w:rPr>
        <w:t xml:space="preserve"> </w:t>
      </w:r>
      <w:r>
        <w:rPr>
          <w:lang w:eastAsia="bg-BG"/>
        </w:rPr>
        <w:t xml:space="preserve">для </w:t>
      </w:r>
      <w:r w:rsidR="00F35630">
        <w:rPr>
          <w:lang w:eastAsia="bg-BG"/>
        </w:rPr>
        <w:t xml:space="preserve"> вжиття </w:t>
      </w:r>
      <w:r>
        <w:rPr>
          <w:lang w:eastAsia="bg-BG"/>
        </w:rPr>
        <w:t>заходів, у відповідні терміни, а також сприяти координаційному органу при зб</w:t>
      </w:r>
      <w:r w:rsidR="00F35630">
        <w:rPr>
          <w:lang w:eastAsia="bg-BG"/>
        </w:rPr>
        <w:t>иранні</w:t>
      </w:r>
      <w:r>
        <w:rPr>
          <w:lang w:eastAsia="bg-BG"/>
        </w:rPr>
        <w:t xml:space="preserve"> та узагальненні інформації, необхідної для звітування про виконання </w:t>
      </w:r>
      <w:r w:rsidR="006F2946" w:rsidRPr="006F2946">
        <w:rPr>
          <w:lang w:eastAsia="bg-BG"/>
        </w:rPr>
        <w:t>НПЗЗБ</w:t>
      </w:r>
      <w:r>
        <w:rPr>
          <w:lang w:eastAsia="bg-BG"/>
        </w:rPr>
        <w:t>.</w:t>
      </w:r>
    </w:p>
    <w:p w14:paraId="5D6D644B" w14:textId="0742426D" w:rsidR="002E2B86" w:rsidRDefault="002E2B86" w:rsidP="002E2B86">
      <w:pPr>
        <w:rPr>
          <w:lang w:eastAsia="bg-BG"/>
        </w:rPr>
      </w:pPr>
      <w:r>
        <w:rPr>
          <w:lang w:eastAsia="bg-BG"/>
        </w:rPr>
        <w:t>На основі проведеного моніторингу проводиться періодична оцінка ступеня виконання заходів та результати її виконання.</w:t>
      </w:r>
    </w:p>
    <w:p w14:paraId="48AD7294" w14:textId="1EE398AD" w:rsidR="002E2B86" w:rsidRDefault="002E2B86" w:rsidP="002E2B86">
      <w:pPr>
        <w:rPr>
          <w:lang w:eastAsia="bg-BG"/>
        </w:rPr>
      </w:pPr>
      <w:r>
        <w:rPr>
          <w:lang w:eastAsia="bg-BG"/>
        </w:rPr>
        <w:t>Оцінка</w:t>
      </w:r>
      <w:r w:rsidR="0016029D">
        <w:rPr>
          <w:lang w:eastAsia="bg-BG"/>
        </w:rPr>
        <w:t xml:space="preserve"> </w:t>
      </w:r>
      <w:r w:rsidR="0016029D" w:rsidRPr="0016029D">
        <w:rPr>
          <w:lang w:eastAsia="bg-BG"/>
        </w:rPr>
        <w:t>ступеня виконання</w:t>
      </w:r>
      <w:r>
        <w:rPr>
          <w:lang w:eastAsia="bg-BG"/>
        </w:rPr>
        <w:t xml:space="preserve"> є основою для підготовки річних звітів програмних документів на місцевому та національному рівнях, що стосуються охорони навколишнього середовища.</w:t>
      </w:r>
    </w:p>
    <w:p w14:paraId="41116FBB" w14:textId="3D2FBF95" w:rsidR="002E2B86" w:rsidRDefault="002E2B86" w:rsidP="002E2B86">
      <w:pPr>
        <w:rPr>
          <w:lang w:eastAsia="bg-BG"/>
        </w:rPr>
      </w:pPr>
      <w:r>
        <w:rPr>
          <w:lang w:eastAsia="bg-BG"/>
        </w:rPr>
        <w:t xml:space="preserve">У разі виявлення відсутності прогресу або недостатнього виконання заходів щодо </w:t>
      </w:r>
      <w:r w:rsidR="0016029D">
        <w:rPr>
          <w:lang w:eastAsia="bg-BG"/>
        </w:rPr>
        <w:t>управління відходами</w:t>
      </w:r>
      <w:r>
        <w:rPr>
          <w:lang w:eastAsia="bg-BG"/>
        </w:rPr>
        <w:t>, Координаційни</w:t>
      </w:r>
      <w:r w:rsidR="0016029D">
        <w:rPr>
          <w:lang w:eastAsia="bg-BG"/>
        </w:rPr>
        <w:t>м</w:t>
      </w:r>
      <w:r>
        <w:rPr>
          <w:lang w:eastAsia="bg-BG"/>
        </w:rPr>
        <w:t xml:space="preserve"> орган</w:t>
      </w:r>
      <w:r w:rsidR="0016029D">
        <w:rPr>
          <w:lang w:eastAsia="bg-BG"/>
        </w:rPr>
        <w:t>ом</w:t>
      </w:r>
      <w:r>
        <w:rPr>
          <w:lang w:eastAsia="bg-BG"/>
        </w:rPr>
        <w:t xml:space="preserve"> </w:t>
      </w:r>
      <w:r w:rsidR="0016029D">
        <w:rPr>
          <w:lang w:eastAsia="bg-BG"/>
        </w:rPr>
        <w:t>проводяться</w:t>
      </w:r>
      <w:r>
        <w:rPr>
          <w:lang w:eastAsia="bg-BG"/>
        </w:rPr>
        <w:t xml:space="preserve"> необхідні зміни у нормативних актах у секторі «</w:t>
      </w:r>
      <w:r w:rsidR="0016029D">
        <w:rPr>
          <w:lang w:eastAsia="bg-BG"/>
        </w:rPr>
        <w:t>у</w:t>
      </w:r>
      <w:r>
        <w:rPr>
          <w:lang w:eastAsia="bg-BG"/>
        </w:rPr>
        <w:t>правління відходами»</w:t>
      </w:r>
      <w:r w:rsidR="0016029D">
        <w:rPr>
          <w:lang w:eastAsia="bg-BG"/>
        </w:rPr>
        <w:t xml:space="preserve"> для</w:t>
      </w:r>
      <w:r>
        <w:rPr>
          <w:lang w:eastAsia="bg-BG"/>
        </w:rPr>
        <w:t xml:space="preserve"> гарантува</w:t>
      </w:r>
      <w:r w:rsidR="0016029D">
        <w:rPr>
          <w:lang w:eastAsia="bg-BG"/>
        </w:rPr>
        <w:t>ння</w:t>
      </w:r>
      <w:r>
        <w:rPr>
          <w:lang w:eastAsia="bg-BG"/>
        </w:rPr>
        <w:t xml:space="preserve"> досягнення ціл</w:t>
      </w:r>
      <w:r w:rsidR="0016029D">
        <w:rPr>
          <w:lang w:eastAsia="bg-BG"/>
        </w:rPr>
        <w:t>ьових показників.</w:t>
      </w:r>
      <w:r w:rsidR="006F2946">
        <w:rPr>
          <w:lang w:eastAsia="bg-BG"/>
        </w:rPr>
        <w:t xml:space="preserve"> </w:t>
      </w:r>
    </w:p>
    <w:p w14:paraId="01862C50" w14:textId="4132A56D" w:rsidR="00B44896" w:rsidRDefault="002E2B86" w:rsidP="002E2B86">
      <w:pPr>
        <w:rPr>
          <w:lang w:eastAsia="bg-BG"/>
        </w:rPr>
      </w:pPr>
      <w:r>
        <w:rPr>
          <w:lang w:eastAsia="bg-BG"/>
        </w:rPr>
        <w:t xml:space="preserve">Звіт про виконання </w:t>
      </w:r>
      <w:r w:rsidR="0016029D" w:rsidRPr="0016029D">
        <w:rPr>
          <w:lang w:eastAsia="bg-BG"/>
        </w:rPr>
        <w:t xml:space="preserve">Національної програми запобігання утворенню відходів </w:t>
      </w:r>
      <w:r w:rsidR="0016029D">
        <w:rPr>
          <w:lang w:eastAsia="bg-BG"/>
        </w:rPr>
        <w:t xml:space="preserve">та </w:t>
      </w:r>
      <w:r>
        <w:rPr>
          <w:lang w:eastAsia="bg-BG"/>
        </w:rPr>
        <w:t>Національної програми зменшення захоронення біовіходів складається в рамках звіту про виконання Національного плану управління відходами в Україні. В рамках оцінки ефективності впровадження Національного плану управління відходами, яка відбувається один раз на два роки, результати оприлюднюються на офіційному веб-сайті Міндовкілля.</w:t>
      </w:r>
    </w:p>
    <w:p w14:paraId="10C0744B" w14:textId="2AEF52EA" w:rsidR="00B109EB" w:rsidRPr="00C22C49" w:rsidRDefault="00B109EB" w:rsidP="00D22201">
      <w:pPr>
        <w:tabs>
          <w:tab w:val="clear" w:pos="284"/>
          <w:tab w:val="clear" w:pos="1985"/>
        </w:tabs>
        <w:spacing w:before="0" w:after="0" w:line="240" w:lineRule="auto"/>
        <w:jc w:val="left"/>
        <w:rPr>
          <w:lang w:eastAsia="bg-BG"/>
        </w:rPr>
      </w:pPr>
    </w:p>
    <w:sectPr w:rsidR="00B109EB" w:rsidRPr="00C22C49" w:rsidSect="00BF3521">
      <w:type w:val="continuous"/>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C8CB" w14:textId="77777777" w:rsidR="003D07E1" w:rsidRDefault="003D07E1" w:rsidP="002D763D">
      <w:pPr>
        <w:spacing w:after="0" w:line="240" w:lineRule="auto"/>
      </w:pPr>
      <w:r>
        <w:separator/>
      </w:r>
    </w:p>
  </w:endnote>
  <w:endnote w:type="continuationSeparator" w:id="0">
    <w:p w14:paraId="05F4C469" w14:textId="77777777" w:rsidR="003D07E1" w:rsidRDefault="003D07E1" w:rsidP="002D763D">
      <w:pPr>
        <w:spacing w:after="0" w:line="240" w:lineRule="auto"/>
      </w:pPr>
      <w:r>
        <w:continuationSeparator/>
      </w:r>
    </w:p>
  </w:endnote>
  <w:endnote w:type="continuationNotice" w:id="1">
    <w:p w14:paraId="480EDC60" w14:textId="77777777" w:rsidR="003D07E1" w:rsidRDefault="003D07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Nova Light">
    <w:altName w:val="Arial"/>
    <w:charset w:val="00"/>
    <w:family w:val="swiss"/>
    <w:pitch w:val="variable"/>
    <w:sig w:usb0="00000001" w:usb1="00000002"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203" w:usb1="00000000" w:usb2="00000000" w:usb3="00000000" w:csb0="00000005" w:csb1="00000000"/>
  </w:font>
  <w:font w:name="PF DinDisplay Pro Light">
    <w:altName w:val="Times New Roman"/>
    <w:charset w:val="CC"/>
    <w:family w:val="auto"/>
    <w:pitch w:val="variable"/>
    <w:sig w:usb0="00000201" w:usb1="00000000" w:usb2="00000000" w:usb3="00000000" w:csb0="00000004" w:csb1="00000000"/>
  </w:font>
  <w:font w:name="PF DinDisplay Pro Thin">
    <w:altName w:val="Calibri"/>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C342" w14:textId="67A4A01A" w:rsidR="00D9758F" w:rsidRDefault="003D07E1">
    <w:pPr>
      <w:pStyle w:val="af9"/>
      <w:spacing w:line="14" w:lineRule="auto"/>
    </w:pPr>
    <w:r>
      <w:rPr>
        <w:noProof/>
      </w:rPr>
      <w:pict w14:anchorId="303D0BF2">
        <v:shapetype id="_x0000_t202" coordsize="21600,21600" o:spt="202" path="m,l,21600r21600,l21600,xe">
          <v:stroke joinstyle="miter"/>
          <v:path gradientshapeok="t" o:connecttype="rect"/>
        </v:shapetype>
        <v:shape id="Поле 3" o:spid="_x0000_s2057" type="#_x0000_t202" style="position:absolute;left:0;text-align:left;margin-left:35.85pt;margin-top:806.85pt;width:361.35pt;height: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" filled="f" stroked="f">
          <v:textbox style="mso-next-textbox:#Поле 3" inset="0,0,0,0">
            <w:txbxContent>
              <w:p w14:paraId="0896C34B" w14:textId="77777777" w:rsidR="00D9758F" w:rsidRDefault="00D9758F">
                <w:pPr>
                  <w:spacing w:line="155" w:lineRule="exact"/>
                  <w:ind w:left="20"/>
                  <w:rPr>
                    <w:rFonts w:ascii="PF DinDisplay Pro Thin"/>
                    <w:sz w:val="14"/>
                  </w:rPr>
                </w:pPr>
                <w:r>
                  <w:rPr>
                    <w:rFonts w:ascii="PF DinDisplay Pro Thin"/>
                    <w:color w:val="00497B"/>
                    <w:sz w:val="14"/>
                  </w:rPr>
                  <w:t>Support to Ukraine in approximation of the EU Environmental Acquis (Air Quality, Waste Management), EuropeAid/140198/DH/SER/UA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6"/>
      </w:rPr>
      <w:id w:val="-1787709120"/>
      <w:docPartObj>
        <w:docPartGallery w:val="Page Numbers (Bottom of Page)"/>
        <w:docPartUnique/>
      </w:docPartObj>
    </w:sdtPr>
    <w:sdtEndPr/>
    <w:sdtContent>
      <w:p w14:paraId="0896C343" w14:textId="77777777" w:rsidR="00D9758F" w:rsidRPr="00F86F9F" w:rsidRDefault="005E0A06" w:rsidP="000D4CE0">
        <w:pPr>
          <w:pStyle w:val="af1"/>
          <w:jc w:val="center"/>
          <w:rPr>
            <w:sz w:val="20"/>
            <w:szCs w:val="16"/>
          </w:rPr>
        </w:pPr>
        <w:r w:rsidRPr="00F86F9F">
          <w:rPr>
            <w:sz w:val="20"/>
            <w:szCs w:val="16"/>
          </w:rPr>
          <w:fldChar w:fldCharType="begin"/>
        </w:r>
        <w:r w:rsidR="00D9758F" w:rsidRPr="00F86F9F">
          <w:rPr>
            <w:sz w:val="20"/>
            <w:szCs w:val="16"/>
          </w:rPr>
          <w:instrText xml:space="preserve"> PAGE   \* MERGEFORMAT </w:instrText>
        </w:r>
        <w:r w:rsidRPr="00F86F9F">
          <w:rPr>
            <w:sz w:val="20"/>
            <w:szCs w:val="16"/>
          </w:rPr>
          <w:fldChar w:fldCharType="separate"/>
        </w:r>
        <w:r w:rsidR="0080455C">
          <w:rPr>
            <w:noProof/>
            <w:sz w:val="20"/>
            <w:szCs w:val="16"/>
          </w:rPr>
          <w:t>1</w:t>
        </w:r>
        <w:r w:rsidRPr="00F86F9F">
          <w:rPr>
            <w:noProof/>
            <w:sz w:val="20"/>
            <w:szCs w:val="16"/>
          </w:rPr>
          <w:fldChar w:fldCharType="end"/>
        </w:r>
      </w:p>
    </w:sdtContent>
  </w:sdt>
  <w:p w14:paraId="0896C344" w14:textId="77777777" w:rsidR="00D9758F" w:rsidRDefault="00D9758F">
    <w:pPr>
      <w:pStyle w:val="af9"/>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34FFD" w14:textId="77777777" w:rsidR="003D07E1" w:rsidRDefault="003D07E1" w:rsidP="002D763D">
      <w:pPr>
        <w:spacing w:after="0" w:line="240" w:lineRule="auto"/>
      </w:pPr>
      <w:r>
        <w:separator/>
      </w:r>
    </w:p>
  </w:footnote>
  <w:footnote w:type="continuationSeparator" w:id="0">
    <w:p w14:paraId="4486FE63" w14:textId="77777777" w:rsidR="003D07E1" w:rsidRDefault="003D07E1" w:rsidP="002D763D">
      <w:pPr>
        <w:spacing w:after="0" w:line="240" w:lineRule="auto"/>
      </w:pPr>
      <w:r>
        <w:continuationSeparator/>
      </w:r>
    </w:p>
  </w:footnote>
  <w:footnote w:type="continuationNotice" w:id="1">
    <w:p w14:paraId="07F465D1" w14:textId="77777777" w:rsidR="003D07E1" w:rsidRDefault="003D07E1">
      <w:pPr>
        <w:spacing w:before="0" w:after="0" w:line="240" w:lineRule="auto"/>
      </w:pPr>
    </w:p>
  </w:footnote>
  <w:footnote w:id="2">
    <w:p w14:paraId="0896C347" w14:textId="77777777" w:rsidR="00D9758F" w:rsidRDefault="00D9758F" w:rsidP="00267576">
      <w:pPr>
        <w:pBdr>
          <w:top w:val="nil"/>
          <w:left w:val="nil"/>
          <w:bottom w:val="nil"/>
          <w:right w:val="nil"/>
          <w:between w:val="nil"/>
        </w:pBdr>
        <w:spacing w:after="40"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https://www.focus-economics.com/countries/ukraine</w:t>
      </w:r>
    </w:p>
  </w:footnote>
  <w:footnote w:id="3">
    <w:p w14:paraId="0896C348" w14:textId="77777777" w:rsidR="00D9758F" w:rsidRDefault="00D9758F">
      <w:pPr>
        <w:pStyle w:val="aa"/>
      </w:pPr>
      <w:r>
        <w:rPr>
          <w:rStyle w:val="ac"/>
        </w:rPr>
        <w:footnoteRef/>
      </w:r>
      <w:r>
        <w:t xml:space="preserve"> </w:t>
      </w:r>
      <w:r w:rsidRPr="0050074C">
        <w:t>Податковий кодекс</w:t>
      </w:r>
      <w:r>
        <w:t>:</w:t>
      </w:r>
      <w:r w:rsidRPr="0050074C">
        <w:t xml:space="preserve"> </w:t>
      </w:r>
      <w:hyperlink r:id="rId1" w:history="1">
        <w:r w:rsidRPr="004B5E0C">
          <w:rPr>
            <w:rStyle w:val="a9"/>
          </w:rPr>
          <w:t>https://tax.gov.ua/nk/rozdil-viii--ekologichniy-poda/</w:t>
        </w:r>
      </w:hyperlink>
      <w:r>
        <w:t xml:space="preserve"> </w:t>
      </w:r>
    </w:p>
  </w:footnote>
  <w:footnote w:id="4">
    <w:p w14:paraId="0896C349" w14:textId="77777777" w:rsidR="008943FB" w:rsidRDefault="008943FB" w:rsidP="008943FB">
      <w:pPr>
        <w:pStyle w:val="aa"/>
      </w:pPr>
      <w:r>
        <w:rPr>
          <w:rStyle w:val="ac"/>
        </w:rPr>
        <w:footnoteRef/>
      </w:r>
      <w:r>
        <w:t xml:space="preserve"> Текст Постанови КМУ №1221 </w:t>
      </w:r>
      <w:r w:rsidRPr="007F67DF">
        <w:t>від 17 грудня 2012 р.</w:t>
      </w:r>
      <w:r>
        <w:t xml:space="preserve"> </w:t>
      </w:r>
      <w:hyperlink r:id="rId2" w:anchor="Text" w:history="1">
        <w:r w:rsidRPr="004B5E0C">
          <w:rPr>
            <w:rStyle w:val="a9"/>
          </w:rPr>
          <w:t>https://zakon.rada.gov.ua/laws/show/1221-2012-%D0%BF#Text</w:t>
        </w:r>
      </w:hyperlink>
      <w:r>
        <w:t xml:space="preserve"> </w:t>
      </w:r>
    </w:p>
  </w:footnote>
  <w:footnote w:id="5">
    <w:p w14:paraId="62826F76" w14:textId="77777777" w:rsidR="00870CD4" w:rsidRDefault="00870CD4" w:rsidP="00870CD4">
      <w:pPr>
        <w:pStyle w:val="aa"/>
      </w:pPr>
      <w:r>
        <w:rPr>
          <w:rStyle w:val="ac"/>
        </w:rPr>
        <w:footnoteRef/>
      </w:r>
      <w:r>
        <w:t xml:space="preserve"> </w:t>
      </w:r>
      <w:r w:rsidRPr="000E1573">
        <w:t xml:space="preserve">RREUSE (2021). Job creation in the re-use sector: data insights from social enterprises </w:t>
      </w:r>
      <w:hyperlink r:id="rId3" w:history="1">
        <w:r w:rsidRPr="002774A3">
          <w:rPr>
            <w:rStyle w:val="a9"/>
          </w:rPr>
          <w:t>https://www.rreuse.org/wp-content/uploads/04-2021-job-creation-briefing.pdf</w:t>
        </w:r>
      </w:hyperlink>
      <w:r w:rsidRPr="000E15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C341" w14:textId="0BEBF11D" w:rsidR="00D9758F" w:rsidRDefault="003D07E1">
    <w:pPr>
      <w:pStyle w:val="af9"/>
      <w:spacing w:line="14" w:lineRule="auto"/>
    </w:pPr>
    <w:r>
      <w:rPr>
        <w:noProof/>
      </w:rPr>
      <w:pict w14:anchorId="4A54426B">
        <v:shapetype id="_x0000_t202" coordsize="21600,21600" o:spt="202" path="m,l,21600r21600,l21600,xe">
          <v:stroke joinstyle="miter"/>
          <v:path gradientshapeok="t" o:connecttype="rect"/>
        </v:shapetype>
        <v:shape id="Поле 4" o:spid="_x0000_s2058" type="#_x0000_t202" style="position:absolute;left:0;text-align:left;margin-left:33.85pt;margin-top:27.35pt;width:120.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" filled="f" stroked="f">
          <v:textbox style="mso-next-textbox:#Поле 4" inset="0,0,0,0">
            <w:txbxContent>
              <w:p w14:paraId="0896C34A" w14:textId="77777777" w:rsidR="00D9758F" w:rsidRDefault="005E0A06">
                <w:pPr>
                  <w:spacing w:line="173" w:lineRule="exact"/>
                  <w:ind w:left="60"/>
                  <w:rPr>
                    <w:rFonts w:ascii="PF DinDisplay Pro Light"/>
                    <w:sz w:val="16"/>
                  </w:rPr>
                </w:pPr>
                <w:r>
                  <w:fldChar w:fldCharType="begin"/>
                </w:r>
                <w:r w:rsidR="00D9758F">
                  <w:rPr>
                    <w:rFonts w:ascii="PF DinDisplay Pro Light"/>
                    <w:color w:val="00497B"/>
                    <w:sz w:val="16"/>
                  </w:rPr>
                  <w:instrText xml:space="preserve"> PAGE </w:instrText>
                </w:r>
                <w:r>
                  <w:fldChar w:fldCharType="separate"/>
                </w:r>
                <w:r w:rsidR="00D9758F">
                  <w:rPr>
                    <w:rFonts w:ascii="PF DinDisplay Pro Light"/>
                    <w:noProof/>
                    <w:color w:val="00497B"/>
                    <w:sz w:val="16"/>
                  </w:rPr>
                  <w:t>426</w:t>
                </w:r>
                <w:r>
                  <w:fldChar w:fldCharType="end"/>
                </w:r>
                <w:r w:rsidR="00D9758F">
                  <w:rPr>
                    <w:rFonts w:ascii="PF DinDisplay Pro Light"/>
                    <w:color w:val="00497B"/>
                    <w:sz w:val="16"/>
                  </w:rPr>
                  <w:t xml:space="preserve"> Section 6 _ Logical Framework</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D9"/>
    <w:multiLevelType w:val="multilevel"/>
    <w:tmpl w:val="2BA00BE2"/>
    <w:styleLink w:val="CowiBulletList"/>
    <w:lvl w:ilvl="0">
      <w:start w:val="1"/>
      <w:numFmt w:val="bullet"/>
      <w:pStyle w:val="a"/>
      <w:lvlText w:val="›"/>
      <w:lvlJc w:val="left"/>
      <w:pPr>
        <w:tabs>
          <w:tab w:val="num" w:pos="425"/>
        </w:tabs>
        <w:ind w:left="425" w:hanging="425"/>
      </w:pPr>
      <w:rPr>
        <w:rFonts w:hint="default"/>
        <w:color w:val="F04E23"/>
        <w:position w:val="0"/>
        <w:sz w:val="24"/>
      </w:rPr>
    </w:lvl>
    <w:lvl w:ilvl="1">
      <w:start w:val="1"/>
      <w:numFmt w:val="bullet"/>
      <w:pStyle w:val="2"/>
      <w:lvlText w:val="›"/>
      <w:lvlJc w:val="left"/>
      <w:pPr>
        <w:tabs>
          <w:tab w:val="num" w:pos="851"/>
        </w:tabs>
        <w:ind w:left="851" w:hanging="426"/>
      </w:pPr>
      <w:rPr>
        <w:rFonts w:hint="default"/>
        <w:color w:val="333333"/>
        <w:position w:val="0"/>
        <w:sz w:val="24"/>
      </w:rPr>
    </w:lvl>
    <w:lvl w:ilvl="2">
      <w:start w:val="1"/>
      <w:numFmt w:val="bullet"/>
      <w:pStyle w:val="3"/>
      <w:lvlText w:val="›"/>
      <w:lvlJc w:val="left"/>
      <w:pPr>
        <w:tabs>
          <w:tab w:val="num" w:pos="1276"/>
        </w:tabs>
        <w:ind w:left="1276" w:hanging="425"/>
      </w:pPr>
      <w:rPr>
        <w:rFonts w:hint="default"/>
        <w:color w:val="333333"/>
        <w:position w:val="0"/>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0BE00FA"/>
    <w:multiLevelType w:val="hybridMultilevel"/>
    <w:tmpl w:val="5EBA5A18"/>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7B3EF7"/>
    <w:multiLevelType w:val="hybridMultilevel"/>
    <w:tmpl w:val="8296569A"/>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CB4771"/>
    <w:multiLevelType w:val="hybridMultilevel"/>
    <w:tmpl w:val="208A914C"/>
    <w:lvl w:ilvl="0" w:tplc="A8BCDCA8">
      <w:start w:val="1"/>
      <w:numFmt w:val="bullet"/>
      <w:lvlText w:val=""/>
      <w:lvlJc w:val="left"/>
      <w:pPr>
        <w:ind w:left="720" w:hanging="360"/>
      </w:pPr>
      <w:rPr>
        <w:rFonts w:ascii="Wingdings" w:hAnsi="Wingdings" w:hint="default"/>
        <w:color w:val="4472C4" w:themeColor="accent1"/>
        <w:w w:val="80"/>
        <w:sz w:val="24"/>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F316C4"/>
    <w:multiLevelType w:val="hybridMultilevel"/>
    <w:tmpl w:val="83C00570"/>
    <w:lvl w:ilvl="0" w:tplc="A8BCDCA8">
      <w:start w:val="1"/>
      <w:numFmt w:val="bullet"/>
      <w:lvlText w:val=""/>
      <w:lvlJc w:val="left"/>
      <w:pPr>
        <w:ind w:left="720" w:hanging="360"/>
      </w:pPr>
      <w:rPr>
        <w:rFonts w:ascii="Wingdings" w:hAnsi="Wingdings" w:hint="default"/>
        <w:color w:val="4472C4" w:themeColor="accent1"/>
        <w:w w:val="80"/>
        <w:sz w:val="2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585E99"/>
    <w:multiLevelType w:val="hybridMultilevel"/>
    <w:tmpl w:val="D982EB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A20303"/>
    <w:multiLevelType w:val="hybridMultilevel"/>
    <w:tmpl w:val="975AE6DC"/>
    <w:lvl w:ilvl="0" w:tplc="46B278D8">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22875037"/>
    <w:multiLevelType w:val="hybridMultilevel"/>
    <w:tmpl w:val="48E03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CB7DE0"/>
    <w:multiLevelType w:val="hybridMultilevel"/>
    <w:tmpl w:val="9034C5E0"/>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3215897"/>
    <w:multiLevelType w:val="hybridMultilevel"/>
    <w:tmpl w:val="54442070"/>
    <w:lvl w:ilvl="0" w:tplc="85DCB814">
      <w:start w:val="1"/>
      <w:numFmt w:val="decimal"/>
      <w:pStyle w:val="Heading5BOLDnumbered"/>
      <w:lvlText w:val="%1.1.1.1"/>
      <w:lvlJc w:val="left"/>
      <w:pPr>
        <w:ind w:left="128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 w15:restartNumberingAfterBreak="0">
    <w:nsid w:val="246E4A32"/>
    <w:multiLevelType w:val="hybridMultilevel"/>
    <w:tmpl w:val="EB80453C"/>
    <w:lvl w:ilvl="0" w:tplc="904E79BA">
      <w:start w:val="1"/>
      <w:numFmt w:val="bullet"/>
      <w:lvlText w:val=""/>
      <w:lvlJc w:val="left"/>
      <w:pPr>
        <w:ind w:left="720" w:hanging="360"/>
      </w:pPr>
      <w:rPr>
        <w:rFonts w:ascii="Wingdings" w:hAnsi="Wingdings" w:hint="default"/>
        <w:color w:val="4472C4"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4CF5A25"/>
    <w:multiLevelType w:val="hybridMultilevel"/>
    <w:tmpl w:val="D3C25C8C"/>
    <w:lvl w:ilvl="0" w:tplc="08AE6734">
      <w:start w:val="1"/>
      <w:numFmt w:val="decimal"/>
      <w:lvlText w:val="%1."/>
      <w:lvlJc w:val="left"/>
      <w:pPr>
        <w:ind w:left="720" w:hanging="360"/>
      </w:pPr>
      <w:rPr>
        <w:rFonts w:ascii="Times New Roman" w:hAnsi="Times New Roman" w:hint="default"/>
        <w:b w:val="0"/>
        <w:i w:val="0"/>
        <w:color w:val="2F5496" w:themeColor="accent1" w:themeShade="BF"/>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95749C"/>
    <w:multiLevelType w:val="hybridMultilevel"/>
    <w:tmpl w:val="A0BE0640"/>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B215F14"/>
    <w:multiLevelType w:val="hybridMultilevel"/>
    <w:tmpl w:val="9A2035B0"/>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E70334"/>
    <w:multiLevelType w:val="hybridMultilevel"/>
    <w:tmpl w:val="0FCC65B0"/>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D456556"/>
    <w:multiLevelType w:val="hybridMultilevel"/>
    <w:tmpl w:val="E11C86B8"/>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E31204"/>
    <w:multiLevelType w:val="hybridMultilevel"/>
    <w:tmpl w:val="EE722698"/>
    <w:lvl w:ilvl="0" w:tplc="04190005">
      <w:start w:val="1"/>
      <w:numFmt w:val="bullet"/>
      <w:pStyle w:val="Style1Bulletpoin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100071"/>
    <w:multiLevelType w:val="hybridMultilevel"/>
    <w:tmpl w:val="2D9631AE"/>
    <w:lvl w:ilvl="0" w:tplc="904E79BA">
      <w:start w:val="1"/>
      <w:numFmt w:val="bullet"/>
      <w:lvlText w:val=""/>
      <w:lvlJc w:val="left"/>
      <w:pPr>
        <w:ind w:left="720" w:hanging="360"/>
      </w:pPr>
      <w:rPr>
        <w:rFonts w:ascii="Wingdings" w:hAnsi="Wingdings" w:hint="default"/>
        <w:color w:val="4472C4"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22C7E86"/>
    <w:multiLevelType w:val="multilevel"/>
    <w:tmpl w:val="9CFC154C"/>
    <w:styleLink w:val="Style2"/>
    <w:lvl w:ilvl="0">
      <w:start w:val="1"/>
      <w:numFmt w:val="decimal"/>
      <w:lvlText w:val="%1.1.1.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2C16678"/>
    <w:multiLevelType w:val="hybridMultilevel"/>
    <w:tmpl w:val="477CEFDC"/>
    <w:lvl w:ilvl="0" w:tplc="8968C9D0">
      <w:start w:val="1"/>
      <w:numFmt w:val="bullet"/>
      <w:pStyle w:val="BulletPointRED"/>
      <w:lvlText w:val="o"/>
      <w:lvlJc w:val="left"/>
      <w:pPr>
        <w:ind w:left="1074" w:hanging="360"/>
      </w:pPr>
      <w:rPr>
        <w:rFonts w:ascii="Courier New" w:hAnsi="Courier New" w:hint="default"/>
        <w:color w:val="4472C4" w:themeColor="accent1"/>
      </w:rPr>
    </w:lvl>
    <w:lvl w:ilvl="1" w:tplc="04190019">
      <w:numFmt w:val="bullet"/>
      <w:lvlText w:val=""/>
      <w:lvlJc w:val="left"/>
      <w:pPr>
        <w:ind w:left="1794" w:hanging="360"/>
      </w:pPr>
      <w:rPr>
        <w:rFonts w:ascii="Verdana" w:eastAsiaTheme="minorHAnsi" w:hAnsi="Verdana" w:cstheme="minorBidi" w:hint="default"/>
      </w:rPr>
    </w:lvl>
    <w:lvl w:ilvl="2" w:tplc="0419001B" w:tentative="1">
      <w:start w:val="1"/>
      <w:numFmt w:val="bullet"/>
      <w:lvlText w:val=""/>
      <w:lvlJc w:val="left"/>
      <w:pPr>
        <w:ind w:left="2514" w:hanging="360"/>
      </w:pPr>
      <w:rPr>
        <w:rFonts w:ascii="Wingdings" w:hAnsi="Wingdings" w:hint="default"/>
      </w:rPr>
    </w:lvl>
    <w:lvl w:ilvl="3" w:tplc="0419000F" w:tentative="1">
      <w:start w:val="1"/>
      <w:numFmt w:val="bullet"/>
      <w:lvlText w:val=""/>
      <w:lvlJc w:val="left"/>
      <w:pPr>
        <w:ind w:left="3234" w:hanging="360"/>
      </w:pPr>
      <w:rPr>
        <w:rFonts w:ascii="Symbol" w:hAnsi="Symbol" w:hint="default"/>
      </w:rPr>
    </w:lvl>
    <w:lvl w:ilvl="4" w:tplc="04190019" w:tentative="1">
      <w:start w:val="1"/>
      <w:numFmt w:val="bullet"/>
      <w:lvlText w:val="o"/>
      <w:lvlJc w:val="left"/>
      <w:pPr>
        <w:ind w:left="3954" w:hanging="360"/>
      </w:pPr>
      <w:rPr>
        <w:rFonts w:ascii="Courier New" w:hAnsi="Courier New" w:cs="Courier New" w:hint="default"/>
      </w:rPr>
    </w:lvl>
    <w:lvl w:ilvl="5" w:tplc="0419001B" w:tentative="1">
      <w:start w:val="1"/>
      <w:numFmt w:val="bullet"/>
      <w:lvlText w:val=""/>
      <w:lvlJc w:val="left"/>
      <w:pPr>
        <w:ind w:left="4674" w:hanging="360"/>
      </w:pPr>
      <w:rPr>
        <w:rFonts w:ascii="Wingdings" w:hAnsi="Wingdings" w:hint="default"/>
      </w:rPr>
    </w:lvl>
    <w:lvl w:ilvl="6" w:tplc="0419000F" w:tentative="1">
      <w:start w:val="1"/>
      <w:numFmt w:val="bullet"/>
      <w:lvlText w:val=""/>
      <w:lvlJc w:val="left"/>
      <w:pPr>
        <w:ind w:left="5394" w:hanging="360"/>
      </w:pPr>
      <w:rPr>
        <w:rFonts w:ascii="Symbol" w:hAnsi="Symbol" w:hint="default"/>
      </w:rPr>
    </w:lvl>
    <w:lvl w:ilvl="7" w:tplc="04190019" w:tentative="1">
      <w:start w:val="1"/>
      <w:numFmt w:val="bullet"/>
      <w:lvlText w:val="o"/>
      <w:lvlJc w:val="left"/>
      <w:pPr>
        <w:ind w:left="6114" w:hanging="360"/>
      </w:pPr>
      <w:rPr>
        <w:rFonts w:ascii="Courier New" w:hAnsi="Courier New" w:cs="Courier New" w:hint="default"/>
      </w:rPr>
    </w:lvl>
    <w:lvl w:ilvl="8" w:tplc="0419001B" w:tentative="1">
      <w:start w:val="1"/>
      <w:numFmt w:val="bullet"/>
      <w:lvlText w:val=""/>
      <w:lvlJc w:val="left"/>
      <w:pPr>
        <w:ind w:left="6834" w:hanging="360"/>
      </w:pPr>
      <w:rPr>
        <w:rFonts w:ascii="Wingdings" w:hAnsi="Wingdings" w:hint="default"/>
      </w:rPr>
    </w:lvl>
  </w:abstractNum>
  <w:abstractNum w:abstractNumId="20" w15:restartNumberingAfterBreak="0">
    <w:nsid w:val="34706962"/>
    <w:multiLevelType w:val="hybridMultilevel"/>
    <w:tmpl w:val="2B0CB76C"/>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6FD4A68"/>
    <w:multiLevelType w:val="hybridMultilevel"/>
    <w:tmpl w:val="87CAC820"/>
    <w:lvl w:ilvl="0" w:tplc="C0C6ECD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7143BD8"/>
    <w:multiLevelType w:val="multilevel"/>
    <w:tmpl w:val="02BAF4B0"/>
    <w:lvl w:ilvl="0">
      <w:start w:val="1"/>
      <w:numFmt w:val="bullet"/>
      <w:lvlText w:val=""/>
      <w:lvlJc w:val="left"/>
      <w:pPr>
        <w:ind w:left="644" w:hanging="360"/>
      </w:pPr>
      <w:rPr>
        <w:rFonts w:ascii="Wingdings" w:hAnsi="Wingdings" w:hint="default"/>
        <w:b/>
        <w:bCs/>
        <w:i w:val="0"/>
        <w:color w:val="4472C4" w:themeColor="accent1"/>
        <w:w w:val="80"/>
        <w:sz w:val="24"/>
        <w:szCs w:val="20"/>
      </w:rPr>
    </w:lvl>
    <w:lvl w:ilvl="1">
      <w:start w:val="1"/>
      <w:numFmt w:val="lowerLetter"/>
      <w:lvlText w:val="%2)"/>
      <w:lvlJc w:val="left"/>
      <w:pPr>
        <w:tabs>
          <w:tab w:val="num" w:pos="1070"/>
        </w:tabs>
        <w:ind w:left="1070"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3" w15:restartNumberingAfterBreak="0">
    <w:nsid w:val="3BAC66FE"/>
    <w:multiLevelType w:val="hybridMultilevel"/>
    <w:tmpl w:val="CB0E8B00"/>
    <w:lvl w:ilvl="0" w:tplc="A8BCDCA8">
      <w:start w:val="1"/>
      <w:numFmt w:val="bullet"/>
      <w:lvlText w:val=""/>
      <w:lvlJc w:val="left"/>
      <w:pPr>
        <w:ind w:left="720" w:hanging="360"/>
      </w:pPr>
      <w:rPr>
        <w:rFonts w:ascii="Wingdings" w:hAnsi="Wingdings" w:hint="default"/>
        <w:color w:val="4472C4" w:themeColor="accent1"/>
        <w:w w:val="80"/>
        <w:sz w:val="24"/>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E5878AC"/>
    <w:multiLevelType w:val="hybridMultilevel"/>
    <w:tmpl w:val="5308EFF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15:restartNumberingAfterBreak="0">
    <w:nsid w:val="40757815"/>
    <w:multiLevelType w:val="hybridMultilevel"/>
    <w:tmpl w:val="0BA65D9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15:restartNumberingAfterBreak="0">
    <w:nsid w:val="41867463"/>
    <w:multiLevelType w:val="hybridMultilevel"/>
    <w:tmpl w:val="D44CEB06"/>
    <w:lvl w:ilvl="0" w:tplc="0C5ED26E">
      <w:start w:val="1"/>
      <w:numFmt w:val="bullet"/>
      <w:pStyle w:val="BulletRED"/>
      <w:lvlText w:val=""/>
      <w:lvlJc w:val="left"/>
      <w:pPr>
        <w:ind w:left="927" w:hanging="360"/>
      </w:pPr>
      <w:rPr>
        <w:rFonts w:ascii="Wingdings" w:hAnsi="Wingdings" w:hint="default"/>
        <w:color w:val="2F5496" w:themeColor="accent1" w:themeShade="BF"/>
        <w:w w:val="80"/>
        <w:sz w:val="24"/>
        <w:szCs w:val="20"/>
      </w:rPr>
    </w:lvl>
    <w:lvl w:ilvl="1" w:tplc="FA52DC62">
      <w:start w:val="1"/>
      <w:numFmt w:val="bullet"/>
      <w:lvlText w:val="o"/>
      <w:lvlJc w:val="left"/>
      <w:pPr>
        <w:ind w:left="1440" w:hanging="360"/>
      </w:pPr>
      <w:rPr>
        <w:rFonts w:ascii="Courier New" w:hAnsi="Courier New" w:cs="Courier New" w:hint="default"/>
        <w:color w:val="4472C4" w:themeColor="accent1"/>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5627B0"/>
    <w:multiLevelType w:val="hybridMultilevel"/>
    <w:tmpl w:val="906850CA"/>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87577AD"/>
    <w:multiLevelType w:val="hybridMultilevel"/>
    <w:tmpl w:val="CA62C7BC"/>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6EA0B61"/>
    <w:multiLevelType w:val="multilevel"/>
    <w:tmpl w:val="D4729C2E"/>
    <w:lvl w:ilvl="0">
      <w:start w:val="1"/>
      <w:numFmt w:val="none"/>
      <w:pStyle w:val="a0"/>
      <w:lvlText w:val=""/>
      <w:lvlJc w:val="left"/>
      <w:pPr>
        <w:ind w:left="0" w:firstLine="0"/>
      </w:pPr>
      <w:rPr>
        <w:rFonts w:hint="default"/>
      </w:rPr>
    </w:lvl>
    <w:lvl w:ilvl="1">
      <w:start w:val="1"/>
      <w:numFmt w:val="decimal"/>
      <w:pStyle w:val="20"/>
      <w:lvlText w:val="%2."/>
      <w:lvlJc w:val="left"/>
      <w:pPr>
        <w:ind w:left="0" w:firstLine="284"/>
      </w:pPr>
      <w:rPr>
        <w:rFonts w:hint="default"/>
      </w:rPr>
    </w:lvl>
    <w:lvl w:ilvl="2">
      <w:start w:val="1"/>
      <w:numFmt w:val="decimal"/>
      <w:pStyle w:val="30"/>
      <w:lvlText w:val="%2.%3."/>
      <w:lvlJc w:val="left"/>
      <w:pPr>
        <w:ind w:left="1275" w:firstLine="284"/>
      </w:pPr>
      <w:rPr>
        <w:rFonts w:hint="default"/>
      </w:rPr>
    </w:lvl>
    <w:lvl w:ilvl="3">
      <w:start w:val="1"/>
      <w:numFmt w:val="decimal"/>
      <w:pStyle w:val="Heading4boldRED"/>
      <w:lvlText w:val="%2.%3.%4."/>
      <w:lvlJc w:val="left"/>
      <w:pPr>
        <w:ind w:left="426" w:firstLine="0"/>
      </w:pPr>
      <w:rPr>
        <w:specVanish w:val="0"/>
      </w:rPr>
    </w:lvl>
    <w:lvl w:ilvl="4">
      <w:start w:val="1"/>
      <w:numFmt w:val="decimal"/>
      <w:pStyle w:val="5"/>
      <w:lvlText w:val="%5."/>
      <w:lvlJc w:val="left"/>
      <w:pPr>
        <w:ind w:left="567" w:firstLine="0"/>
      </w:pPr>
      <w:rPr>
        <w:rFonts w:ascii="Verdana" w:hAnsi="Verdana" w:hint="default"/>
        <w:b/>
        <w:i w:val="0"/>
        <w:color w:val="auto"/>
        <w:sz w:val="20"/>
      </w:rPr>
    </w:lvl>
    <w:lvl w:ilvl="5">
      <w:start w:val="1"/>
      <w:numFmt w:val="decimal"/>
      <w:pStyle w:val="6"/>
      <w:lvlText w:val="%5.(%6)"/>
      <w:lvlJc w:val="left"/>
      <w:pPr>
        <w:ind w:left="567" w:firstLine="0"/>
      </w:pPr>
      <w:rPr>
        <w:rFonts w:ascii="Verdana" w:hAnsi="Verdana" w:hint="default"/>
        <w:b/>
        <w:i w:val="0"/>
        <w:sz w:val="20"/>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30" w15:restartNumberingAfterBreak="0">
    <w:nsid w:val="5C4501FA"/>
    <w:multiLevelType w:val="hybridMultilevel"/>
    <w:tmpl w:val="1646D45E"/>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957893"/>
    <w:multiLevelType w:val="multilevel"/>
    <w:tmpl w:val="BA561A0A"/>
    <w:lvl w:ilvl="0">
      <w:start w:val="1"/>
      <w:numFmt w:val="decimal"/>
      <w:pStyle w:val="a1"/>
      <w:lvlText w:val="%1."/>
      <w:lvlJc w:val="left"/>
      <w:pPr>
        <w:ind w:left="644" w:hanging="360"/>
      </w:pPr>
      <w:rPr>
        <w:rFonts w:ascii="Times New Roman" w:hAnsi="Times New Roman" w:hint="default"/>
        <w:b w:val="0"/>
        <w:i w:val="0"/>
        <w:color w:val="auto"/>
        <w:sz w:val="24"/>
        <w:szCs w:val="20"/>
      </w:rPr>
    </w:lvl>
    <w:lvl w:ilvl="1">
      <w:start w:val="1"/>
      <w:numFmt w:val="lowerLetter"/>
      <w:lvlText w:val="%2)"/>
      <w:lvlJc w:val="left"/>
      <w:pPr>
        <w:tabs>
          <w:tab w:val="num" w:pos="1070"/>
        </w:tabs>
        <w:ind w:left="1070"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2" w15:restartNumberingAfterBreak="0">
    <w:nsid w:val="5D567FCF"/>
    <w:multiLevelType w:val="multilevel"/>
    <w:tmpl w:val="52E6C80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33" w15:restartNumberingAfterBreak="0">
    <w:nsid w:val="5FC546D9"/>
    <w:multiLevelType w:val="multilevel"/>
    <w:tmpl w:val="87A442B6"/>
    <w:lvl w:ilvl="0">
      <w:start w:val="1"/>
      <w:numFmt w:val="decimal"/>
      <w:lvlText w:val="%1."/>
      <w:lvlJc w:val="left"/>
      <w:pPr>
        <w:ind w:left="644" w:hanging="360"/>
      </w:pPr>
      <w:rPr>
        <w:rFonts w:ascii="Times New Roman" w:hAnsi="Times New Roman" w:hint="default"/>
        <w:b w:val="0"/>
        <w:i w:val="0"/>
        <w:color w:val="auto"/>
        <w:sz w:val="24"/>
        <w:szCs w:val="20"/>
      </w:rPr>
    </w:lvl>
    <w:lvl w:ilvl="1">
      <w:start w:val="1"/>
      <w:numFmt w:val="lowerLetter"/>
      <w:lvlText w:val="%2)"/>
      <w:lvlJc w:val="left"/>
      <w:pPr>
        <w:tabs>
          <w:tab w:val="num" w:pos="1070"/>
        </w:tabs>
        <w:ind w:left="1070" w:hanging="360"/>
      </w:pPr>
      <w:rPr>
        <w:rFonts w:hint="default"/>
        <w:b/>
        <w:i w:val="0"/>
        <w:sz w:val="24"/>
        <w:szCs w:val="24"/>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4" w15:restartNumberingAfterBreak="0">
    <w:nsid w:val="63870265"/>
    <w:multiLevelType w:val="hybridMultilevel"/>
    <w:tmpl w:val="6FCED01A"/>
    <w:lvl w:ilvl="0" w:tplc="A8BCDCA8">
      <w:start w:val="1"/>
      <w:numFmt w:val="bullet"/>
      <w:lvlText w:val=""/>
      <w:lvlJc w:val="left"/>
      <w:pPr>
        <w:ind w:left="720" w:hanging="360"/>
      </w:pPr>
      <w:rPr>
        <w:rFonts w:ascii="Wingdings" w:hAnsi="Wingdings" w:hint="default"/>
        <w:color w:val="4472C4" w:themeColor="accent1"/>
        <w:w w:val="80"/>
        <w:sz w:val="2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81765C"/>
    <w:multiLevelType w:val="hybridMultilevel"/>
    <w:tmpl w:val="D4D0D156"/>
    <w:lvl w:ilvl="0" w:tplc="0422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65537FE7"/>
    <w:multiLevelType w:val="hybridMultilevel"/>
    <w:tmpl w:val="09BA5E5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7" w15:restartNumberingAfterBreak="0">
    <w:nsid w:val="67213161"/>
    <w:multiLevelType w:val="hybridMultilevel"/>
    <w:tmpl w:val="0392369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8" w15:restartNumberingAfterBreak="0">
    <w:nsid w:val="6A120405"/>
    <w:multiLevelType w:val="hybridMultilevel"/>
    <w:tmpl w:val="A17EFBFC"/>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BFF53C3"/>
    <w:multiLevelType w:val="hybridMultilevel"/>
    <w:tmpl w:val="4E14D18C"/>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85369C3"/>
    <w:multiLevelType w:val="hybridMultilevel"/>
    <w:tmpl w:val="4E440042"/>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ADB08E9"/>
    <w:multiLevelType w:val="hybridMultilevel"/>
    <w:tmpl w:val="0C9AC0D4"/>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B0A1227"/>
    <w:multiLevelType w:val="hybridMultilevel"/>
    <w:tmpl w:val="38601EEA"/>
    <w:lvl w:ilvl="0" w:tplc="904E79BA">
      <w:start w:val="1"/>
      <w:numFmt w:val="bullet"/>
      <w:lvlText w:val=""/>
      <w:lvlJc w:val="left"/>
      <w:pPr>
        <w:ind w:left="720" w:hanging="360"/>
      </w:pPr>
      <w:rPr>
        <w:rFonts w:ascii="Wingdings" w:hAnsi="Wingdings" w:hint="default"/>
        <w:color w:val="4472C4" w:themeColor="accent1"/>
      </w:rPr>
    </w:lvl>
    <w:lvl w:ilvl="1" w:tplc="4DC4F02A">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CF6C78"/>
    <w:multiLevelType w:val="hybridMultilevel"/>
    <w:tmpl w:val="F3C43B06"/>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4D266B"/>
    <w:multiLevelType w:val="hybridMultilevel"/>
    <w:tmpl w:val="1F8A4E78"/>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ECD5816"/>
    <w:multiLevelType w:val="hybridMultilevel"/>
    <w:tmpl w:val="0CFC7FA2"/>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F6E790F"/>
    <w:multiLevelType w:val="hybridMultilevel"/>
    <w:tmpl w:val="0C685E92"/>
    <w:lvl w:ilvl="0" w:tplc="904E79BA">
      <w:start w:val="1"/>
      <w:numFmt w:val="bullet"/>
      <w:lvlText w:val=""/>
      <w:lvlJc w:val="left"/>
      <w:pPr>
        <w:ind w:left="720" w:hanging="360"/>
      </w:pPr>
      <w:rPr>
        <w:rFonts w:ascii="Wingdings" w:hAnsi="Wingdings" w:hint="default"/>
        <w:color w:val="4472C4" w:themeColor="accent1"/>
      </w:rPr>
    </w:lvl>
    <w:lvl w:ilvl="1" w:tplc="040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num>
  <w:num w:numId="4">
    <w:abstractNumId w:val="29"/>
  </w:num>
  <w:num w:numId="5">
    <w:abstractNumId w:val="0"/>
  </w:num>
  <w:num w:numId="6">
    <w:abstractNumId w:val="9"/>
  </w:num>
  <w:num w:numId="7">
    <w:abstractNumId w:val="40"/>
  </w:num>
  <w:num w:numId="8">
    <w:abstractNumId w:val="43"/>
  </w:num>
  <w:num w:numId="9">
    <w:abstractNumId w:val="31"/>
  </w:num>
  <w:num w:numId="10">
    <w:abstractNumId w:val="11"/>
    <w:lvlOverride w:ilvl="0">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7"/>
  </w:num>
  <w:num w:numId="19">
    <w:abstractNumId w:val="10"/>
  </w:num>
  <w:num w:numId="20">
    <w:abstractNumId w:val="18"/>
  </w:num>
  <w:num w:numId="21">
    <w:abstractNumId w:val="47"/>
  </w:num>
  <w:num w:numId="22">
    <w:abstractNumId w:val="33"/>
  </w:num>
  <w:num w:numId="23">
    <w:abstractNumId w:val="5"/>
  </w:num>
  <w:num w:numId="24">
    <w:abstractNumId w:val="4"/>
  </w:num>
  <w:num w:numId="25">
    <w:abstractNumId w:val="3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32"/>
  </w:num>
  <w:num w:numId="30">
    <w:abstractNumId w:val="6"/>
  </w:num>
  <w:num w:numId="31">
    <w:abstractNumId w:val="46"/>
  </w:num>
  <w:num w:numId="32">
    <w:abstractNumId w:val="15"/>
  </w:num>
  <w:num w:numId="33">
    <w:abstractNumId w:val="13"/>
  </w:num>
  <w:num w:numId="34">
    <w:abstractNumId w:val="44"/>
  </w:num>
  <w:num w:numId="35">
    <w:abstractNumId w:val="45"/>
  </w:num>
  <w:num w:numId="36">
    <w:abstractNumId w:val="20"/>
  </w:num>
  <w:num w:numId="37">
    <w:abstractNumId w:val="1"/>
  </w:num>
  <w:num w:numId="38">
    <w:abstractNumId w:val="14"/>
  </w:num>
  <w:num w:numId="39">
    <w:abstractNumId w:val="30"/>
  </w:num>
  <w:num w:numId="40">
    <w:abstractNumId w:val="42"/>
  </w:num>
  <w:num w:numId="41">
    <w:abstractNumId w:val="39"/>
  </w:num>
  <w:num w:numId="42">
    <w:abstractNumId w:val="38"/>
  </w:num>
  <w:num w:numId="43">
    <w:abstractNumId w:val="2"/>
  </w:num>
  <w:num w:numId="44">
    <w:abstractNumId w:val="8"/>
  </w:num>
  <w:num w:numId="45">
    <w:abstractNumId w:val="27"/>
  </w:num>
  <w:num w:numId="46">
    <w:abstractNumId w:val="28"/>
  </w:num>
  <w:num w:numId="47">
    <w:abstractNumId w:val="41"/>
  </w:num>
  <w:num w:numId="48">
    <w:abstractNumId w:val="12"/>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2"/>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3">
    <w:abstractNumId w:val="36"/>
  </w:num>
  <w:num w:numId="64">
    <w:abstractNumId w:val="37"/>
  </w:num>
  <w:num w:numId="65">
    <w:abstractNumId w:val="35"/>
  </w:num>
  <w:num w:numId="66">
    <w:abstractNumId w:val="25"/>
  </w:num>
  <w:num w:numId="67">
    <w:abstractNumId w:val="7"/>
  </w:num>
  <w:num w:numId="68">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defaultTabStop w:val="708"/>
  <w:hyphenationZone w:val="425"/>
  <w:drawingGridHorizontalSpacing w:val="100"/>
  <w:displayHorizontalDrawingGridEvery w:val="2"/>
  <w:characterSpacingControl w:val="doNotCompress"/>
  <w:hdrShapeDefaults>
    <o:shapedefaults v:ext="edit" spidmax="2059">
      <o:colormru v:ext="edit" colors="#c9f,#69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2D763D"/>
    <w:rsid w:val="0000042E"/>
    <w:rsid w:val="00000AD7"/>
    <w:rsid w:val="00001274"/>
    <w:rsid w:val="0000138B"/>
    <w:rsid w:val="00001A2D"/>
    <w:rsid w:val="00001CAA"/>
    <w:rsid w:val="0000264D"/>
    <w:rsid w:val="000029D4"/>
    <w:rsid w:val="00002B48"/>
    <w:rsid w:val="00004969"/>
    <w:rsid w:val="00004C40"/>
    <w:rsid w:val="00004CB2"/>
    <w:rsid w:val="00006DFB"/>
    <w:rsid w:val="000103BD"/>
    <w:rsid w:val="000110C1"/>
    <w:rsid w:val="00011D4C"/>
    <w:rsid w:val="00012004"/>
    <w:rsid w:val="00012846"/>
    <w:rsid w:val="000136C3"/>
    <w:rsid w:val="00013BB0"/>
    <w:rsid w:val="00014615"/>
    <w:rsid w:val="00014647"/>
    <w:rsid w:val="00014E53"/>
    <w:rsid w:val="00014FC5"/>
    <w:rsid w:val="000156C5"/>
    <w:rsid w:val="00015F69"/>
    <w:rsid w:val="00017027"/>
    <w:rsid w:val="000202DA"/>
    <w:rsid w:val="00021332"/>
    <w:rsid w:val="00022B6E"/>
    <w:rsid w:val="00022C52"/>
    <w:rsid w:val="00023182"/>
    <w:rsid w:val="00023503"/>
    <w:rsid w:val="00023835"/>
    <w:rsid w:val="00023A31"/>
    <w:rsid w:val="00024122"/>
    <w:rsid w:val="0002469A"/>
    <w:rsid w:val="00024A9C"/>
    <w:rsid w:val="000253DA"/>
    <w:rsid w:val="00025ECD"/>
    <w:rsid w:val="00027349"/>
    <w:rsid w:val="000275FF"/>
    <w:rsid w:val="000279C0"/>
    <w:rsid w:val="00027C00"/>
    <w:rsid w:val="00030392"/>
    <w:rsid w:val="00031442"/>
    <w:rsid w:val="000318EF"/>
    <w:rsid w:val="00031C5A"/>
    <w:rsid w:val="000328A3"/>
    <w:rsid w:val="000334DA"/>
    <w:rsid w:val="000337CB"/>
    <w:rsid w:val="00033862"/>
    <w:rsid w:val="000341C5"/>
    <w:rsid w:val="00034482"/>
    <w:rsid w:val="00034E4D"/>
    <w:rsid w:val="00035AC2"/>
    <w:rsid w:val="00035DEE"/>
    <w:rsid w:val="00035EB4"/>
    <w:rsid w:val="000369F8"/>
    <w:rsid w:val="00036FA3"/>
    <w:rsid w:val="000372C5"/>
    <w:rsid w:val="00040064"/>
    <w:rsid w:val="00040717"/>
    <w:rsid w:val="00040D10"/>
    <w:rsid w:val="00041D2C"/>
    <w:rsid w:val="0004216E"/>
    <w:rsid w:val="0004250B"/>
    <w:rsid w:val="00042DAB"/>
    <w:rsid w:val="000446C6"/>
    <w:rsid w:val="00044934"/>
    <w:rsid w:val="00044D0D"/>
    <w:rsid w:val="00044EBB"/>
    <w:rsid w:val="00045198"/>
    <w:rsid w:val="00045E6E"/>
    <w:rsid w:val="000460D9"/>
    <w:rsid w:val="00047077"/>
    <w:rsid w:val="00047175"/>
    <w:rsid w:val="00047973"/>
    <w:rsid w:val="000479A8"/>
    <w:rsid w:val="00047BD5"/>
    <w:rsid w:val="000508E3"/>
    <w:rsid w:val="00050E49"/>
    <w:rsid w:val="00050FA8"/>
    <w:rsid w:val="0005103E"/>
    <w:rsid w:val="0005143E"/>
    <w:rsid w:val="000515C3"/>
    <w:rsid w:val="000517D2"/>
    <w:rsid w:val="00051C25"/>
    <w:rsid w:val="00051C7E"/>
    <w:rsid w:val="0005255C"/>
    <w:rsid w:val="000528F7"/>
    <w:rsid w:val="00052BEA"/>
    <w:rsid w:val="0005397F"/>
    <w:rsid w:val="00053FB4"/>
    <w:rsid w:val="00054404"/>
    <w:rsid w:val="000545D8"/>
    <w:rsid w:val="0005471C"/>
    <w:rsid w:val="00054C01"/>
    <w:rsid w:val="000551E4"/>
    <w:rsid w:val="0005559A"/>
    <w:rsid w:val="00055732"/>
    <w:rsid w:val="0005575F"/>
    <w:rsid w:val="00056AD3"/>
    <w:rsid w:val="00056B4C"/>
    <w:rsid w:val="00056D88"/>
    <w:rsid w:val="00057DD2"/>
    <w:rsid w:val="00060365"/>
    <w:rsid w:val="00060484"/>
    <w:rsid w:val="000607B1"/>
    <w:rsid w:val="00061CF0"/>
    <w:rsid w:val="00062703"/>
    <w:rsid w:val="000637CB"/>
    <w:rsid w:val="00063810"/>
    <w:rsid w:val="00064AC2"/>
    <w:rsid w:val="00065AD1"/>
    <w:rsid w:val="0006675F"/>
    <w:rsid w:val="000674DA"/>
    <w:rsid w:val="000677F7"/>
    <w:rsid w:val="00067B85"/>
    <w:rsid w:val="00067EFD"/>
    <w:rsid w:val="00067F50"/>
    <w:rsid w:val="00070B8E"/>
    <w:rsid w:val="000718E6"/>
    <w:rsid w:val="00071FAA"/>
    <w:rsid w:val="0007202A"/>
    <w:rsid w:val="000722CA"/>
    <w:rsid w:val="000725FB"/>
    <w:rsid w:val="000728DB"/>
    <w:rsid w:val="00074326"/>
    <w:rsid w:val="00074440"/>
    <w:rsid w:val="0007548C"/>
    <w:rsid w:val="000762D9"/>
    <w:rsid w:val="000763F3"/>
    <w:rsid w:val="00076406"/>
    <w:rsid w:val="00076E25"/>
    <w:rsid w:val="00077287"/>
    <w:rsid w:val="00077784"/>
    <w:rsid w:val="000800DF"/>
    <w:rsid w:val="00080BC7"/>
    <w:rsid w:val="0008187F"/>
    <w:rsid w:val="00082F43"/>
    <w:rsid w:val="00083534"/>
    <w:rsid w:val="00084194"/>
    <w:rsid w:val="000845BF"/>
    <w:rsid w:val="0008478B"/>
    <w:rsid w:val="000866B3"/>
    <w:rsid w:val="00086C20"/>
    <w:rsid w:val="00086D21"/>
    <w:rsid w:val="0008737D"/>
    <w:rsid w:val="00087639"/>
    <w:rsid w:val="000879F0"/>
    <w:rsid w:val="00087D72"/>
    <w:rsid w:val="0009065A"/>
    <w:rsid w:val="00090A4F"/>
    <w:rsid w:val="00090E9B"/>
    <w:rsid w:val="00092274"/>
    <w:rsid w:val="00092C94"/>
    <w:rsid w:val="00093D71"/>
    <w:rsid w:val="00093E35"/>
    <w:rsid w:val="00094ACE"/>
    <w:rsid w:val="00094CC3"/>
    <w:rsid w:val="00094FB6"/>
    <w:rsid w:val="000958B3"/>
    <w:rsid w:val="00095D54"/>
    <w:rsid w:val="00096710"/>
    <w:rsid w:val="0009716E"/>
    <w:rsid w:val="000A0406"/>
    <w:rsid w:val="000A080A"/>
    <w:rsid w:val="000A0DAC"/>
    <w:rsid w:val="000A1710"/>
    <w:rsid w:val="000A17A4"/>
    <w:rsid w:val="000A180B"/>
    <w:rsid w:val="000A1A94"/>
    <w:rsid w:val="000A23DC"/>
    <w:rsid w:val="000A29D8"/>
    <w:rsid w:val="000A30A3"/>
    <w:rsid w:val="000A315E"/>
    <w:rsid w:val="000A433D"/>
    <w:rsid w:val="000A4ACA"/>
    <w:rsid w:val="000A4D3E"/>
    <w:rsid w:val="000A57CE"/>
    <w:rsid w:val="000A5845"/>
    <w:rsid w:val="000A6686"/>
    <w:rsid w:val="000A67AE"/>
    <w:rsid w:val="000A733D"/>
    <w:rsid w:val="000A739C"/>
    <w:rsid w:val="000A73B4"/>
    <w:rsid w:val="000A7CC2"/>
    <w:rsid w:val="000B0468"/>
    <w:rsid w:val="000B0A86"/>
    <w:rsid w:val="000B2146"/>
    <w:rsid w:val="000B3104"/>
    <w:rsid w:val="000B46E6"/>
    <w:rsid w:val="000B4880"/>
    <w:rsid w:val="000B490D"/>
    <w:rsid w:val="000B4AD5"/>
    <w:rsid w:val="000B5098"/>
    <w:rsid w:val="000B5CD9"/>
    <w:rsid w:val="000B623A"/>
    <w:rsid w:val="000B74B0"/>
    <w:rsid w:val="000B7681"/>
    <w:rsid w:val="000C02EB"/>
    <w:rsid w:val="000C0341"/>
    <w:rsid w:val="000C0786"/>
    <w:rsid w:val="000C08B8"/>
    <w:rsid w:val="000C1287"/>
    <w:rsid w:val="000C183A"/>
    <w:rsid w:val="000C18A3"/>
    <w:rsid w:val="000C1C18"/>
    <w:rsid w:val="000C3364"/>
    <w:rsid w:val="000C393E"/>
    <w:rsid w:val="000C3F5C"/>
    <w:rsid w:val="000C45AC"/>
    <w:rsid w:val="000C5204"/>
    <w:rsid w:val="000C531D"/>
    <w:rsid w:val="000C5B85"/>
    <w:rsid w:val="000C6548"/>
    <w:rsid w:val="000C6793"/>
    <w:rsid w:val="000C6B17"/>
    <w:rsid w:val="000C724B"/>
    <w:rsid w:val="000C7E7E"/>
    <w:rsid w:val="000D0F08"/>
    <w:rsid w:val="000D0FE0"/>
    <w:rsid w:val="000D157C"/>
    <w:rsid w:val="000D1761"/>
    <w:rsid w:val="000D1A25"/>
    <w:rsid w:val="000D2407"/>
    <w:rsid w:val="000D262C"/>
    <w:rsid w:val="000D4CE0"/>
    <w:rsid w:val="000D523D"/>
    <w:rsid w:val="000D5260"/>
    <w:rsid w:val="000D5498"/>
    <w:rsid w:val="000D5D1F"/>
    <w:rsid w:val="000D64D4"/>
    <w:rsid w:val="000D7D78"/>
    <w:rsid w:val="000E1303"/>
    <w:rsid w:val="000E35A3"/>
    <w:rsid w:val="000E4806"/>
    <w:rsid w:val="000E4C72"/>
    <w:rsid w:val="000E596E"/>
    <w:rsid w:val="000E658D"/>
    <w:rsid w:val="000F0A51"/>
    <w:rsid w:val="000F10AA"/>
    <w:rsid w:val="000F10FB"/>
    <w:rsid w:val="000F14BD"/>
    <w:rsid w:val="000F2015"/>
    <w:rsid w:val="000F2846"/>
    <w:rsid w:val="000F2BBD"/>
    <w:rsid w:val="000F34B3"/>
    <w:rsid w:val="000F3DA8"/>
    <w:rsid w:val="000F3F16"/>
    <w:rsid w:val="000F441D"/>
    <w:rsid w:val="000F4903"/>
    <w:rsid w:val="000F53C5"/>
    <w:rsid w:val="000F5551"/>
    <w:rsid w:val="000F5ED7"/>
    <w:rsid w:val="000F64A6"/>
    <w:rsid w:val="000F6D16"/>
    <w:rsid w:val="000F701A"/>
    <w:rsid w:val="001006DB"/>
    <w:rsid w:val="00100DC5"/>
    <w:rsid w:val="00104358"/>
    <w:rsid w:val="001043E1"/>
    <w:rsid w:val="00104DA3"/>
    <w:rsid w:val="001054C8"/>
    <w:rsid w:val="00105BB2"/>
    <w:rsid w:val="00106433"/>
    <w:rsid w:val="001068BE"/>
    <w:rsid w:val="00106D2E"/>
    <w:rsid w:val="0010757A"/>
    <w:rsid w:val="0010789B"/>
    <w:rsid w:val="00110A0E"/>
    <w:rsid w:val="0011113B"/>
    <w:rsid w:val="0011236D"/>
    <w:rsid w:val="0011247D"/>
    <w:rsid w:val="00112C20"/>
    <w:rsid w:val="00113264"/>
    <w:rsid w:val="00113DAE"/>
    <w:rsid w:val="00113DC6"/>
    <w:rsid w:val="001148D6"/>
    <w:rsid w:val="001151A4"/>
    <w:rsid w:val="00115B21"/>
    <w:rsid w:val="0011724B"/>
    <w:rsid w:val="00117C34"/>
    <w:rsid w:val="00120310"/>
    <w:rsid w:val="00120CCF"/>
    <w:rsid w:val="00121170"/>
    <w:rsid w:val="001213A9"/>
    <w:rsid w:val="00121D27"/>
    <w:rsid w:val="001235D3"/>
    <w:rsid w:val="00123AA5"/>
    <w:rsid w:val="00124D44"/>
    <w:rsid w:val="001259EB"/>
    <w:rsid w:val="00125C57"/>
    <w:rsid w:val="00126B73"/>
    <w:rsid w:val="00126FC8"/>
    <w:rsid w:val="001308C8"/>
    <w:rsid w:val="001318AC"/>
    <w:rsid w:val="00132627"/>
    <w:rsid w:val="00133518"/>
    <w:rsid w:val="001335D1"/>
    <w:rsid w:val="001337BA"/>
    <w:rsid w:val="001337CA"/>
    <w:rsid w:val="00134011"/>
    <w:rsid w:val="001351BA"/>
    <w:rsid w:val="00135877"/>
    <w:rsid w:val="00135F94"/>
    <w:rsid w:val="00136C30"/>
    <w:rsid w:val="00136D26"/>
    <w:rsid w:val="0013780E"/>
    <w:rsid w:val="00137F76"/>
    <w:rsid w:val="001403DF"/>
    <w:rsid w:val="0014059C"/>
    <w:rsid w:val="001406E2"/>
    <w:rsid w:val="00140C3C"/>
    <w:rsid w:val="00140F49"/>
    <w:rsid w:val="0014137A"/>
    <w:rsid w:val="00141B9A"/>
    <w:rsid w:val="0014335E"/>
    <w:rsid w:val="0014374A"/>
    <w:rsid w:val="00143982"/>
    <w:rsid w:val="00143A5E"/>
    <w:rsid w:val="00143BEE"/>
    <w:rsid w:val="00144BD1"/>
    <w:rsid w:val="00144BD3"/>
    <w:rsid w:val="00144CF9"/>
    <w:rsid w:val="00144E26"/>
    <w:rsid w:val="00144EE6"/>
    <w:rsid w:val="00145907"/>
    <w:rsid w:val="0014672D"/>
    <w:rsid w:val="001475F1"/>
    <w:rsid w:val="001475F2"/>
    <w:rsid w:val="00147F9B"/>
    <w:rsid w:val="00151251"/>
    <w:rsid w:val="00153C26"/>
    <w:rsid w:val="00153D8A"/>
    <w:rsid w:val="00153EA0"/>
    <w:rsid w:val="0015421E"/>
    <w:rsid w:val="00154EE9"/>
    <w:rsid w:val="00155DC7"/>
    <w:rsid w:val="00155F2A"/>
    <w:rsid w:val="001564C2"/>
    <w:rsid w:val="00156990"/>
    <w:rsid w:val="00156D8B"/>
    <w:rsid w:val="00156F36"/>
    <w:rsid w:val="00157226"/>
    <w:rsid w:val="00157FC3"/>
    <w:rsid w:val="0016029D"/>
    <w:rsid w:val="00160557"/>
    <w:rsid w:val="00160671"/>
    <w:rsid w:val="001609C1"/>
    <w:rsid w:val="00161048"/>
    <w:rsid w:val="00161337"/>
    <w:rsid w:val="00161339"/>
    <w:rsid w:val="00161C24"/>
    <w:rsid w:val="00162DDA"/>
    <w:rsid w:val="0016358E"/>
    <w:rsid w:val="001637E2"/>
    <w:rsid w:val="00163D39"/>
    <w:rsid w:val="00164876"/>
    <w:rsid w:val="00164AD6"/>
    <w:rsid w:val="00164B6F"/>
    <w:rsid w:val="00164F8D"/>
    <w:rsid w:val="001653D8"/>
    <w:rsid w:val="00167202"/>
    <w:rsid w:val="00167851"/>
    <w:rsid w:val="00167E05"/>
    <w:rsid w:val="00170025"/>
    <w:rsid w:val="00170055"/>
    <w:rsid w:val="00170907"/>
    <w:rsid w:val="00170992"/>
    <w:rsid w:val="00170D3B"/>
    <w:rsid w:val="00170EAA"/>
    <w:rsid w:val="001719D5"/>
    <w:rsid w:val="00171A08"/>
    <w:rsid w:val="00171AD5"/>
    <w:rsid w:val="00171D86"/>
    <w:rsid w:val="00172351"/>
    <w:rsid w:val="00172967"/>
    <w:rsid w:val="00172B69"/>
    <w:rsid w:val="00173203"/>
    <w:rsid w:val="0017372B"/>
    <w:rsid w:val="00173BCA"/>
    <w:rsid w:val="00173C0D"/>
    <w:rsid w:val="00175716"/>
    <w:rsid w:val="00176019"/>
    <w:rsid w:val="001772D5"/>
    <w:rsid w:val="0017739B"/>
    <w:rsid w:val="00177F62"/>
    <w:rsid w:val="00180FF8"/>
    <w:rsid w:val="00181290"/>
    <w:rsid w:val="00181BE4"/>
    <w:rsid w:val="00182523"/>
    <w:rsid w:val="00182644"/>
    <w:rsid w:val="00183308"/>
    <w:rsid w:val="001837A1"/>
    <w:rsid w:val="00183854"/>
    <w:rsid w:val="0018385B"/>
    <w:rsid w:val="00183892"/>
    <w:rsid w:val="001839D1"/>
    <w:rsid w:val="00183B4D"/>
    <w:rsid w:val="00184153"/>
    <w:rsid w:val="0018501A"/>
    <w:rsid w:val="00186DEC"/>
    <w:rsid w:val="00187AE1"/>
    <w:rsid w:val="00187CE0"/>
    <w:rsid w:val="00187D2D"/>
    <w:rsid w:val="001902D1"/>
    <w:rsid w:val="00190383"/>
    <w:rsid w:val="0019079A"/>
    <w:rsid w:val="00190B5B"/>
    <w:rsid w:val="001910A9"/>
    <w:rsid w:val="00191892"/>
    <w:rsid w:val="0019212F"/>
    <w:rsid w:val="00192C76"/>
    <w:rsid w:val="001936F0"/>
    <w:rsid w:val="00195535"/>
    <w:rsid w:val="00196218"/>
    <w:rsid w:val="00196E97"/>
    <w:rsid w:val="001971CF"/>
    <w:rsid w:val="00197746"/>
    <w:rsid w:val="001978C6"/>
    <w:rsid w:val="00197BBE"/>
    <w:rsid w:val="00197DA5"/>
    <w:rsid w:val="001A0107"/>
    <w:rsid w:val="001A10BC"/>
    <w:rsid w:val="001A2C4E"/>
    <w:rsid w:val="001A3482"/>
    <w:rsid w:val="001A3CB7"/>
    <w:rsid w:val="001A4064"/>
    <w:rsid w:val="001A40A5"/>
    <w:rsid w:val="001A4168"/>
    <w:rsid w:val="001A49ED"/>
    <w:rsid w:val="001A5866"/>
    <w:rsid w:val="001A5A6F"/>
    <w:rsid w:val="001A62D9"/>
    <w:rsid w:val="001A6EB0"/>
    <w:rsid w:val="001A6F31"/>
    <w:rsid w:val="001A79A8"/>
    <w:rsid w:val="001A7FAD"/>
    <w:rsid w:val="001B0E36"/>
    <w:rsid w:val="001B1856"/>
    <w:rsid w:val="001B45B0"/>
    <w:rsid w:val="001B475F"/>
    <w:rsid w:val="001B4F13"/>
    <w:rsid w:val="001B5598"/>
    <w:rsid w:val="001B66F5"/>
    <w:rsid w:val="001B73A2"/>
    <w:rsid w:val="001C0221"/>
    <w:rsid w:val="001C0A59"/>
    <w:rsid w:val="001C11BA"/>
    <w:rsid w:val="001C22A1"/>
    <w:rsid w:val="001C3206"/>
    <w:rsid w:val="001C32A2"/>
    <w:rsid w:val="001C36F6"/>
    <w:rsid w:val="001C3F91"/>
    <w:rsid w:val="001C4B62"/>
    <w:rsid w:val="001C5250"/>
    <w:rsid w:val="001C5AF7"/>
    <w:rsid w:val="001C5DB5"/>
    <w:rsid w:val="001C5DC1"/>
    <w:rsid w:val="001C636B"/>
    <w:rsid w:val="001C7113"/>
    <w:rsid w:val="001C7BAF"/>
    <w:rsid w:val="001C7E14"/>
    <w:rsid w:val="001D0632"/>
    <w:rsid w:val="001D57E6"/>
    <w:rsid w:val="001D5ECB"/>
    <w:rsid w:val="001D7109"/>
    <w:rsid w:val="001D7945"/>
    <w:rsid w:val="001E03FF"/>
    <w:rsid w:val="001E0742"/>
    <w:rsid w:val="001E07D8"/>
    <w:rsid w:val="001E1703"/>
    <w:rsid w:val="001E2302"/>
    <w:rsid w:val="001E2627"/>
    <w:rsid w:val="001E276F"/>
    <w:rsid w:val="001E3718"/>
    <w:rsid w:val="001E3746"/>
    <w:rsid w:val="001E37ED"/>
    <w:rsid w:val="001E3C57"/>
    <w:rsid w:val="001E4C2C"/>
    <w:rsid w:val="001E5228"/>
    <w:rsid w:val="001E56E3"/>
    <w:rsid w:val="001E57A6"/>
    <w:rsid w:val="001E58FC"/>
    <w:rsid w:val="001E64C9"/>
    <w:rsid w:val="001E65A5"/>
    <w:rsid w:val="001E66CA"/>
    <w:rsid w:val="001E7820"/>
    <w:rsid w:val="001E7D52"/>
    <w:rsid w:val="001F04D1"/>
    <w:rsid w:val="001F0564"/>
    <w:rsid w:val="001F0BB1"/>
    <w:rsid w:val="001F1746"/>
    <w:rsid w:val="001F19C7"/>
    <w:rsid w:val="001F1BE9"/>
    <w:rsid w:val="001F1C0F"/>
    <w:rsid w:val="001F1C78"/>
    <w:rsid w:val="001F2603"/>
    <w:rsid w:val="001F2EF7"/>
    <w:rsid w:val="001F2F7D"/>
    <w:rsid w:val="001F3267"/>
    <w:rsid w:val="001F370E"/>
    <w:rsid w:val="001F3DDA"/>
    <w:rsid w:val="001F5194"/>
    <w:rsid w:val="001F6B91"/>
    <w:rsid w:val="001F7CA3"/>
    <w:rsid w:val="002001A9"/>
    <w:rsid w:val="0020041E"/>
    <w:rsid w:val="00200871"/>
    <w:rsid w:val="00200DE5"/>
    <w:rsid w:val="00201082"/>
    <w:rsid w:val="00201169"/>
    <w:rsid w:val="00201786"/>
    <w:rsid w:val="00201EDC"/>
    <w:rsid w:val="00202B84"/>
    <w:rsid w:val="0020367B"/>
    <w:rsid w:val="0020373F"/>
    <w:rsid w:val="0020592E"/>
    <w:rsid w:val="00206229"/>
    <w:rsid w:val="00206835"/>
    <w:rsid w:val="00206C04"/>
    <w:rsid w:val="00207646"/>
    <w:rsid w:val="00210D64"/>
    <w:rsid w:val="0021147C"/>
    <w:rsid w:val="00211BD8"/>
    <w:rsid w:val="00211FF3"/>
    <w:rsid w:val="00212267"/>
    <w:rsid w:val="00212A6A"/>
    <w:rsid w:val="00213742"/>
    <w:rsid w:val="00214388"/>
    <w:rsid w:val="00214544"/>
    <w:rsid w:val="002147BF"/>
    <w:rsid w:val="00214CC0"/>
    <w:rsid w:val="00215629"/>
    <w:rsid w:val="00215972"/>
    <w:rsid w:val="00215C26"/>
    <w:rsid w:val="002160FF"/>
    <w:rsid w:val="00216799"/>
    <w:rsid w:val="00217C7C"/>
    <w:rsid w:val="00220D0E"/>
    <w:rsid w:val="00220D14"/>
    <w:rsid w:val="0022215B"/>
    <w:rsid w:val="00222C41"/>
    <w:rsid w:val="00222F4D"/>
    <w:rsid w:val="00223493"/>
    <w:rsid w:val="0022533A"/>
    <w:rsid w:val="00225DE9"/>
    <w:rsid w:val="00225F2C"/>
    <w:rsid w:val="00226B29"/>
    <w:rsid w:val="00226BAC"/>
    <w:rsid w:val="00226CBE"/>
    <w:rsid w:val="002271E1"/>
    <w:rsid w:val="00227214"/>
    <w:rsid w:val="002272F4"/>
    <w:rsid w:val="0022732C"/>
    <w:rsid w:val="0022791A"/>
    <w:rsid w:val="00227C2E"/>
    <w:rsid w:val="00230387"/>
    <w:rsid w:val="002306CB"/>
    <w:rsid w:val="00231312"/>
    <w:rsid w:val="00231EC7"/>
    <w:rsid w:val="00231F2A"/>
    <w:rsid w:val="00232289"/>
    <w:rsid w:val="00232377"/>
    <w:rsid w:val="002324A7"/>
    <w:rsid w:val="00232D82"/>
    <w:rsid w:val="002335A1"/>
    <w:rsid w:val="00233F78"/>
    <w:rsid w:val="00234B20"/>
    <w:rsid w:val="002352AF"/>
    <w:rsid w:val="00236C1E"/>
    <w:rsid w:val="00237387"/>
    <w:rsid w:val="0023775B"/>
    <w:rsid w:val="002379E6"/>
    <w:rsid w:val="00240126"/>
    <w:rsid w:val="00241565"/>
    <w:rsid w:val="00241670"/>
    <w:rsid w:val="002420F9"/>
    <w:rsid w:val="0024293E"/>
    <w:rsid w:val="0024345C"/>
    <w:rsid w:val="002440F0"/>
    <w:rsid w:val="002441CA"/>
    <w:rsid w:val="002447C3"/>
    <w:rsid w:val="00244961"/>
    <w:rsid w:val="00244AE6"/>
    <w:rsid w:val="00244E6F"/>
    <w:rsid w:val="002455ED"/>
    <w:rsid w:val="00245826"/>
    <w:rsid w:val="00245C14"/>
    <w:rsid w:val="002463AD"/>
    <w:rsid w:val="00246B65"/>
    <w:rsid w:val="00246C91"/>
    <w:rsid w:val="00246E70"/>
    <w:rsid w:val="002474B6"/>
    <w:rsid w:val="00250155"/>
    <w:rsid w:val="0025018A"/>
    <w:rsid w:val="00251A75"/>
    <w:rsid w:val="00251DC1"/>
    <w:rsid w:val="00252EED"/>
    <w:rsid w:val="002534C4"/>
    <w:rsid w:val="00254CF2"/>
    <w:rsid w:val="00254EA2"/>
    <w:rsid w:val="00255B0B"/>
    <w:rsid w:val="00255B3C"/>
    <w:rsid w:val="00255BC3"/>
    <w:rsid w:val="00255FB4"/>
    <w:rsid w:val="00256277"/>
    <w:rsid w:val="00256859"/>
    <w:rsid w:val="00256C48"/>
    <w:rsid w:val="00256CCB"/>
    <w:rsid w:val="00256EFD"/>
    <w:rsid w:val="00257694"/>
    <w:rsid w:val="00262132"/>
    <w:rsid w:val="0026326A"/>
    <w:rsid w:val="002636B3"/>
    <w:rsid w:val="00263C49"/>
    <w:rsid w:val="00264AE0"/>
    <w:rsid w:val="00264BFE"/>
    <w:rsid w:val="00264F7E"/>
    <w:rsid w:val="0026588B"/>
    <w:rsid w:val="00266575"/>
    <w:rsid w:val="00266725"/>
    <w:rsid w:val="002667C0"/>
    <w:rsid w:val="00266823"/>
    <w:rsid w:val="00266960"/>
    <w:rsid w:val="00266A7F"/>
    <w:rsid w:val="00266E1E"/>
    <w:rsid w:val="002670CC"/>
    <w:rsid w:val="00267576"/>
    <w:rsid w:val="00267F18"/>
    <w:rsid w:val="0027040C"/>
    <w:rsid w:val="00270B73"/>
    <w:rsid w:val="00271246"/>
    <w:rsid w:val="00272030"/>
    <w:rsid w:val="00272CF7"/>
    <w:rsid w:val="002730FD"/>
    <w:rsid w:val="00273299"/>
    <w:rsid w:val="002736A2"/>
    <w:rsid w:val="002738A6"/>
    <w:rsid w:val="00273F7E"/>
    <w:rsid w:val="00274316"/>
    <w:rsid w:val="0027459E"/>
    <w:rsid w:val="0027477E"/>
    <w:rsid w:val="00274CD9"/>
    <w:rsid w:val="00274D1D"/>
    <w:rsid w:val="00275136"/>
    <w:rsid w:val="0027547B"/>
    <w:rsid w:val="00275480"/>
    <w:rsid w:val="002810F6"/>
    <w:rsid w:val="0028169E"/>
    <w:rsid w:val="00281863"/>
    <w:rsid w:val="00283544"/>
    <w:rsid w:val="00283F56"/>
    <w:rsid w:val="00284F47"/>
    <w:rsid w:val="00285041"/>
    <w:rsid w:val="0028670B"/>
    <w:rsid w:val="00286CBC"/>
    <w:rsid w:val="002879FF"/>
    <w:rsid w:val="00287CFD"/>
    <w:rsid w:val="0029009A"/>
    <w:rsid w:val="00290363"/>
    <w:rsid w:val="00290C6D"/>
    <w:rsid w:val="002910F4"/>
    <w:rsid w:val="00292110"/>
    <w:rsid w:val="002923FF"/>
    <w:rsid w:val="00293200"/>
    <w:rsid w:val="0029427E"/>
    <w:rsid w:val="002942D9"/>
    <w:rsid w:val="0029434B"/>
    <w:rsid w:val="00294790"/>
    <w:rsid w:val="0029498C"/>
    <w:rsid w:val="002953CB"/>
    <w:rsid w:val="0029556D"/>
    <w:rsid w:val="002959BE"/>
    <w:rsid w:val="00295C77"/>
    <w:rsid w:val="00295E5D"/>
    <w:rsid w:val="0029660D"/>
    <w:rsid w:val="002967AB"/>
    <w:rsid w:val="00296EC2"/>
    <w:rsid w:val="002972A2"/>
    <w:rsid w:val="002A0366"/>
    <w:rsid w:val="002A0F05"/>
    <w:rsid w:val="002A1FA8"/>
    <w:rsid w:val="002A211D"/>
    <w:rsid w:val="002A2351"/>
    <w:rsid w:val="002A2722"/>
    <w:rsid w:val="002A2809"/>
    <w:rsid w:val="002A2EB1"/>
    <w:rsid w:val="002A3340"/>
    <w:rsid w:val="002A3A35"/>
    <w:rsid w:val="002A431C"/>
    <w:rsid w:val="002A4701"/>
    <w:rsid w:val="002A49E4"/>
    <w:rsid w:val="002A607A"/>
    <w:rsid w:val="002A622B"/>
    <w:rsid w:val="002A636C"/>
    <w:rsid w:val="002A6427"/>
    <w:rsid w:val="002A6CCC"/>
    <w:rsid w:val="002A7005"/>
    <w:rsid w:val="002A76A3"/>
    <w:rsid w:val="002B0621"/>
    <w:rsid w:val="002B0F8D"/>
    <w:rsid w:val="002B1997"/>
    <w:rsid w:val="002B229F"/>
    <w:rsid w:val="002B25C5"/>
    <w:rsid w:val="002B27C6"/>
    <w:rsid w:val="002B2C24"/>
    <w:rsid w:val="002B2D0E"/>
    <w:rsid w:val="002B354A"/>
    <w:rsid w:val="002B47B3"/>
    <w:rsid w:val="002B4C3E"/>
    <w:rsid w:val="002B4DD7"/>
    <w:rsid w:val="002B5341"/>
    <w:rsid w:val="002B54AD"/>
    <w:rsid w:val="002B5A8D"/>
    <w:rsid w:val="002B5EF6"/>
    <w:rsid w:val="002B5FBE"/>
    <w:rsid w:val="002B64CE"/>
    <w:rsid w:val="002B7147"/>
    <w:rsid w:val="002B7CCC"/>
    <w:rsid w:val="002B7F52"/>
    <w:rsid w:val="002C073C"/>
    <w:rsid w:val="002C108B"/>
    <w:rsid w:val="002C15E2"/>
    <w:rsid w:val="002C320D"/>
    <w:rsid w:val="002C32B6"/>
    <w:rsid w:val="002C3C0B"/>
    <w:rsid w:val="002C3D78"/>
    <w:rsid w:val="002C3F0E"/>
    <w:rsid w:val="002C4BA9"/>
    <w:rsid w:val="002C53CC"/>
    <w:rsid w:val="002C5EAB"/>
    <w:rsid w:val="002C6568"/>
    <w:rsid w:val="002C79AF"/>
    <w:rsid w:val="002C7B02"/>
    <w:rsid w:val="002D0018"/>
    <w:rsid w:val="002D06B8"/>
    <w:rsid w:val="002D1300"/>
    <w:rsid w:val="002D140D"/>
    <w:rsid w:val="002D28D7"/>
    <w:rsid w:val="002D2EB9"/>
    <w:rsid w:val="002D3F47"/>
    <w:rsid w:val="002D4615"/>
    <w:rsid w:val="002D53D8"/>
    <w:rsid w:val="002D58FE"/>
    <w:rsid w:val="002D5DBA"/>
    <w:rsid w:val="002D6C0C"/>
    <w:rsid w:val="002D6C89"/>
    <w:rsid w:val="002D737B"/>
    <w:rsid w:val="002D7387"/>
    <w:rsid w:val="002D763D"/>
    <w:rsid w:val="002D793A"/>
    <w:rsid w:val="002E09D3"/>
    <w:rsid w:val="002E2B86"/>
    <w:rsid w:val="002E39DC"/>
    <w:rsid w:val="002E4AED"/>
    <w:rsid w:val="002E58AA"/>
    <w:rsid w:val="002E61BB"/>
    <w:rsid w:val="002E6F7D"/>
    <w:rsid w:val="002E7BEF"/>
    <w:rsid w:val="002F0681"/>
    <w:rsid w:val="002F184C"/>
    <w:rsid w:val="002F2BB2"/>
    <w:rsid w:val="002F36F6"/>
    <w:rsid w:val="002F3A59"/>
    <w:rsid w:val="002F3C3D"/>
    <w:rsid w:val="002F42B3"/>
    <w:rsid w:val="002F4640"/>
    <w:rsid w:val="002F4A17"/>
    <w:rsid w:val="002F62F4"/>
    <w:rsid w:val="002F6961"/>
    <w:rsid w:val="002F7CB4"/>
    <w:rsid w:val="00300163"/>
    <w:rsid w:val="003004B2"/>
    <w:rsid w:val="00300608"/>
    <w:rsid w:val="00301134"/>
    <w:rsid w:val="003013FC"/>
    <w:rsid w:val="003018BC"/>
    <w:rsid w:val="0030193F"/>
    <w:rsid w:val="00302C6F"/>
    <w:rsid w:val="00302FDD"/>
    <w:rsid w:val="0030363C"/>
    <w:rsid w:val="00303799"/>
    <w:rsid w:val="003047FD"/>
    <w:rsid w:val="00304857"/>
    <w:rsid w:val="003067C9"/>
    <w:rsid w:val="0030729D"/>
    <w:rsid w:val="00310821"/>
    <w:rsid w:val="00311F02"/>
    <w:rsid w:val="00312A4A"/>
    <w:rsid w:val="00312E94"/>
    <w:rsid w:val="00312EC5"/>
    <w:rsid w:val="0031362F"/>
    <w:rsid w:val="00313A85"/>
    <w:rsid w:val="00313E1C"/>
    <w:rsid w:val="003146AE"/>
    <w:rsid w:val="003147B6"/>
    <w:rsid w:val="00315A2B"/>
    <w:rsid w:val="003165B7"/>
    <w:rsid w:val="00316B05"/>
    <w:rsid w:val="003215D2"/>
    <w:rsid w:val="00321645"/>
    <w:rsid w:val="003217B4"/>
    <w:rsid w:val="00321EAC"/>
    <w:rsid w:val="00321FC5"/>
    <w:rsid w:val="003223C3"/>
    <w:rsid w:val="00322694"/>
    <w:rsid w:val="003233AA"/>
    <w:rsid w:val="0032397C"/>
    <w:rsid w:val="0032575C"/>
    <w:rsid w:val="00326EFA"/>
    <w:rsid w:val="003273B2"/>
    <w:rsid w:val="003277EC"/>
    <w:rsid w:val="00327A44"/>
    <w:rsid w:val="003308E5"/>
    <w:rsid w:val="00331E68"/>
    <w:rsid w:val="00331FB4"/>
    <w:rsid w:val="00332676"/>
    <w:rsid w:val="003339EC"/>
    <w:rsid w:val="00333AD9"/>
    <w:rsid w:val="00333CA6"/>
    <w:rsid w:val="00334462"/>
    <w:rsid w:val="003359A0"/>
    <w:rsid w:val="003365BD"/>
    <w:rsid w:val="0033685D"/>
    <w:rsid w:val="00336ABA"/>
    <w:rsid w:val="0033755C"/>
    <w:rsid w:val="00337C98"/>
    <w:rsid w:val="0034044D"/>
    <w:rsid w:val="003408F0"/>
    <w:rsid w:val="00341039"/>
    <w:rsid w:val="00341131"/>
    <w:rsid w:val="00341D33"/>
    <w:rsid w:val="00341FFB"/>
    <w:rsid w:val="00342919"/>
    <w:rsid w:val="00342CEB"/>
    <w:rsid w:val="0034319D"/>
    <w:rsid w:val="00343273"/>
    <w:rsid w:val="0034334E"/>
    <w:rsid w:val="003440AB"/>
    <w:rsid w:val="003463CB"/>
    <w:rsid w:val="0034643A"/>
    <w:rsid w:val="003466DC"/>
    <w:rsid w:val="00347A91"/>
    <w:rsid w:val="0035085B"/>
    <w:rsid w:val="0035164F"/>
    <w:rsid w:val="00351EC1"/>
    <w:rsid w:val="0035299F"/>
    <w:rsid w:val="00352C1E"/>
    <w:rsid w:val="00352D18"/>
    <w:rsid w:val="0035393B"/>
    <w:rsid w:val="00353AD6"/>
    <w:rsid w:val="00353E07"/>
    <w:rsid w:val="003546F3"/>
    <w:rsid w:val="0035503E"/>
    <w:rsid w:val="003557D9"/>
    <w:rsid w:val="0035598C"/>
    <w:rsid w:val="00356631"/>
    <w:rsid w:val="003566C9"/>
    <w:rsid w:val="0035733E"/>
    <w:rsid w:val="00357BED"/>
    <w:rsid w:val="00360226"/>
    <w:rsid w:val="00360FCA"/>
    <w:rsid w:val="0036115B"/>
    <w:rsid w:val="0036182A"/>
    <w:rsid w:val="0036315B"/>
    <w:rsid w:val="00363F21"/>
    <w:rsid w:val="0036462C"/>
    <w:rsid w:val="003647B7"/>
    <w:rsid w:val="00364DC4"/>
    <w:rsid w:val="003654C5"/>
    <w:rsid w:val="003655C0"/>
    <w:rsid w:val="003661CA"/>
    <w:rsid w:val="003666A1"/>
    <w:rsid w:val="0036677D"/>
    <w:rsid w:val="00366B26"/>
    <w:rsid w:val="00367409"/>
    <w:rsid w:val="00367523"/>
    <w:rsid w:val="00367E97"/>
    <w:rsid w:val="00370B17"/>
    <w:rsid w:val="003716AE"/>
    <w:rsid w:val="003727E6"/>
    <w:rsid w:val="00372918"/>
    <w:rsid w:val="00373669"/>
    <w:rsid w:val="00374834"/>
    <w:rsid w:val="00374C4C"/>
    <w:rsid w:val="00375864"/>
    <w:rsid w:val="003769A3"/>
    <w:rsid w:val="00376B7D"/>
    <w:rsid w:val="003774C0"/>
    <w:rsid w:val="0038004E"/>
    <w:rsid w:val="003801CF"/>
    <w:rsid w:val="003805F8"/>
    <w:rsid w:val="00380700"/>
    <w:rsid w:val="00380A4C"/>
    <w:rsid w:val="0038276C"/>
    <w:rsid w:val="0038305B"/>
    <w:rsid w:val="00383161"/>
    <w:rsid w:val="0038332F"/>
    <w:rsid w:val="0038335D"/>
    <w:rsid w:val="00383473"/>
    <w:rsid w:val="00383EFF"/>
    <w:rsid w:val="00384321"/>
    <w:rsid w:val="00384B82"/>
    <w:rsid w:val="003862B0"/>
    <w:rsid w:val="00386699"/>
    <w:rsid w:val="00386B0B"/>
    <w:rsid w:val="00387634"/>
    <w:rsid w:val="00387C28"/>
    <w:rsid w:val="00391016"/>
    <w:rsid w:val="00391839"/>
    <w:rsid w:val="00391B10"/>
    <w:rsid w:val="00392232"/>
    <w:rsid w:val="00392908"/>
    <w:rsid w:val="003936D5"/>
    <w:rsid w:val="00393AB2"/>
    <w:rsid w:val="00393BB2"/>
    <w:rsid w:val="0039401E"/>
    <w:rsid w:val="003945D2"/>
    <w:rsid w:val="00394B60"/>
    <w:rsid w:val="003955D1"/>
    <w:rsid w:val="0039659A"/>
    <w:rsid w:val="003A053B"/>
    <w:rsid w:val="003A073D"/>
    <w:rsid w:val="003A0CB1"/>
    <w:rsid w:val="003A1386"/>
    <w:rsid w:val="003A18D4"/>
    <w:rsid w:val="003A1A26"/>
    <w:rsid w:val="003A335B"/>
    <w:rsid w:val="003A359D"/>
    <w:rsid w:val="003A3887"/>
    <w:rsid w:val="003A39E3"/>
    <w:rsid w:val="003A4F21"/>
    <w:rsid w:val="003A502B"/>
    <w:rsid w:val="003A5816"/>
    <w:rsid w:val="003A59CB"/>
    <w:rsid w:val="003A5D85"/>
    <w:rsid w:val="003A5E46"/>
    <w:rsid w:val="003A6C07"/>
    <w:rsid w:val="003A792F"/>
    <w:rsid w:val="003B05DD"/>
    <w:rsid w:val="003B0CD8"/>
    <w:rsid w:val="003B158C"/>
    <w:rsid w:val="003B24CA"/>
    <w:rsid w:val="003B2B44"/>
    <w:rsid w:val="003B2CD3"/>
    <w:rsid w:val="003B3016"/>
    <w:rsid w:val="003B3019"/>
    <w:rsid w:val="003B320A"/>
    <w:rsid w:val="003B3636"/>
    <w:rsid w:val="003B3DA4"/>
    <w:rsid w:val="003B408C"/>
    <w:rsid w:val="003B420F"/>
    <w:rsid w:val="003B450F"/>
    <w:rsid w:val="003B4633"/>
    <w:rsid w:val="003B468A"/>
    <w:rsid w:val="003B49E6"/>
    <w:rsid w:val="003B7DF6"/>
    <w:rsid w:val="003C0DAD"/>
    <w:rsid w:val="003C1230"/>
    <w:rsid w:val="003C1822"/>
    <w:rsid w:val="003C213F"/>
    <w:rsid w:val="003C26E3"/>
    <w:rsid w:val="003C2760"/>
    <w:rsid w:val="003C2CDB"/>
    <w:rsid w:val="003C3E32"/>
    <w:rsid w:val="003C4312"/>
    <w:rsid w:val="003C4662"/>
    <w:rsid w:val="003C46EB"/>
    <w:rsid w:val="003C49C9"/>
    <w:rsid w:val="003C4BB1"/>
    <w:rsid w:val="003C4E1C"/>
    <w:rsid w:val="003C521E"/>
    <w:rsid w:val="003C5277"/>
    <w:rsid w:val="003C561F"/>
    <w:rsid w:val="003C65AA"/>
    <w:rsid w:val="003C65EE"/>
    <w:rsid w:val="003C72B9"/>
    <w:rsid w:val="003D02B1"/>
    <w:rsid w:val="003D0442"/>
    <w:rsid w:val="003D07E1"/>
    <w:rsid w:val="003D13A6"/>
    <w:rsid w:val="003D2011"/>
    <w:rsid w:val="003D215F"/>
    <w:rsid w:val="003D36C8"/>
    <w:rsid w:val="003D3841"/>
    <w:rsid w:val="003D3E47"/>
    <w:rsid w:val="003D4450"/>
    <w:rsid w:val="003D79C2"/>
    <w:rsid w:val="003E018B"/>
    <w:rsid w:val="003E055E"/>
    <w:rsid w:val="003E0DE6"/>
    <w:rsid w:val="003E0FA8"/>
    <w:rsid w:val="003E16F6"/>
    <w:rsid w:val="003E2141"/>
    <w:rsid w:val="003E2354"/>
    <w:rsid w:val="003E240E"/>
    <w:rsid w:val="003E2B37"/>
    <w:rsid w:val="003E32F9"/>
    <w:rsid w:val="003E3EC4"/>
    <w:rsid w:val="003E4923"/>
    <w:rsid w:val="003E5485"/>
    <w:rsid w:val="003E67D7"/>
    <w:rsid w:val="003E6A0C"/>
    <w:rsid w:val="003F1201"/>
    <w:rsid w:val="003F1622"/>
    <w:rsid w:val="003F1A5E"/>
    <w:rsid w:val="003F2568"/>
    <w:rsid w:val="003F272A"/>
    <w:rsid w:val="003F3068"/>
    <w:rsid w:val="003F3072"/>
    <w:rsid w:val="003F3889"/>
    <w:rsid w:val="003F3DA1"/>
    <w:rsid w:val="003F3EB8"/>
    <w:rsid w:val="003F3FC0"/>
    <w:rsid w:val="003F4CB7"/>
    <w:rsid w:val="003F57D0"/>
    <w:rsid w:val="003F62F3"/>
    <w:rsid w:val="003F6899"/>
    <w:rsid w:val="003F6BEA"/>
    <w:rsid w:val="003F6DB0"/>
    <w:rsid w:val="003F788E"/>
    <w:rsid w:val="003F7EC1"/>
    <w:rsid w:val="004004FB"/>
    <w:rsid w:val="00400530"/>
    <w:rsid w:val="00400995"/>
    <w:rsid w:val="004010B7"/>
    <w:rsid w:val="00401A80"/>
    <w:rsid w:val="0040233F"/>
    <w:rsid w:val="00402BD0"/>
    <w:rsid w:val="004036D6"/>
    <w:rsid w:val="00403EA1"/>
    <w:rsid w:val="00403EE5"/>
    <w:rsid w:val="004045B6"/>
    <w:rsid w:val="00405212"/>
    <w:rsid w:val="00405323"/>
    <w:rsid w:val="00405506"/>
    <w:rsid w:val="004062B5"/>
    <w:rsid w:val="0040676E"/>
    <w:rsid w:val="0040682D"/>
    <w:rsid w:val="00406EB3"/>
    <w:rsid w:val="004072EC"/>
    <w:rsid w:val="004078AF"/>
    <w:rsid w:val="0041019E"/>
    <w:rsid w:val="0041063C"/>
    <w:rsid w:val="00410A97"/>
    <w:rsid w:val="004115C2"/>
    <w:rsid w:val="004117CA"/>
    <w:rsid w:val="00411A6C"/>
    <w:rsid w:val="004120A5"/>
    <w:rsid w:val="00412B1F"/>
    <w:rsid w:val="00413198"/>
    <w:rsid w:val="004136C2"/>
    <w:rsid w:val="00413FB8"/>
    <w:rsid w:val="00414017"/>
    <w:rsid w:val="0041416B"/>
    <w:rsid w:val="0041424D"/>
    <w:rsid w:val="0041498A"/>
    <w:rsid w:val="00414E08"/>
    <w:rsid w:val="00415041"/>
    <w:rsid w:val="00415514"/>
    <w:rsid w:val="00416085"/>
    <w:rsid w:val="004201E0"/>
    <w:rsid w:val="00420776"/>
    <w:rsid w:val="00420B19"/>
    <w:rsid w:val="004213B5"/>
    <w:rsid w:val="004223D6"/>
    <w:rsid w:val="00422CB2"/>
    <w:rsid w:val="00422CC6"/>
    <w:rsid w:val="00422FAB"/>
    <w:rsid w:val="00423029"/>
    <w:rsid w:val="00423362"/>
    <w:rsid w:val="00424751"/>
    <w:rsid w:val="00424836"/>
    <w:rsid w:val="00424CA7"/>
    <w:rsid w:val="004257AA"/>
    <w:rsid w:val="004267E1"/>
    <w:rsid w:val="00427400"/>
    <w:rsid w:val="00430B3C"/>
    <w:rsid w:val="00430BB9"/>
    <w:rsid w:val="00430DAA"/>
    <w:rsid w:val="00431C3C"/>
    <w:rsid w:val="00432E46"/>
    <w:rsid w:val="0043341C"/>
    <w:rsid w:val="00433CD7"/>
    <w:rsid w:val="00433D55"/>
    <w:rsid w:val="00433DF9"/>
    <w:rsid w:val="00433E31"/>
    <w:rsid w:val="0043479D"/>
    <w:rsid w:val="00434FCB"/>
    <w:rsid w:val="00435927"/>
    <w:rsid w:val="00435DDB"/>
    <w:rsid w:val="00435E43"/>
    <w:rsid w:val="0043625C"/>
    <w:rsid w:val="00436466"/>
    <w:rsid w:val="00436B33"/>
    <w:rsid w:val="00437148"/>
    <w:rsid w:val="0043723F"/>
    <w:rsid w:val="0043743F"/>
    <w:rsid w:val="00437443"/>
    <w:rsid w:val="0043773C"/>
    <w:rsid w:val="004377CC"/>
    <w:rsid w:val="00437E59"/>
    <w:rsid w:val="004401A9"/>
    <w:rsid w:val="00440261"/>
    <w:rsid w:val="0044046B"/>
    <w:rsid w:val="004424B5"/>
    <w:rsid w:val="00442A04"/>
    <w:rsid w:val="00442BC8"/>
    <w:rsid w:val="00443C1F"/>
    <w:rsid w:val="00444719"/>
    <w:rsid w:val="00444824"/>
    <w:rsid w:val="00444D56"/>
    <w:rsid w:val="0044552F"/>
    <w:rsid w:val="00445D18"/>
    <w:rsid w:val="0044641A"/>
    <w:rsid w:val="00446489"/>
    <w:rsid w:val="00446763"/>
    <w:rsid w:val="00447C56"/>
    <w:rsid w:val="00447DC6"/>
    <w:rsid w:val="00447DD3"/>
    <w:rsid w:val="004506EA"/>
    <w:rsid w:val="0045128F"/>
    <w:rsid w:val="00451A0A"/>
    <w:rsid w:val="00451C14"/>
    <w:rsid w:val="00451D7E"/>
    <w:rsid w:val="00451DFB"/>
    <w:rsid w:val="0045208F"/>
    <w:rsid w:val="00452111"/>
    <w:rsid w:val="00453604"/>
    <w:rsid w:val="004538F9"/>
    <w:rsid w:val="0045399B"/>
    <w:rsid w:val="00454823"/>
    <w:rsid w:val="00454864"/>
    <w:rsid w:val="0045506F"/>
    <w:rsid w:val="004566C5"/>
    <w:rsid w:val="00456713"/>
    <w:rsid w:val="00456A15"/>
    <w:rsid w:val="004571ED"/>
    <w:rsid w:val="00461A91"/>
    <w:rsid w:val="00461DCB"/>
    <w:rsid w:val="00461F3B"/>
    <w:rsid w:val="00462AC3"/>
    <w:rsid w:val="00462D80"/>
    <w:rsid w:val="004637B5"/>
    <w:rsid w:val="00463876"/>
    <w:rsid w:val="00463CA9"/>
    <w:rsid w:val="00464251"/>
    <w:rsid w:val="00464C71"/>
    <w:rsid w:val="00465C19"/>
    <w:rsid w:val="004665E0"/>
    <w:rsid w:val="00466AFA"/>
    <w:rsid w:val="00466CE3"/>
    <w:rsid w:val="00466EAB"/>
    <w:rsid w:val="004671F2"/>
    <w:rsid w:val="00467523"/>
    <w:rsid w:val="00467537"/>
    <w:rsid w:val="00467B45"/>
    <w:rsid w:val="00470913"/>
    <w:rsid w:val="00470C5C"/>
    <w:rsid w:val="0047116B"/>
    <w:rsid w:val="00471E29"/>
    <w:rsid w:val="004720CE"/>
    <w:rsid w:val="004721C3"/>
    <w:rsid w:val="004723AF"/>
    <w:rsid w:val="0047250E"/>
    <w:rsid w:val="00472737"/>
    <w:rsid w:val="0047274D"/>
    <w:rsid w:val="0047530D"/>
    <w:rsid w:val="00475824"/>
    <w:rsid w:val="00475CE2"/>
    <w:rsid w:val="004761A2"/>
    <w:rsid w:val="00476527"/>
    <w:rsid w:val="00477018"/>
    <w:rsid w:val="00477BA9"/>
    <w:rsid w:val="00477C22"/>
    <w:rsid w:val="00480D9A"/>
    <w:rsid w:val="0048139E"/>
    <w:rsid w:val="0048143E"/>
    <w:rsid w:val="00481660"/>
    <w:rsid w:val="00481B9A"/>
    <w:rsid w:val="0048203A"/>
    <w:rsid w:val="004827D5"/>
    <w:rsid w:val="00482854"/>
    <w:rsid w:val="0048470F"/>
    <w:rsid w:val="004847D4"/>
    <w:rsid w:val="00484EEA"/>
    <w:rsid w:val="00485D03"/>
    <w:rsid w:val="00485D58"/>
    <w:rsid w:val="00485E1B"/>
    <w:rsid w:val="00486DE6"/>
    <w:rsid w:val="00486E8E"/>
    <w:rsid w:val="00487A3C"/>
    <w:rsid w:val="00487B57"/>
    <w:rsid w:val="004901E4"/>
    <w:rsid w:val="0049196D"/>
    <w:rsid w:val="00491B1A"/>
    <w:rsid w:val="00492419"/>
    <w:rsid w:val="00492FEF"/>
    <w:rsid w:val="00493392"/>
    <w:rsid w:val="00493954"/>
    <w:rsid w:val="00493980"/>
    <w:rsid w:val="00494E3D"/>
    <w:rsid w:val="004966BF"/>
    <w:rsid w:val="00496C1B"/>
    <w:rsid w:val="004A0F99"/>
    <w:rsid w:val="004A1DDD"/>
    <w:rsid w:val="004A25A3"/>
    <w:rsid w:val="004A296A"/>
    <w:rsid w:val="004A33F4"/>
    <w:rsid w:val="004A3BCB"/>
    <w:rsid w:val="004A45E4"/>
    <w:rsid w:val="004A4850"/>
    <w:rsid w:val="004A48E5"/>
    <w:rsid w:val="004A5C3B"/>
    <w:rsid w:val="004A629C"/>
    <w:rsid w:val="004A6388"/>
    <w:rsid w:val="004A66B1"/>
    <w:rsid w:val="004A6CE5"/>
    <w:rsid w:val="004A72AD"/>
    <w:rsid w:val="004B0018"/>
    <w:rsid w:val="004B083E"/>
    <w:rsid w:val="004B0D41"/>
    <w:rsid w:val="004B13B5"/>
    <w:rsid w:val="004B1474"/>
    <w:rsid w:val="004B22C2"/>
    <w:rsid w:val="004B3EDC"/>
    <w:rsid w:val="004B410B"/>
    <w:rsid w:val="004B419A"/>
    <w:rsid w:val="004B4349"/>
    <w:rsid w:val="004B4F54"/>
    <w:rsid w:val="004B518B"/>
    <w:rsid w:val="004B540A"/>
    <w:rsid w:val="004B5A48"/>
    <w:rsid w:val="004B600B"/>
    <w:rsid w:val="004B66F5"/>
    <w:rsid w:val="004B6EE4"/>
    <w:rsid w:val="004B7088"/>
    <w:rsid w:val="004B743F"/>
    <w:rsid w:val="004B7908"/>
    <w:rsid w:val="004C0059"/>
    <w:rsid w:val="004C01D4"/>
    <w:rsid w:val="004C05DF"/>
    <w:rsid w:val="004C092A"/>
    <w:rsid w:val="004C3082"/>
    <w:rsid w:val="004C365A"/>
    <w:rsid w:val="004C37F6"/>
    <w:rsid w:val="004C45F1"/>
    <w:rsid w:val="004C4723"/>
    <w:rsid w:val="004C4DA7"/>
    <w:rsid w:val="004C5549"/>
    <w:rsid w:val="004C58ED"/>
    <w:rsid w:val="004C5ACC"/>
    <w:rsid w:val="004D087B"/>
    <w:rsid w:val="004D0CFC"/>
    <w:rsid w:val="004D2205"/>
    <w:rsid w:val="004D2CBB"/>
    <w:rsid w:val="004D3619"/>
    <w:rsid w:val="004D4C19"/>
    <w:rsid w:val="004D5816"/>
    <w:rsid w:val="004D5906"/>
    <w:rsid w:val="004D5A06"/>
    <w:rsid w:val="004D5A3F"/>
    <w:rsid w:val="004D65A6"/>
    <w:rsid w:val="004D70C1"/>
    <w:rsid w:val="004D70F9"/>
    <w:rsid w:val="004E0001"/>
    <w:rsid w:val="004E125A"/>
    <w:rsid w:val="004E166C"/>
    <w:rsid w:val="004E1C56"/>
    <w:rsid w:val="004E22F0"/>
    <w:rsid w:val="004E266F"/>
    <w:rsid w:val="004E364A"/>
    <w:rsid w:val="004E38E6"/>
    <w:rsid w:val="004E3D9F"/>
    <w:rsid w:val="004E3F86"/>
    <w:rsid w:val="004E462A"/>
    <w:rsid w:val="004E4752"/>
    <w:rsid w:val="004E6631"/>
    <w:rsid w:val="004E7349"/>
    <w:rsid w:val="004E774D"/>
    <w:rsid w:val="004E7760"/>
    <w:rsid w:val="004E7D3D"/>
    <w:rsid w:val="004E7DF9"/>
    <w:rsid w:val="004F0030"/>
    <w:rsid w:val="004F1E37"/>
    <w:rsid w:val="004F2A3D"/>
    <w:rsid w:val="004F34AA"/>
    <w:rsid w:val="004F36D9"/>
    <w:rsid w:val="004F373C"/>
    <w:rsid w:val="004F3804"/>
    <w:rsid w:val="004F3DE2"/>
    <w:rsid w:val="004F433E"/>
    <w:rsid w:val="004F4502"/>
    <w:rsid w:val="004F4D45"/>
    <w:rsid w:val="004F5418"/>
    <w:rsid w:val="004F64CA"/>
    <w:rsid w:val="004F700F"/>
    <w:rsid w:val="004F7766"/>
    <w:rsid w:val="00500315"/>
    <w:rsid w:val="0050074C"/>
    <w:rsid w:val="005007C6"/>
    <w:rsid w:val="00500CEC"/>
    <w:rsid w:val="00502629"/>
    <w:rsid w:val="00502B94"/>
    <w:rsid w:val="0050318C"/>
    <w:rsid w:val="0050366F"/>
    <w:rsid w:val="005039E6"/>
    <w:rsid w:val="00503DDA"/>
    <w:rsid w:val="00504653"/>
    <w:rsid w:val="005049DC"/>
    <w:rsid w:val="00505342"/>
    <w:rsid w:val="00505C0C"/>
    <w:rsid w:val="00506C2A"/>
    <w:rsid w:val="00507FDA"/>
    <w:rsid w:val="00510980"/>
    <w:rsid w:val="00511FBF"/>
    <w:rsid w:val="0051279F"/>
    <w:rsid w:val="00512997"/>
    <w:rsid w:val="00512D0D"/>
    <w:rsid w:val="00512E2C"/>
    <w:rsid w:val="00513609"/>
    <w:rsid w:val="0051371D"/>
    <w:rsid w:val="005138DD"/>
    <w:rsid w:val="00513EEB"/>
    <w:rsid w:val="00514E19"/>
    <w:rsid w:val="00515694"/>
    <w:rsid w:val="00516825"/>
    <w:rsid w:val="00516A62"/>
    <w:rsid w:val="005179DA"/>
    <w:rsid w:val="00517F39"/>
    <w:rsid w:val="005202AC"/>
    <w:rsid w:val="005217F2"/>
    <w:rsid w:val="0052337E"/>
    <w:rsid w:val="005234BA"/>
    <w:rsid w:val="005238F7"/>
    <w:rsid w:val="00523EC4"/>
    <w:rsid w:val="005242F1"/>
    <w:rsid w:val="005248D5"/>
    <w:rsid w:val="00525054"/>
    <w:rsid w:val="005253EA"/>
    <w:rsid w:val="0052571B"/>
    <w:rsid w:val="00525759"/>
    <w:rsid w:val="00526382"/>
    <w:rsid w:val="005265C2"/>
    <w:rsid w:val="00526DCC"/>
    <w:rsid w:val="00526E48"/>
    <w:rsid w:val="00530198"/>
    <w:rsid w:val="00531C91"/>
    <w:rsid w:val="005340FF"/>
    <w:rsid w:val="005345FA"/>
    <w:rsid w:val="00535851"/>
    <w:rsid w:val="00535CA5"/>
    <w:rsid w:val="00536834"/>
    <w:rsid w:val="00536AE1"/>
    <w:rsid w:val="0053709B"/>
    <w:rsid w:val="005378CF"/>
    <w:rsid w:val="00537D6F"/>
    <w:rsid w:val="0054034E"/>
    <w:rsid w:val="005405AA"/>
    <w:rsid w:val="00541065"/>
    <w:rsid w:val="005425A9"/>
    <w:rsid w:val="00543528"/>
    <w:rsid w:val="005436D1"/>
    <w:rsid w:val="00543AD7"/>
    <w:rsid w:val="00543FDA"/>
    <w:rsid w:val="00544404"/>
    <w:rsid w:val="005448AB"/>
    <w:rsid w:val="005449E7"/>
    <w:rsid w:val="005458EC"/>
    <w:rsid w:val="005472CF"/>
    <w:rsid w:val="005502D0"/>
    <w:rsid w:val="00550395"/>
    <w:rsid w:val="00551257"/>
    <w:rsid w:val="00551EFC"/>
    <w:rsid w:val="00551FC7"/>
    <w:rsid w:val="0055357D"/>
    <w:rsid w:val="005538AE"/>
    <w:rsid w:val="00553ADE"/>
    <w:rsid w:val="00554533"/>
    <w:rsid w:val="00554E09"/>
    <w:rsid w:val="00556A22"/>
    <w:rsid w:val="00556E04"/>
    <w:rsid w:val="00557065"/>
    <w:rsid w:val="00557425"/>
    <w:rsid w:val="00557528"/>
    <w:rsid w:val="00560633"/>
    <w:rsid w:val="005617F2"/>
    <w:rsid w:val="00561A79"/>
    <w:rsid w:val="00562951"/>
    <w:rsid w:val="005629B8"/>
    <w:rsid w:val="00563C77"/>
    <w:rsid w:val="00565934"/>
    <w:rsid w:val="00565AEC"/>
    <w:rsid w:val="00566410"/>
    <w:rsid w:val="0056681C"/>
    <w:rsid w:val="00566BB6"/>
    <w:rsid w:val="00566BBE"/>
    <w:rsid w:val="005701A6"/>
    <w:rsid w:val="00570F9E"/>
    <w:rsid w:val="00571098"/>
    <w:rsid w:val="00571547"/>
    <w:rsid w:val="00572250"/>
    <w:rsid w:val="00573BB2"/>
    <w:rsid w:val="00573E0F"/>
    <w:rsid w:val="00574522"/>
    <w:rsid w:val="005745FB"/>
    <w:rsid w:val="0057696E"/>
    <w:rsid w:val="005802FF"/>
    <w:rsid w:val="00581F2A"/>
    <w:rsid w:val="00582217"/>
    <w:rsid w:val="00582505"/>
    <w:rsid w:val="00582675"/>
    <w:rsid w:val="00582CE1"/>
    <w:rsid w:val="00583161"/>
    <w:rsid w:val="00583748"/>
    <w:rsid w:val="00583E58"/>
    <w:rsid w:val="00583E62"/>
    <w:rsid w:val="005851B3"/>
    <w:rsid w:val="0058563B"/>
    <w:rsid w:val="00585AC4"/>
    <w:rsid w:val="00585B8A"/>
    <w:rsid w:val="00585CDB"/>
    <w:rsid w:val="00585D65"/>
    <w:rsid w:val="00586ABD"/>
    <w:rsid w:val="00586F90"/>
    <w:rsid w:val="005870C1"/>
    <w:rsid w:val="005876F0"/>
    <w:rsid w:val="0058773D"/>
    <w:rsid w:val="00587D0D"/>
    <w:rsid w:val="00587F19"/>
    <w:rsid w:val="00587FD7"/>
    <w:rsid w:val="005910A5"/>
    <w:rsid w:val="00591A11"/>
    <w:rsid w:val="00591FD7"/>
    <w:rsid w:val="00592909"/>
    <w:rsid w:val="00592A0B"/>
    <w:rsid w:val="00592D28"/>
    <w:rsid w:val="00592DA1"/>
    <w:rsid w:val="00592DC1"/>
    <w:rsid w:val="0059389C"/>
    <w:rsid w:val="005938B4"/>
    <w:rsid w:val="00593CA1"/>
    <w:rsid w:val="00593ECE"/>
    <w:rsid w:val="00593F55"/>
    <w:rsid w:val="00594081"/>
    <w:rsid w:val="005959C4"/>
    <w:rsid w:val="00595C46"/>
    <w:rsid w:val="00595CA8"/>
    <w:rsid w:val="00596B86"/>
    <w:rsid w:val="005A0070"/>
    <w:rsid w:val="005A0117"/>
    <w:rsid w:val="005A15D6"/>
    <w:rsid w:val="005A1A4B"/>
    <w:rsid w:val="005A2058"/>
    <w:rsid w:val="005A296F"/>
    <w:rsid w:val="005A2FB8"/>
    <w:rsid w:val="005A30AB"/>
    <w:rsid w:val="005A334A"/>
    <w:rsid w:val="005A3394"/>
    <w:rsid w:val="005A3AE3"/>
    <w:rsid w:val="005A3EA1"/>
    <w:rsid w:val="005A44B4"/>
    <w:rsid w:val="005A4D5E"/>
    <w:rsid w:val="005A5354"/>
    <w:rsid w:val="005A5613"/>
    <w:rsid w:val="005A761D"/>
    <w:rsid w:val="005A7A23"/>
    <w:rsid w:val="005B0199"/>
    <w:rsid w:val="005B1531"/>
    <w:rsid w:val="005B20B9"/>
    <w:rsid w:val="005B2520"/>
    <w:rsid w:val="005B288F"/>
    <w:rsid w:val="005B2DB4"/>
    <w:rsid w:val="005B3034"/>
    <w:rsid w:val="005B32AD"/>
    <w:rsid w:val="005B3D90"/>
    <w:rsid w:val="005B3EE2"/>
    <w:rsid w:val="005B4CC6"/>
    <w:rsid w:val="005B5F5A"/>
    <w:rsid w:val="005B6305"/>
    <w:rsid w:val="005B6906"/>
    <w:rsid w:val="005B6F97"/>
    <w:rsid w:val="005C0F57"/>
    <w:rsid w:val="005C0FDC"/>
    <w:rsid w:val="005C12AC"/>
    <w:rsid w:val="005C28DC"/>
    <w:rsid w:val="005C2941"/>
    <w:rsid w:val="005C2E1F"/>
    <w:rsid w:val="005C435F"/>
    <w:rsid w:val="005C493C"/>
    <w:rsid w:val="005C57FA"/>
    <w:rsid w:val="005C6E64"/>
    <w:rsid w:val="005C7179"/>
    <w:rsid w:val="005C73E5"/>
    <w:rsid w:val="005C7DC9"/>
    <w:rsid w:val="005D017A"/>
    <w:rsid w:val="005D094B"/>
    <w:rsid w:val="005D095A"/>
    <w:rsid w:val="005D0F63"/>
    <w:rsid w:val="005D1331"/>
    <w:rsid w:val="005D1AB0"/>
    <w:rsid w:val="005D1C15"/>
    <w:rsid w:val="005D1DA4"/>
    <w:rsid w:val="005D1DA5"/>
    <w:rsid w:val="005D2169"/>
    <w:rsid w:val="005D2A8E"/>
    <w:rsid w:val="005D2D85"/>
    <w:rsid w:val="005D2DA7"/>
    <w:rsid w:val="005D4334"/>
    <w:rsid w:val="005D4BD2"/>
    <w:rsid w:val="005D5768"/>
    <w:rsid w:val="005D6AE0"/>
    <w:rsid w:val="005D719E"/>
    <w:rsid w:val="005D788F"/>
    <w:rsid w:val="005E0A06"/>
    <w:rsid w:val="005E0DFC"/>
    <w:rsid w:val="005E117A"/>
    <w:rsid w:val="005E15B1"/>
    <w:rsid w:val="005E1A58"/>
    <w:rsid w:val="005E1F70"/>
    <w:rsid w:val="005E2D2F"/>
    <w:rsid w:val="005E2F6D"/>
    <w:rsid w:val="005E2F97"/>
    <w:rsid w:val="005E48D3"/>
    <w:rsid w:val="005E4C42"/>
    <w:rsid w:val="005E56EE"/>
    <w:rsid w:val="005E5FD9"/>
    <w:rsid w:val="005E6354"/>
    <w:rsid w:val="005E670F"/>
    <w:rsid w:val="005E6AAD"/>
    <w:rsid w:val="005E701B"/>
    <w:rsid w:val="005E7626"/>
    <w:rsid w:val="005E791B"/>
    <w:rsid w:val="005F069C"/>
    <w:rsid w:val="005F1C4B"/>
    <w:rsid w:val="005F1D20"/>
    <w:rsid w:val="005F2C29"/>
    <w:rsid w:val="005F305F"/>
    <w:rsid w:val="005F41AB"/>
    <w:rsid w:val="005F432A"/>
    <w:rsid w:val="005F4518"/>
    <w:rsid w:val="005F52AD"/>
    <w:rsid w:val="005F6098"/>
    <w:rsid w:val="005F6334"/>
    <w:rsid w:val="005F650A"/>
    <w:rsid w:val="005F6824"/>
    <w:rsid w:val="005F6C97"/>
    <w:rsid w:val="005F6FB5"/>
    <w:rsid w:val="005F72C9"/>
    <w:rsid w:val="005F7309"/>
    <w:rsid w:val="0060177F"/>
    <w:rsid w:val="00601C15"/>
    <w:rsid w:val="00602104"/>
    <w:rsid w:val="00602211"/>
    <w:rsid w:val="006034D3"/>
    <w:rsid w:val="00603610"/>
    <w:rsid w:val="00603FB9"/>
    <w:rsid w:val="006044F8"/>
    <w:rsid w:val="00604721"/>
    <w:rsid w:val="00604886"/>
    <w:rsid w:val="0060560A"/>
    <w:rsid w:val="00606322"/>
    <w:rsid w:val="0060681B"/>
    <w:rsid w:val="00606D6E"/>
    <w:rsid w:val="00606E29"/>
    <w:rsid w:val="00607017"/>
    <w:rsid w:val="0060713F"/>
    <w:rsid w:val="00607D55"/>
    <w:rsid w:val="00611821"/>
    <w:rsid w:val="00611886"/>
    <w:rsid w:val="0061215C"/>
    <w:rsid w:val="00612221"/>
    <w:rsid w:val="0061244C"/>
    <w:rsid w:val="006125A1"/>
    <w:rsid w:val="006135D9"/>
    <w:rsid w:val="006136D3"/>
    <w:rsid w:val="006139EE"/>
    <w:rsid w:val="00614584"/>
    <w:rsid w:val="00615037"/>
    <w:rsid w:val="006150E4"/>
    <w:rsid w:val="00615ED4"/>
    <w:rsid w:val="006168D5"/>
    <w:rsid w:val="00616C5D"/>
    <w:rsid w:val="00617443"/>
    <w:rsid w:val="00617530"/>
    <w:rsid w:val="0061786B"/>
    <w:rsid w:val="00617DAA"/>
    <w:rsid w:val="00617F77"/>
    <w:rsid w:val="00620485"/>
    <w:rsid w:val="00620711"/>
    <w:rsid w:val="00621696"/>
    <w:rsid w:val="00621911"/>
    <w:rsid w:val="00621A46"/>
    <w:rsid w:val="00622F93"/>
    <w:rsid w:val="00623905"/>
    <w:rsid w:val="00623D6B"/>
    <w:rsid w:val="00624359"/>
    <w:rsid w:val="0062435B"/>
    <w:rsid w:val="006245A7"/>
    <w:rsid w:val="00624646"/>
    <w:rsid w:val="00624F8A"/>
    <w:rsid w:val="00625474"/>
    <w:rsid w:val="006255A2"/>
    <w:rsid w:val="00625870"/>
    <w:rsid w:val="00625F31"/>
    <w:rsid w:val="006269B4"/>
    <w:rsid w:val="00626B38"/>
    <w:rsid w:val="00626C9E"/>
    <w:rsid w:val="00627771"/>
    <w:rsid w:val="00627DF3"/>
    <w:rsid w:val="0063157F"/>
    <w:rsid w:val="0063250B"/>
    <w:rsid w:val="00632784"/>
    <w:rsid w:val="006327D2"/>
    <w:rsid w:val="00633DF1"/>
    <w:rsid w:val="00636D59"/>
    <w:rsid w:val="00637150"/>
    <w:rsid w:val="006374AF"/>
    <w:rsid w:val="006375EC"/>
    <w:rsid w:val="00637B88"/>
    <w:rsid w:val="00640423"/>
    <w:rsid w:val="00641414"/>
    <w:rsid w:val="00641709"/>
    <w:rsid w:val="006420A9"/>
    <w:rsid w:val="006421F1"/>
    <w:rsid w:val="006422C6"/>
    <w:rsid w:val="00642626"/>
    <w:rsid w:val="00642A24"/>
    <w:rsid w:val="00642A6B"/>
    <w:rsid w:val="00643218"/>
    <w:rsid w:val="00643CDB"/>
    <w:rsid w:val="00644597"/>
    <w:rsid w:val="006445BF"/>
    <w:rsid w:val="0064555E"/>
    <w:rsid w:val="00645CB7"/>
    <w:rsid w:val="00646AA5"/>
    <w:rsid w:val="00646AC2"/>
    <w:rsid w:val="00646B26"/>
    <w:rsid w:val="0064770C"/>
    <w:rsid w:val="00647D5A"/>
    <w:rsid w:val="00650EFD"/>
    <w:rsid w:val="00651E46"/>
    <w:rsid w:val="00652829"/>
    <w:rsid w:val="00652B27"/>
    <w:rsid w:val="00653686"/>
    <w:rsid w:val="00653F11"/>
    <w:rsid w:val="00654147"/>
    <w:rsid w:val="006550DB"/>
    <w:rsid w:val="006555E7"/>
    <w:rsid w:val="00655A1E"/>
    <w:rsid w:val="00656737"/>
    <w:rsid w:val="00656D73"/>
    <w:rsid w:val="0065792E"/>
    <w:rsid w:val="00657AF9"/>
    <w:rsid w:val="00657AFF"/>
    <w:rsid w:val="00661AEA"/>
    <w:rsid w:val="00662E40"/>
    <w:rsid w:val="006637DA"/>
    <w:rsid w:val="00664A18"/>
    <w:rsid w:val="006654CE"/>
    <w:rsid w:val="006655CF"/>
    <w:rsid w:val="0066578F"/>
    <w:rsid w:val="006672B5"/>
    <w:rsid w:val="00667526"/>
    <w:rsid w:val="00667634"/>
    <w:rsid w:val="00667EB9"/>
    <w:rsid w:val="00670044"/>
    <w:rsid w:val="0067014B"/>
    <w:rsid w:val="006701DA"/>
    <w:rsid w:val="0067020A"/>
    <w:rsid w:val="006703B2"/>
    <w:rsid w:val="00670F51"/>
    <w:rsid w:val="00671403"/>
    <w:rsid w:val="006715D8"/>
    <w:rsid w:val="0067251D"/>
    <w:rsid w:val="006736E2"/>
    <w:rsid w:val="00673AC6"/>
    <w:rsid w:val="006748FE"/>
    <w:rsid w:val="0067561C"/>
    <w:rsid w:val="00676835"/>
    <w:rsid w:val="006768B6"/>
    <w:rsid w:val="00676D1F"/>
    <w:rsid w:val="00676F3E"/>
    <w:rsid w:val="00677BC4"/>
    <w:rsid w:val="00677E60"/>
    <w:rsid w:val="006804B6"/>
    <w:rsid w:val="00680739"/>
    <w:rsid w:val="00680CAE"/>
    <w:rsid w:val="00681288"/>
    <w:rsid w:val="00681348"/>
    <w:rsid w:val="006813AE"/>
    <w:rsid w:val="006819A8"/>
    <w:rsid w:val="00681A59"/>
    <w:rsid w:val="00681D30"/>
    <w:rsid w:val="00681F12"/>
    <w:rsid w:val="00682782"/>
    <w:rsid w:val="00683CF3"/>
    <w:rsid w:val="006846F7"/>
    <w:rsid w:val="00684E3D"/>
    <w:rsid w:val="00684E43"/>
    <w:rsid w:val="00684F43"/>
    <w:rsid w:val="0068547C"/>
    <w:rsid w:val="00685544"/>
    <w:rsid w:val="00685956"/>
    <w:rsid w:val="00685C3E"/>
    <w:rsid w:val="006864F7"/>
    <w:rsid w:val="0069049C"/>
    <w:rsid w:val="0069071A"/>
    <w:rsid w:val="00690E3A"/>
    <w:rsid w:val="0069136A"/>
    <w:rsid w:val="00691A10"/>
    <w:rsid w:val="00691B66"/>
    <w:rsid w:val="00691C89"/>
    <w:rsid w:val="00692CEE"/>
    <w:rsid w:val="006937B6"/>
    <w:rsid w:val="00693BCC"/>
    <w:rsid w:val="00693D77"/>
    <w:rsid w:val="0069454D"/>
    <w:rsid w:val="0069485E"/>
    <w:rsid w:val="00694E59"/>
    <w:rsid w:val="006951AF"/>
    <w:rsid w:val="006952BC"/>
    <w:rsid w:val="00695C6E"/>
    <w:rsid w:val="00697428"/>
    <w:rsid w:val="006977E3"/>
    <w:rsid w:val="006977E6"/>
    <w:rsid w:val="00697AA0"/>
    <w:rsid w:val="00697B3E"/>
    <w:rsid w:val="006A03A2"/>
    <w:rsid w:val="006A2270"/>
    <w:rsid w:val="006A27DE"/>
    <w:rsid w:val="006A2BC1"/>
    <w:rsid w:val="006A2F56"/>
    <w:rsid w:val="006A34F3"/>
    <w:rsid w:val="006A358D"/>
    <w:rsid w:val="006A374A"/>
    <w:rsid w:val="006A6004"/>
    <w:rsid w:val="006A6390"/>
    <w:rsid w:val="006A74E4"/>
    <w:rsid w:val="006A7F44"/>
    <w:rsid w:val="006B118D"/>
    <w:rsid w:val="006B145D"/>
    <w:rsid w:val="006B17C9"/>
    <w:rsid w:val="006B1B80"/>
    <w:rsid w:val="006B1F14"/>
    <w:rsid w:val="006B1FEB"/>
    <w:rsid w:val="006B210D"/>
    <w:rsid w:val="006B26B9"/>
    <w:rsid w:val="006B27C4"/>
    <w:rsid w:val="006B3E9E"/>
    <w:rsid w:val="006B4BB6"/>
    <w:rsid w:val="006B518B"/>
    <w:rsid w:val="006B5DF7"/>
    <w:rsid w:val="006B66A9"/>
    <w:rsid w:val="006B6AA0"/>
    <w:rsid w:val="006B6C55"/>
    <w:rsid w:val="006B70F9"/>
    <w:rsid w:val="006B759A"/>
    <w:rsid w:val="006B799B"/>
    <w:rsid w:val="006B7CA0"/>
    <w:rsid w:val="006B7E97"/>
    <w:rsid w:val="006C0158"/>
    <w:rsid w:val="006C056F"/>
    <w:rsid w:val="006C0BFE"/>
    <w:rsid w:val="006C1944"/>
    <w:rsid w:val="006C28D2"/>
    <w:rsid w:val="006C2CBF"/>
    <w:rsid w:val="006C304F"/>
    <w:rsid w:val="006C44D0"/>
    <w:rsid w:val="006C505B"/>
    <w:rsid w:val="006C5219"/>
    <w:rsid w:val="006C53BA"/>
    <w:rsid w:val="006C56D4"/>
    <w:rsid w:val="006C640C"/>
    <w:rsid w:val="006C6665"/>
    <w:rsid w:val="006C715B"/>
    <w:rsid w:val="006C7A6E"/>
    <w:rsid w:val="006C7CB4"/>
    <w:rsid w:val="006C7E03"/>
    <w:rsid w:val="006D01D8"/>
    <w:rsid w:val="006D07A7"/>
    <w:rsid w:val="006D296B"/>
    <w:rsid w:val="006D42A8"/>
    <w:rsid w:val="006D4397"/>
    <w:rsid w:val="006D4C51"/>
    <w:rsid w:val="006D4F41"/>
    <w:rsid w:val="006D534F"/>
    <w:rsid w:val="006D6022"/>
    <w:rsid w:val="006D6406"/>
    <w:rsid w:val="006D7229"/>
    <w:rsid w:val="006D7B87"/>
    <w:rsid w:val="006D7F39"/>
    <w:rsid w:val="006E06AF"/>
    <w:rsid w:val="006E0DB0"/>
    <w:rsid w:val="006E15BD"/>
    <w:rsid w:val="006E24AE"/>
    <w:rsid w:val="006E2EF7"/>
    <w:rsid w:val="006E2F91"/>
    <w:rsid w:val="006E3164"/>
    <w:rsid w:val="006E3363"/>
    <w:rsid w:val="006E42B9"/>
    <w:rsid w:val="006E478C"/>
    <w:rsid w:val="006E6336"/>
    <w:rsid w:val="006E6BDE"/>
    <w:rsid w:val="006E6F88"/>
    <w:rsid w:val="006F0260"/>
    <w:rsid w:val="006F0303"/>
    <w:rsid w:val="006F0E61"/>
    <w:rsid w:val="006F2946"/>
    <w:rsid w:val="006F3718"/>
    <w:rsid w:val="006F3DE8"/>
    <w:rsid w:val="006F41A5"/>
    <w:rsid w:val="006F424C"/>
    <w:rsid w:val="006F44FB"/>
    <w:rsid w:val="006F4F35"/>
    <w:rsid w:val="006F5118"/>
    <w:rsid w:val="006F5AAD"/>
    <w:rsid w:val="006F5BF8"/>
    <w:rsid w:val="006F63EF"/>
    <w:rsid w:val="006F7255"/>
    <w:rsid w:val="006F7BCA"/>
    <w:rsid w:val="007002DF"/>
    <w:rsid w:val="00700450"/>
    <w:rsid w:val="007012B6"/>
    <w:rsid w:val="00701681"/>
    <w:rsid w:val="00701853"/>
    <w:rsid w:val="00701A4B"/>
    <w:rsid w:val="00701E2D"/>
    <w:rsid w:val="0070272C"/>
    <w:rsid w:val="007029FF"/>
    <w:rsid w:val="007034D9"/>
    <w:rsid w:val="00704A45"/>
    <w:rsid w:val="00704F37"/>
    <w:rsid w:val="007052E2"/>
    <w:rsid w:val="00705706"/>
    <w:rsid w:val="00705FD3"/>
    <w:rsid w:val="007062F0"/>
    <w:rsid w:val="00707345"/>
    <w:rsid w:val="00707FC0"/>
    <w:rsid w:val="00710974"/>
    <w:rsid w:val="007112AD"/>
    <w:rsid w:val="007118C0"/>
    <w:rsid w:val="00711E65"/>
    <w:rsid w:val="00711F24"/>
    <w:rsid w:val="00712625"/>
    <w:rsid w:val="00712748"/>
    <w:rsid w:val="00712C02"/>
    <w:rsid w:val="007141B9"/>
    <w:rsid w:val="00714F25"/>
    <w:rsid w:val="00715E11"/>
    <w:rsid w:val="0071682B"/>
    <w:rsid w:val="00716CF7"/>
    <w:rsid w:val="007202DD"/>
    <w:rsid w:val="00720A82"/>
    <w:rsid w:val="00720E7C"/>
    <w:rsid w:val="007212FA"/>
    <w:rsid w:val="0072174A"/>
    <w:rsid w:val="00721A60"/>
    <w:rsid w:val="00722982"/>
    <w:rsid w:val="00722C9F"/>
    <w:rsid w:val="007230DA"/>
    <w:rsid w:val="007232F4"/>
    <w:rsid w:val="007234D5"/>
    <w:rsid w:val="0072422A"/>
    <w:rsid w:val="0072470A"/>
    <w:rsid w:val="0072484E"/>
    <w:rsid w:val="00724999"/>
    <w:rsid w:val="00725721"/>
    <w:rsid w:val="00725EE6"/>
    <w:rsid w:val="007267F5"/>
    <w:rsid w:val="007271AE"/>
    <w:rsid w:val="0072727A"/>
    <w:rsid w:val="00727C70"/>
    <w:rsid w:val="00730338"/>
    <w:rsid w:val="007313DC"/>
    <w:rsid w:val="00731526"/>
    <w:rsid w:val="00731F43"/>
    <w:rsid w:val="00731FE5"/>
    <w:rsid w:val="00732B64"/>
    <w:rsid w:val="00732C29"/>
    <w:rsid w:val="00732E0A"/>
    <w:rsid w:val="007340AF"/>
    <w:rsid w:val="00734597"/>
    <w:rsid w:val="00735669"/>
    <w:rsid w:val="007358E2"/>
    <w:rsid w:val="00735B63"/>
    <w:rsid w:val="007361C7"/>
    <w:rsid w:val="00737E35"/>
    <w:rsid w:val="00737FA7"/>
    <w:rsid w:val="00741F0F"/>
    <w:rsid w:val="007429ED"/>
    <w:rsid w:val="00742C34"/>
    <w:rsid w:val="00742D2F"/>
    <w:rsid w:val="007439A0"/>
    <w:rsid w:val="007441B8"/>
    <w:rsid w:val="00744984"/>
    <w:rsid w:val="00744FB0"/>
    <w:rsid w:val="0074557D"/>
    <w:rsid w:val="007468B3"/>
    <w:rsid w:val="00746DD4"/>
    <w:rsid w:val="007476B0"/>
    <w:rsid w:val="0074772C"/>
    <w:rsid w:val="00750305"/>
    <w:rsid w:val="00750E84"/>
    <w:rsid w:val="007513A3"/>
    <w:rsid w:val="007513A5"/>
    <w:rsid w:val="0075156D"/>
    <w:rsid w:val="00751706"/>
    <w:rsid w:val="00753ED5"/>
    <w:rsid w:val="00754475"/>
    <w:rsid w:val="007550A5"/>
    <w:rsid w:val="0075540E"/>
    <w:rsid w:val="00755D39"/>
    <w:rsid w:val="00755EAB"/>
    <w:rsid w:val="00756490"/>
    <w:rsid w:val="00756602"/>
    <w:rsid w:val="00756F01"/>
    <w:rsid w:val="00757D11"/>
    <w:rsid w:val="00760D36"/>
    <w:rsid w:val="00760E1E"/>
    <w:rsid w:val="00760FD8"/>
    <w:rsid w:val="00761359"/>
    <w:rsid w:val="00761C0D"/>
    <w:rsid w:val="00761E1D"/>
    <w:rsid w:val="00761F91"/>
    <w:rsid w:val="00762A88"/>
    <w:rsid w:val="007636AD"/>
    <w:rsid w:val="00763857"/>
    <w:rsid w:val="00763C2C"/>
    <w:rsid w:val="00763EB9"/>
    <w:rsid w:val="007645A7"/>
    <w:rsid w:val="00764855"/>
    <w:rsid w:val="00765174"/>
    <w:rsid w:val="0076562E"/>
    <w:rsid w:val="00765E55"/>
    <w:rsid w:val="0076676A"/>
    <w:rsid w:val="00766D91"/>
    <w:rsid w:val="00767C76"/>
    <w:rsid w:val="00767CAA"/>
    <w:rsid w:val="00770257"/>
    <w:rsid w:val="00770E0E"/>
    <w:rsid w:val="0077222D"/>
    <w:rsid w:val="00773133"/>
    <w:rsid w:val="00773C3B"/>
    <w:rsid w:val="00773D4C"/>
    <w:rsid w:val="007742BE"/>
    <w:rsid w:val="00774475"/>
    <w:rsid w:val="00774940"/>
    <w:rsid w:val="00775698"/>
    <w:rsid w:val="00775B95"/>
    <w:rsid w:val="00776676"/>
    <w:rsid w:val="00776C72"/>
    <w:rsid w:val="0077742E"/>
    <w:rsid w:val="00777689"/>
    <w:rsid w:val="007777F9"/>
    <w:rsid w:val="00780121"/>
    <w:rsid w:val="007804CB"/>
    <w:rsid w:val="00781120"/>
    <w:rsid w:val="00781231"/>
    <w:rsid w:val="00781FDB"/>
    <w:rsid w:val="00782438"/>
    <w:rsid w:val="00782DBC"/>
    <w:rsid w:val="007836DF"/>
    <w:rsid w:val="00783BE8"/>
    <w:rsid w:val="0078411F"/>
    <w:rsid w:val="00784C45"/>
    <w:rsid w:val="00786041"/>
    <w:rsid w:val="00786843"/>
    <w:rsid w:val="00786973"/>
    <w:rsid w:val="007869AB"/>
    <w:rsid w:val="00787F77"/>
    <w:rsid w:val="00791B15"/>
    <w:rsid w:val="00791E59"/>
    <w:rsid w:val="00791F81"/>
    <w:rsid w:val="00792202"/>
    <w:rsid w:val="0079238F"/>
    <w:rsid w:val="00793206"/>
    <w:rsid w:val="007937B7"/>
    <w:rsid w:val="00793ACF"/>
    <w:rsid w:val="007944E3"/>
    <w:rsid w:val="00794B2D"/>
    <w:rsid w:val="00794C53"/>
    <w:rsid w:val="00794D49"/>
    <w:rsid w:val="0079524F"/>
    <w:rsid w:val="007957D5"/>
    <w:rsid w:val="007958AF"/>
    <w:rsid w:val="00795D36"/>
    <w:rsid w:val="0079644D"/>
    <w:rsid w:val="007967A2"/>
    <w:rsid w:val="00796DA1"/>
    <w:rsid w:val="00796E66"/>
    <w:rsid w:val="00797455"/>
    <w:rsid w:val="007A0910"/>
    <w:rsid w:val="007A10B5"/>
    <w:rsid w:val="007A10C3"/>
    <w:rsid w:val="007A1795"/>
    <w:rsid w:val="007A1799"/>
    <w:rsid w:val="007A1D3F"/>
    <w:rsid w:val="007A25C9"/>
    <w:rsid w:val="007A5340"/>
    <w:rsid w:val="007A555D"/>
    <w:rsid w:val="007A5773"/>
    <w:rsid w:val="007A6D98"/>
    <w:rsid w:val="007A7993"/>
    <w:rsid w:val="007B0BDA"/>
    <w:rsid w:val="007B0DB8"/>
    <w:rsid w:val="007B1031"/>
    <w:rsid w:val="007B1540"/>
    <w:rsid w:val="007B1A99"/>
    <w:rsid w:val="007B1AF2"/>
    <w:rsid w:val="007B20D9"/>
    <w:rsid w:val="007B2CB1"/>
    <w:rsid w:val="007B3C84"/>
    <w:rsid w:val="007B4761"/>
    <w:rsid w:val="007B4921"/>
    <w:rsid w:val="007B4CC6"/>
    <w:rsid w:val="007B4E8C"/>
    <w:rsid w:val="007B4F86"/>
    <w:rsid w:val="007B5BAA"/>
    <w:rsid w:val="007B608D"/>
    <w:rsid w:val="007B608E"/>
    <w:rsid w:val="007B614E"/>
    <w:rsid w:val="007B6780"/>
    <w:rsid w:val="007B708D"/>
    <w:rsid w:val="007C18A7"/>
    <w:rsid w:val="007C1AAB"/>
    <w:rsid w:val="007C3688"/>
    <w:rsid w:val="007C592F"/>
    <w:rsid w:val="007C67D8"/>
    <w:rsid w:val="007C728F"/>
    <w:rsid w:val="007C74D3"/>
    <w:rsid w:val="007C74D8"/>
    <w:rsid w:val="007D02E1"/>
    <w:rsid w:val="007D0429"/>
    <w:rsid w:val="007D10F0"/>
    <w:rsid w:val="007D1692"/>
    <w:rsid w:val="007D2119"/>
    <w:rsid w:val="007D3016"/>
    <w:rsid w:val="007D344E"/>
    <w:rsid w:val="007D3726"/>
    <w:rsid w:val="007D3C13"/>
    <w:rsid w:val="007D4004"/>
    <w:rsid w:val="007D4269"/>
    <w:rsid w:val="007D42AC"/>
    <w:rsid w:val="007D42CF"/>
    <w:rsid w:val="007D4723"/>
    <w:rsid w:val="007D4E2A"/>
    <w:rsid w:val="007D5010"/>
    <w:rsid w:val="007D56EB"/>
    <w:rsid w:val="007D5BEF"/>
    <w:rsid w:val="007D6983"/>
    <w:rsid w:val="007D6CB7"/>
    <w:rsid w:val="007D6CD0"/>
    <w:rsid w:val="007D6CF1"/>
    <w:rsid w:val="007D7709"/>
    <w:rsid w:val="007D7C03"/>
    <w:rsid w:val="007E0182"/>
    <w:rsid w:val="007E0A67"/>
    <w:rsid w:val="007E0B57"/>
    <w:rsid w:val="007E0D2D"/>
    <w:rsid w:val="007E1885"/>
    <w:rsid w:val="007E237A"/>
    <w:rsid w:val="007E2A74"/>
    <w:rsid w:val="007E3F3B"/>
    <w:rsid w:val="007E3F4B"/>
    <w:rsid w:val="007E41BE"/>
    <w:rsid w:val="007E562C"/>
    <w:rsid w:val="007E5760"/>
    <w:rsid w:val="007E5BB3"/>
    <w:rsid w:val="007E61C9"/>
    <w:rsid w:val="007E7102"/>
    <w:rsid w:val="007E7236"/>
    <w:rsid w:val="007E7994"/>
    <w:rsid w:val="007F0C0B"/>
    <w:rsid w:val="007F0FA1"/>
    <w:rsid w:val="007F1AB7"/>
    <w:rsid w:val="007F1E21"/>
    <w:rsid w:val="007F1EBE"/>
    <w:rsid w:val="007F2088"/>
    <w:rsid w:val="007F3189"/>
    <w:rsid w:val="007F4519"/>
    <w:rsid w:val="007F54E4"/>
    <w:rsid w:val="007F62E6"/>
    <w:rsid w:val="007F6A73"/>
    <w:rsid w:val="007F74C1"/>
    <w:rsid w:val="0080149F"/>
    <w:rsid w:val="00801DB1"/>
    <w:rsid w:val="00802035"/>
    <w:rsid w:val="00802740"/>
    <w:rsid w:val="0080283D"/>
    <w:rsid w:val="0080286D"/>
    <w:rsid w:val="00802F09"/>
    <w:rsid w:val="008030A7"/>
    <w:rsid w:val="00803A6D"/>
    <w:rsid w:val="00803BB5"/>
    <w:rsid w:val="00803DFE"/>
    <w:rsid w:val="0080455C"/>
    <w:rsid w:val="00804B4B"/>
    <w:rsid w:val="00804DDB"/>
    <w:rsid w:val="0080534E"/>
    <w:rsid w:val="00805933"/>
    <w:rsid w:val="008068C0"/>
    <w:rsid w:val="0080751F"/>
    <w:rsid w:val="00807772"/>
    <w:rsid w:val="008101C7"/>
    <w:rsid w:val="008103CD"/>
    <w:rsid w:val="00810583"/>
    <w:rsid w:val="00810744"/>
    <w:rsid w:val="00810CDC"/>
    <w:rsid w:val="0081110A"/>
    <w:rsid w:val="008113EF"/>
    <w:rsid w:val="00812A00"/>
    <w:rsid w:val="008138A7"/>
    <w:rsid w:val="008141F4"/>
    <w:rsid w:val="00814461"/>
    <w:rsid w:val="00814495"/>
    <w:rsid w:val="00814976"/>
    <w:rsid w:val="008163FD"/>
    <w:rsid w:val="00820580"/>
    <w:rsid w:val="00820A7B"/>
    <w:rsid w:val="00820D78"/>
    <w:rsid w:val="00820FB3"/>
    <w:rsid w:val="0082294D"/>
    <w:rsid w:val="00823880"/>
    <w:rsid w:val="00824224"/>
    <w:rsid w:val="00824BB4"/>
    <w:rsid w:val="008262CD"/>
    <w:rsid w:val="008274A8"/>
    <w:rsid w:val="00830733"/>
    <w:rsid w:val="00831C2A"/>
    <w:rsid w:val="0083215E"/>
    <w:rsid w:val="008322CB"/>
    <w:rsid w:val="00832679"/>
    <w:rsid w:val="00832873"/>
    <w:rsid w:val="0083294D"/>
    <w:rsid w:val="00832989"/>
    <w:rsid w:val="008330CB"/>
    <w:rsid w:val="008337B0"/>
    <w:rsid w:val="008337CE"/>
    <w:rsid w:val="00833F25"/>
    <w:rsid w:val="008341AA"/>
    <w:rsid w:val="00834E5D"/>
    <w:rsid w:val="00835265"/>
    <w:rsid w:val="00835DBB"/>
    <w:rsid w:val="008360D9"/>
    <w:rsid w:val="00836C77"/>
    <w:rsid w:val="00836E4D"/>
    <w:rsid w:val="00836F58"/>
    <w:rsid w:val="0083746D"/>
    <w:rsid w:val="00837DB1"/>
    <w:rsid w:val="008402D7"/>
    <w:rsid w:val="00840480"/>
    <w:rsid w:val="00840D56"/>
    <w:rsid w:val="00841945"/>
    <w:rsid w:val="0084229B"/>
    <w:rsid w:val="0084268C"/>
    <w:rsid w:val="00842AAA"/>
    <w:rsid w:val="0084311D"/>
    <w:rsid w:val="00846559"/>
    <w:rsid w:val="0084669A"/>
    <w:rsid w:val="0084768E"/>
    <w:rsid w:val="008500E0"/>
    <w:rsid w:val="0085035B"/>
    <w:rsid w:val="008506B1"/>
    <w:rsid w:val="00850D34"/>
    <w:rsid w:val="00850DE4"/>
    <w:rsid w:val="00851581"/>
    <w:rsid w:val="00853341"/>
    <w:rsid w:val="0085411A"/>
    <w:rsid w:val="00854BAB"/>
    <w:rsid w:val="00856475"/>
    <w:rsid w:val="00856A70"/>
    <w:rsid w:val="00856B82"/>
    <w:rsid w:val="00856E8F"/>
    <w:rsid w:val="0085738C"/>
    <w:rsid w:val="008575DB"/>
    <w:rsid w:val="00857B88"/>
    <w:rsid w:val="00857E56"/>
    <w:rsid w:val="00857F2D"/>
    <w:rsid w:val="0086036B"/>
    <w:rsid w:val="0086062F"/>
    <w:rsid w:val="0086071A"/>
    <w:rsid w:val="0086132C"/>
    <w:rsid w:val="00861CD3"/>
    <w:rsid w:val="008623F6"/>
    <w:rsid w:val="00862A3A"/>
    <w:rsid w:val="008632C5"/>
    <w:rsid w:val="0086349A"/>
    <w:rsid w:val="00863A94"/>
    <w:rsid w:val="00864239"/>
    <w:rsid w:val="008659B0"/>
    <w:rsid w:val="008665FF"/>
    <w:rsid w:val="00866FF1"/>
    <w:rsid w:val="00867EFB"/>
    <w:rsid w:val="008709EA"/>
    <w:rsid w:val="00870B67"/>
    <w:rsid w:val="00870CD4"/>
    <w:rsid w:val="00870E70"/>
    <w:rsid w:val="00871903"/>
    <w:rsid w:val="0087215F"/>
    <w:rsid w:val="00872BA7"/>
    <w:rsid w:val="00872FF5"/>
    <w:rsid w:val="00873FB5"/>
    <w:rsid w:val="00875700"/>
    <w:rsid w:val="00875846"/>
    <w:rsid w:val="008766D2"/>
    <w:rsid w:val="00876A4B"/>
    <w:rsid w:val="00880796"/>
    <w:rsid w:val="00882D5E"/>
    <w:rsid w:val="00882E05"/>
    <w:rsid w:val="008832BF"/>
    <w:rsid w:val="00883786"/>
    <w:rsid w:val="008840AD"/>
    <w:rsid w:val="00884D4C"/>
    <w:rsid w:val="00884D7E"/>
    <w:rsid w:val="00885A1F"/>
    <w:rsid w:val="00885BD5"/>
    <w:rsid w:val="0088746A"/>
    <w:rsid w:val="00887F8C"/>
    <w:rsid w:val="0089088F"/>
    <w:rsid w:val="008909F3"/>
    <w:rsid w:val="00891A2F"/>
    <w:rsid w:val="00891B84"/>
    <w:rsid w:val="00891D27"/>
    <w:rsid w:val="008926A3"/>
    <w:rsid w:val="00892C30"/>
    <w:rsid w:val="0089392F"/>
    <w:rsid w:val="00894039"/>
    <w:rsid w:val="008943FB"/>
    <w:rsid w:val="0089460F"/>
    <w:rsid w:val="00894877"/>
    <w:rsid w:val="008948B3"/>
    <w:rsid w:val="00894AE6"/>
    <w:rsid w:val="00894B81"/>
    <w:rsid w:val="00895025"/>
    <w:rsid w:val="00895C22"/>
    <w:rsid w:val="008967B0"/>
    <w:rsid w:val="00896D7D"/>
    <w:rsid w:val="00897AFC"/>
    <w:rsid w:val="008A1408"/>
    <w:rsid w:val="008A18AB"/>
    <w:rsid w:val="008A1E5C"/>
    <w:rsid w:val="008A20AA"/>
    <w:rsid w:val="008A400C"/>
    <w:rsid w:val="008A45A4"/>
    <w:rsid w:val="008A5B90"/>
    <w:rsid w:val="008A6029"/>
    <w:rsid w:val="008A6305"/>
    <w:rsid w:val="008A6493"/>
    <w:rsid w:val="008A6E2B"/>
    <w:rsid w:val="008A6E34"/>
    <w:rsid w:val="008A7A3B"/>
    <w:rsid w:val="008A7D40"/>
    <w:rsid w:val="008A7E5F"/>
    <w:rsid w:val="008B14AF"/>
    <w:rsid w:val="008B1E83"/>
    <w:rsid w:val="008B1F12"/>
    <w:rsid w:val="008B213F"/>
    <w:rsid w:val="008B2381"/>
    <w:rsid w:val="008B2E27"/>
    <w:rsid w:val="008B317C"/>
    <w:rsid w:val="008B3935"/>
    <w:rsid w:val="008B3AA3"/>
    <w:rsid w:val="008B3D61"/>
    <w:rsid w:val="008B49BE"/>
    <w:rsid w:val="008B4CD2"/>
    <w:rsid w:val="008B7BCE"/>
    <w:rsid w:val="008B7E83"/>
    <w:rsid w:val="008B7EC5"/>
    <w:rsid w:val="008B7F1C"/>
    <w:rsid w:val="008C1E8A"/>
    <w:rsid w:val="008C2683"/>
    <w:rsid w:val="008C286D"/>
    <w:rsid w:val="008C2BD9"/>
    <w:rsid w:val="008C2E31"/>
    <w:rsid w:val="008C3DAD"/>
    <w:rsid w:val="008C5585"/>
    <w:rsid w:val="008C5F34"/>
    <w:rsid w:val="008C6AB8"/>
    <w:rsid w:val="008C72F8"/>
    <w:rsid w:val="008C76B6"/>
    <w:rsid w:val="008D06E4"/>
    <w:rsid w:val="008D0BE5"/>
    <w:rsid w:val="008D2907"/>
    <w:rsid w:val="008D367E"/>
    <w:rsid w:val="008D42B0"/>
    <w:rsid w:val="008D5A56"/>
    <w:rsid w:val="008D5DBA"/>
    <w:rsid w:val="008D5FBE"/>
    <w:rsid w:val="008D6220"/>
    <w:rsid w:val="008D6442"/>
    <w:rsid w:val="008D7A0F"/>
    <w:rsid w:val="008E006F"/>
    <w:rsid w:val="008E10AA"/>
    <w:rsid w:val="008E13B3"/>
    <w:rsid w:val="008E167B"/>
    <w:rsid w:val="008E2030"/>
    <w:rsid w:val="008E238E"/>
    <w:rsid w:val="008E2C60"/>
    <w:rsid w:val="008E3FBF"/>
    <w:rsid w:val="008E45B2"/>
    <w:rsid w:val="008E46C6"/>
    <w:rsid w:val="008E4C1E"/>
    <w:rsid w:val="008E4D5B"/>
    <w:rsid w:val="008E4F2D"/>
    <w:rsid w:val="008E584A"/>
    <w:rsid w:val="008E5B79"/>
    <w:rsid w:val="008E652A"/>
    <w:rsid w:val="008E7A3F"/>
    <w:rsid w:val="008F0C8F"/>
    <w:rsid w:val="008F0E6B"/>
    <w:rsid w:val="008F1310"/>
    <w:rsid w:val="008F1580"/>
    <w:rsid w:val="008F2AA5"/>
    <w:rsid w:val="008F2D4E"/>
    <w:rsid w:val="008F3C89"/>
    <w:rsid w:val="008F46CD"/>
    <w:rsid w:val="008F536B"/>
    <w:rsid w:val="008F6F71"/>
    <w:rsid w:val="008F6FEF"/>
    <w:rsid w:val="008F70A4"/>
    <w:rsid w:val="008F72E8"/>
    <w:rsid w:val="008F78FC"/>
    <w:rsid w:val="008F7EBC"/>
    <w:rsid w:val="0090034C"/>
    <w:rsid w:val="009007E2"/>
    <w:rsid w:val="00900C71"/>
    <w:rsid w:val="00900ECB"/>
    <w:rsid w:val="00900F6D"/>
    <w:rsid w:val="00902A0F"/>
    <w:rsid w:val="0090341E"/>
    <w:rsid w:val="00903914"/>
    <w:rsid w:val="00905236"/>
    <w:rsid w:val="00905C5A"/>
    <w:rsid w:val="009077F5"/>
    <w:rsid w:val="00911CD0"/>
    <w:rsid w:val="00911E98"/>
    <w:rsid w:val="00912216"/>
    <w:rsid w:val="00913176"/>
    <w:rsid w:val="009131A2"/>
    <w:rsid w:val="009138A9"/>
    <w:rsid w:val="00914BC8"/>
    <w:rsid w:val="0091536B"/>
    <w:rsid w:val="00916972"/>
    <w:rsid w:val="0091710A"/>
    <w:rsid w:val="00917804"/>
    <w:rsid w:val="00917F5E"/>
    <w:rsid w:val="00920398"/>
    <w:rsid w:val="0092080C"/>
    <w:rsid w:val="009218A6"/>
    <w:rsid w:val="0092317E"/>
    <w:rsid w:val="00923391"/>
    <w:rsid w:val="00923BFB"/>
    <w:rsid w:val="00923CF9"/>
    <w:rsid w:val="009244BB"/>
    <w:rsid w:val="00924A20"/>
    <w:rsid w:val="00924B2D"/>
    <w:rsid w:val="00924D42"/>
    <w:rsid w:val="009257CE"/>
    <w:rsid w:val="00925A7A"/>
    <w:rsid w:val="00925AFA"/>
    <w:rsid w:val="0092725B"/>
    <w:rsid w:val="009300D0"/>
    <w:rsid w:val="00930554"/>
    <w:rsid w:val="00930681"/>
    <w:rsid w:val="009309D0"/>
    <w:rsid w:val="00930DF7"/>
    <w:rsid w:val="00931058"/>
    <w:rsid w:val="009310F1"/>
    <w:rsid w:val="00931822"/>
    <w:rsid w:val="009320D8"/>
    <w:rsid w:val="009321BD"/>
    <w:rsid w:val="009328F3"/>
    <w:rsid w:val="00932B12"/>
    <w:rsid w:val="00932D92"/>
    <w:rsid w:val="0093412E"/>
    <w:rsid w:val="0093539D"/>
    <w:rsid w:val="00936175"/>
    <w:rsid w:val="00936D77"/>
    <w:rsid w:val="009373F3"/>
    <w:rsid w:val="0093748E"/>
    <w:rsid w:val="00937750"/>
    <w:rsid w:val="00937ABA"/>
    <w:rsid w:val="009404FE"/>
    <w:rsid w:val="00940725"/>
    <w:rsid w:val="0094127F"/>
    <w:rsid w:val="00941294"/>
    <w:rsid w:val="009432D2"/>
    <w:rsid w:val="0094376B"/>
    <w:rsid w:val="0094381F"/>
    <w:rsid w:val="00944542"/>
    <w:rsid w:val="0094487A"/>
    <w:rsid w:val="00944942"/>
    <w:rsid w:val="00944993"/>
    <w:rsid w:val="00944CAD"/>
    <w:rsid w:val="009453C4"/>
    <w:rsid w:val="009517B1"/>
    <w:rsid w:val="00951989"/>
    <w:rsid w:val="0095228F"/>
    <w:rsid w:val="009524CA"/>
    <w:rsid w:val="009535B0"/>
    <w:rsid w:val="00955CB6"/>
    <w:rsid w:val="00955D24"/>
    <w:rsid w:val="00955EB0"/>
    <w:rsid w:val="00957351"/>
    <w:rsid w:val="00957632"/>
    <w:rsid w:val="009579F3"/>
    <w:rsid w:val="00957E48"/>
    <w:rsid w:val="0096019A"/>
    <w:rsid w:val="0096096A"/>
    <w:rsid w:val="009609AE"/>
    <w:rsid w:val="00961596"/>
    <w:rsid w:val="00962163"/>
    <w:rsid w:val="00962501"/>
    <w:rsid w:val="0096400B"/>
    <w:rsid w:val="00964669"/>
    <w:rsid w:val="009646ED"/>
    <w:rsid w:val="00964C2E"/>
    <w:rsid w:val="009661B2"/>
    <w:rsid w:val="009676F3"/>
    <w:rsid w:val="009703B9"/>
    <w:rsid w:val="00971138"/>
    <w:rsid w:val="0097144D"/>
    <w:rsid w:val="00971F47"/>
    <w:rsid w:val="009729D0"/>
    <w:rsid w:val="00973002"/>
    <w:rsid w:val="00973917"/>
    <w:rsid w:val="00973F62"/>
    <w:rsid w:val="0097628F"/>
    <w:rsid w:val="009771AA"/>
    <w:rsid w:val="009772F3"/>
    <w:rsid w:val="009800F4"/>
    <w:rsid w:val="009803EC"/>
    <w:rsid w:val="0098109E"/>
    <w:rsid w:val="00981CF6"/>
    <w:rsid w:val="00982149"/>
    <w:rsid w:val="00982277"/>
    <w:rsid w:val="00982343"/>
    <w:rsid w:val="0098242B"/>
    <w:rsid w:val="00982E1D"/>
    <w:rsid w:val="00983069"/>
    <w:rsid w:val="009830CD"/>
    <w:rsid w:val="00983F1C"/>
    <w:rsid w:val="009841B9"/>
    <w:rsid w:val="00984D54"/>
    <w:rsid w:val="009858FF"/>
    <w:rsid w:val="0098590E"/>
    <w:rsid w:val="009860A7"/>
    <w:rsid w:val="009862D2"/>
    <w:rsid w:val="0098677B"/>
    <w:rsid w:val="00987240"/>
    <w:rsid w:val="0098746D"/>
    <w:rsid w:val="00987D9C"/>
    <w:rsid w:val="00990432"/>
    <w:rsid w:val="00990C69"/>
    <w:rsid w:val="0099150B"/>
    <w:rsid w:val="00991C8A"/>
    <w:rsid w:val="00991E69"/>
    <w:rsid w:val="00991E8A"/>
    <w:rsid w:val="009920D5"/>
    <w:rsid w:val="00992AB8"/>
    <w:rsid w:val="0099536F"/>
    <w:rsid w:val="00995A86"/>
    <w:rsid w:val="0099607A"/>
    <w:rsid w:val="009966E8"/>
    <w:rsid w:val="00996D3E"/>
    <w:rsid w:val="00997076"/>
    <w:rsid w:val="009A0767"/>
    <w:rsid w:val="009A1EF5"/>
    <w:rsid w:val="009A1F76"/>
    <w:rsid w:val="009A28A5"/>
    <w:rsid w:val="009A2AA3"/>
    <w:rsid w:val="009A37B5"/>
    <w:rsid w:val="009A3AFA"/>
    <w:rsid w:val="009A3D91"/>
    <w:rsid w:val="009A3DE8"/>
    <w:rsid w:val="009A4B9B"/>
    <w:rsid w:val="009A4F5F"/>
    <w:rsid w:val="009A5190"/>
    <w:rsid w:val="009A5A85"/>
    <w:rsid w:val="009A5F97"/>
    <w:rsid w:val="009A7230"/>
    <w:rsid w:val="009B1150"/>
    <w:rsid w:val="009B1209"/>
    <w:rsid w:val="009B12AE"/>
    <w:rsid w:val="009B1E63"/>
    <w:rsid w:val="009B1E98"/>
    <w:rsid w:val="009B1FDF"/>
    <w:rsid w:val="009B26A5"/>
    <w:rsid w:val="009B2B3F"/>
    <w:rsid w:val="009B2B77"/>
    <w:rsid w:val="009B3A8A"/>
    <w:rsid w:val="009B4CA5"/>
    <w:rsid w:val="009B50E6"/>
    <w:rsid w:val="009B642B"/>
    <w:rsid w:val="009B7A59"/>
    <w:rsid w:val="009B7BA9"/>
    <w:rsid w:val="009C0E16"/>
    <w:rsid w:val="009C1159"/>
    <w:rsid w:val="009C17FE"/>
    <w:rsid w:val="009C1B3A"/>
    <w:rsid w:val="009C3CAD"/>
    <w:rsid w:val="009C417A"/>
    <w:rsid w:val="009C41C7"/>
    <w:rsid w:val="009C436A"/>
    <w:rsid w:val="009C45A2"/>
    <w:rsid w:val="009C45D5"/>
    <w:rsid w:val="009C5FEC"/>
    <w:rsid w:val="009C6CE8"/>
    <w:rsid w:val="009C70BA"/>
    <w:rsid w:val="009C70C6"/>
    <w:rsid w:val="009C7ABE"/>
    <w:rsid w:val="009C7FA7"/>
    <w:rsid w:val="009C7FCB"/>
    <w:rsid w:val="009D0584"/>
    <w:rsid w:val="009D14E7"/>
    <w:rsid w:val="009D1EC7"/>
    <w:rsid w:val="009D2C3A"/>
    <w:rsid w:val="009D2EF8"/>
    <w:rsid w:val="009D37C8"/>
    <w:rsid w:val="009D64A0"/>
    <w:rsid w:val="009D6B41"/>
    <w:rsid w:val="009E0265"/>
    <w:rsid w:val="009E07E4"/>
    <w:rsid w:val="009E0EA3"/>
    <w:rsid w:val="009E11A3"/>
    <w:rsid w:val="009E1FC8"/>
    <w:rsid w:val="009E2683"/>
    <w:rsid w:val="009E5F34"/>
    <w:rsid w:val="009E609A"/>
    <w:rsid w:val="009E6905"/>
    <w:rsid w:val="009E6B7B"/>
    <w:rsid w:val="009E76F5"/>
    <w:rsid w:val="009E7E64"/>
    <w:rsid w:val="009F0C14"/>
    <w:rsid w:val="009F1A01"/>
    <w:rsid w:val="009F1DDD"/>
    <w:rsid w:val="009F2861"/>
    <w:rsid w:val="009F2CA5"/>
    <w:rsid w:val="009F323E"/>
    <w:rsid w:val="009F4373"/>
    <w:rsid w:val="009F49CA"/>
    <w:rsid w:val="009F5850"/>
    <w:rsid w:val="009F6189"/>
    <w:rsid w:val="009F71F6"/>
    <w:rsid w:val="009F7284"/>
    <w:rsid w:val="009F733F"/>
    <w:rsid w:val="009F745F"/>
    <w:rsid w:val="009F784A"/>
    <w:rsid w:val="009F7CB0"/>
    <w:rsid w:val="009F7E00"/>
    <w:rsid w:val="00A002B7"/>
    <w:rsid w:val="00A00A12"/>
    <w:rsid w:val="00A011AA"/>
    <w:rsid w:val="00A02858"/>
    <w:rsid w:val="00A02D0C"/>
    <w:rsid w:val="00A02D92"/>
    <w:rsid w:val="00A03C02"/>
    <w:rsid w:val="00A04377"/>
    <w:rsid w:val="00A04543"/>
    <w:rsid w:val="00A04DCB"/>
    <w:rsid w:val="00A05831"/>
    <w:rsid w:val="00A05D43"/>
    <w:rsid w:val="00A06165"/>
    <w:rsid w:val="00A0627B"/>
    <w:rsid w:val="00A06326"/>
    <w:rsid w:val="00A0706A"/>
    <w:rsid w:val="00A07A18"/>
    <w:rsid w:val="00A07BE7"/>
    <w:rsid w:val="00A10549"/>
    <w:rsid w:val="00A12AB3"/>
    <w:rsid w:val="00A139E6"/>
    <w:rsid w:val="00A140D0"/>
    <w:rsid w:val="00A14773"/>
    <w:rsid w:val="00A1513C"/>
    <w:rsid w:val="00A15F9C"/>
    <w:rsid w:val="00A16C55"/>
    <w:rsid w:val="00A16C8B"/>
    <w:rsid w:val="00A179ED"/>
    <w:rsid w:val="00A201C9"/>
    <w:rsid w:val="00A206D0"/>
    <w:rsid w:val="00A20C10"/>
    <w:rsid w:val="00A21D01"/>
    <w:rsid w:val="00A21EB8"/>
    <w:rsid w:val="00A22A50"/>
    <w:rsid w:val="00A23254"/>
    <w:rsid w:val="00A23E1A"/>
    <w:rsid w:val="00A25202"/>
    <w:rsid w:val="00A25D78"/>
    <w:rsid w:val="00A25FF0"/>
    <w:rsid w:val="00A2666D"/>
    <w:rsid w:val="00A2670B"/>
    <w:rsid w:val="00A26D27"/>
    <w:rsid w:val="00A26E76"/>
    <w:rsid w:val="00A27939"/>
    <w:rsid w:val="00A27BB1"/>
    <w:rsid w:val="00A306CA"/>
    <w:rsid w:val="00A319E4"/>
    <w:rsid w:val="00A31D65"/>
    <w:rsid w:val="00A323AC"/>
    <w:rsid w:val="00A33F07"/>
    <w:rsid w:val="00A33F42"/>
    <w:rsid w:val="00A33FF0"/>
    <w:rsid w:val="00A35D4D"/>
    <w:rsid w:val="00A35FDF"/>
    <w:rsid w:val="00A3635F"/>
    <w:rsid w:val="00A37273"/>
    <w:rsid w:val="00A4000E"/>
    <w:rsid w:val="00A400CD"/>
    <w:rsid w:val="00A40698"/>
    <w:rsid w:val="00A409B1"/>
    <w:rsid w:val="00A40B17"/>
    <w:rsid w:val="00A42888"/>
    <w:rsid w:val="00A42A1F"/>
    <w:rsid w:val="00A43820"/>
    <w:rsid w:val="00A43CCA"/>
    <w:rsid w:val="00A43D28"/>
    <w:rsid w:val="00A43F47"/>
    <w:rsid w:val="00A4405E"/>
    <w:rsid w:val="00A44673"/>
    <w:rsid w:val="00A44913"/>
    <w:rsid w:val="00A44BB5"/>
    <w:rsid w:val="00A44CDB"/>
    <w:rsid w:val="00A45041"/>
    <w:rsid w:val="00A454C4"/>
    <w:rsid w:val="00A455B5"/>
    <w:rsid w:val="00A46542"/>
    <w:rsid w:val="00A50069"/>
    <w:rsid w:val="00A5043E"/>
    <w:rsid w:val="00A5047F"/>
    <w:rsid w:val="00A50B8F"/>
    <w:rsid w:val="00A5123C"/>
    <w:rsid w:val="00A514BF"/>
    <w:rsid w:val="00A514EB"/>
    <w:rsid w:val="00A51EE4"/>
    <w:rsid w:val="00A53B17"/>
    <w:rsid w:val="00A53FCC"/>
    <w:rsid w:val="00A543D5"/>
    <w:rsid w:val="00A54F31"/>
    <w:rsid w:val="00A55541"/>
    <w:rsid w:val="00A5721F"/>
    <w:rsid w:val="00A57A16"/>
    <w:rsid w:val="00A57FDB"/>
    <w:rsid w:val="00A603C2"/>
    <w:rsid w:val="00A6091A"/>
    <w:rsid w:val="00A61872"/>
    <w:rsid w:val="00A61C2B"/>
    <w:rsid w:val="00A61D5B"/>
    <w:rsid w:val="00A6201F"/>
    <w:rsid w:val="00A62312"/>
    <w:rsid w:val="00A63074"/>
    <w:rsid w:val="00A637CD"/>
    <w:rsid w:val="00A63EA1"/>
    <w:rsid w:val="00A63F75"/>
    <w:rsid w:val="00A6418B"/>
    <w:rsid w:val="00A644E0"/>
    <w:rsid w:val="00A65384"/>
    <w:rsid w:val="00A65609"/>
    <w:rsid w:val="00A66BDF"/>
    <w:rsid w:val="00A66DC8"/>
    <w:rsid w:val="00A670D7"/>
    <w:rsid w:val="00A70485"/>
    <w:rsid w:val="00A70800"/>
    <w:rsid w:val="00A711C2"/>
    <w:rsid w:val="00A717D1"/>
    <w:rsid w:val="00A718C2"/>
    <w:rsid w:val="00A719CE"/>
    <w:rsid w:val="00A723DF"/>
    <w:rsid w:val="00A73046"/>
    <w:rsid w:val="00A736D8"/>
    <w:rsid w:val="00A7370B"/>
    <w:rsid w:val="00A740F0"/>
    <w:rsid w:val="00A742AF"/>
    <w:rsid w:val="00A7463B"/>
    <w:rsid w:val="00A7538D"/>
    <w:rsid w:val="00A7688A"/>
    <w:rsid w:val="00A76E2A"/>
    <w:rsid w:val="00A7745C"/>
    <w:rsid w:val="00A80880"/>
    <w:rsid w:val="00A81002"/>
    <w:rsid w:val="00A81098"/>
    <w:rsid w:val="00A81448"/>
    <w:rsid w:val="00A82448"/>
    <w:rsid w:val="00A824BC"/>
    <w:rsid w:val="00A8286D"/>
    <w:rsid w:val="00A8454D"/>
    <w:rsid w:val="00A845FC"/>
    <w:rsid w:val="00A85369"/>
    <w:rsid w:val="00A87C3B"/>
    <w:rsid w:val="00A90183"/>
    <w:rsid w:val="00A90763"/>
    <w:rsid w:val="00A91291"/>
    <w:rsid w:val="00A91C2B"/>
    <w:rsid w:val="00A91F65"/>
    <w:rsid w:val="00A9236B"/>
    <w:rsid w:val="00A929B1"/>
    <w:rsid w:val="00A92BBB"/>
    <w:rsid w:val="00A92D40"/>
    <w:rsid w:val="00A931C2"/>
    <w:rsid w:val="00A932E9"/>
    <w:rsid w:val="00A93CC6"/>
    <w:rsid w:val="00A960E4"/>
    <w:rsid w:val="00A964D8"/>
    <w:rsid w:val="00A96E8E"/>
    <w:rsid w:val="00A97266"/>
    <w:rsid w:val="00A97330"/>
    <w:rsid w:val="00A97632"/>
    <w:rsid w:val="00A97FF8"/>
    <w:rsid w:val="00AA0748"/>
    <w:rsid w:val="00AA09B8"/>
    <w:rsid w:val="00AA160D"/>
    <w:rsid w:val="00AA1C44"/>
    <w:rsid w:val="00AA2B92"/>
    <w:rsid w:val="00AA2CEA"/>
    <w:rsid w:val="00AA3412"/>
    <w:rsid w:val="00AA3592"/>
    <w:rsid w:val="00AA39E9"/>
    <w:rsid w:val="00AA3BF6"/>
    <w:rsid w:val="00AA42C2"/>
    <w:rsid w:val="00AA4756"/>
    <w:rsid w:val="00AA4C1E"/>
    <w:rsid w:val="00AA52D9"/>
    <w:rsid w:val="00AA6E24"/>
    <w:rsid w:val="00AA70AF"/>
    <w:rsid w:val="00AA7749"/>
    <w:rsid w:val="00AA7A61"/>
    <w:rsid w:val="00AA7BE4"/>
    <w:rsid w:val="00AB0692"/>
    <w:rsid w:val="00AB14F1"/>
    <w:rsid w:val="00AB2723"/>
    <w:rsid w:val="00AB3DC7"/>
    <w:rsid w:val="00AB4D92"/>
    <w:rsid w:val="00AB5AC2"/>
    <w:rsid w:val="00AB6632"/>
    <w:rsid w:val="00AB6B28"/>
    <w:rsid w:val="00AB6B4A"/>
    <w:rsid w:val="00AB7286"/>
    <w:rsid w:val="00AB7A93"/>
    <w:rsid w:val="00AB7D86"/>
    <w:rsid w:val="00AB7DBD"/>
    <w:rsid w:val="00AC0969"/>
    <w:rsid w:val="00AC2F82"/>
    <w:rsid w:val="00AC31C8"/>
    <w:rsid w:val="00AC3FD5"/>
    <w:rsid w:val="00AC46EE"/>
    <w:rsid w:val="00AC4852"/>
    <w:rsid w:val="00AC5552"/>
    <w:rsid w:val="00AC556D"/>
    <w:rsid w:val="00AC5DF7"/>
    <w:rsid w:val="00AC5EA6"/>
    <w:rsid w:val="00AC6BD9"/>
    <w:rsid w:val="00AD01B3"/>
    <w:rsid w:val="00AD049A"/>
    <w:rsid w:val="00AD0775"/>
    <w:rsid w:val="00AD243A"/>
    <w:rsid w:val="00AD389B"/>
    <w:rsid w:val="00AD4311"/>
    <w:rsid w:val="00AD5315"/>
    <w:rsid w:val="00AD587E"/>
    <w:rsid w:val="00AD5D01"/>
    <w:rsid w:val="00AD5DDE"/>
    <w:rsid w:val="00AD6174"/>
    <w:rsid w:val="00AD6463"/>
    <w:rsid w:val="00AD719F"/>
    <w:rsid w:val="00AD7991"/>
    <w:rsid w:val="00AD7ACB"/>
    <w:rsid w:val="00AD7E7F"/>
    <w:rsid w:val="00AE0120"/>
    <w:rsid w:val="00AE04EC"/>
    <w:rsid w:val="00AE0776"/>
    <w:rsid w:val="00AE0FC7"/>
    <w:rsid w:val="00AE1244"/>
    <w:rsid w:val="00AE124B"/>
    <w:rsid w:val="00AE1614"/>
    <w:rsid w:val="00AE1A29"/>
    <w:rsid w:val="00AE1EC4"/>
    <w:rsid w:val="00AE279E"/>
    <w:rsid w:val="00AE32CA"/>
    <w:rsid w:val="00AE3811"/>
    <w:rsid w:val="00AE3F96"/>
    <w:rsid w:val="00AE4031"/>
    <w:rsid w:val="00AE5275"/>
    <w:rsid w:val="00AE5FB3"/>
    <w:rsid w:val="00AE64BC"/>
    <w:rsid w:val="00AE7082"/>
    <w:rsid w:val="00AE71E2"/>
    <w:rsid w:val="00AE796A"/>
    <w:rsid w:val="00AE7D0C"/>
    <w:rsid w:val="00AF1E8A"/>
    <w:rsid w:val="00AF2246"/>
    <w:rsid w:val="00AF2615"/>
    <w:rsid w:val="00AF2921"/>
    <w:rsid w:val="00AF3706"/>
    <w:rsid w:val="00AF3794"/>
    <w:rsid w:val="00AF3807"/>
    <w:rsid w:val="00AF440F"/>
    <w:rsid w:val="00AF47EF"/>
    <w:rsid w:val="00AF5A71"/>
    <w:rsid w:val="00AF5A87"/>
    <w:rsid w:val="00AF5E08"/>
    <w:rsid w:val="00AF6064"/>
    <w:rsid w:val="00AF72F8"/>
    <w:rsid w:val="00B009A2"/>
    <w:rsid w:val="00B00A09"/>
    <w:rsid w:val="00B01296"/>
    <w:rsid w:val="00B01B94"/>
    <w:rsid w:val="00B01E3B"/>
    <w:rsid w:val="00B0211A"/>
    <w:rsid w:val="00B02D47"/>
    <w:rsid w:val="00B03534"/>
    <w:rsid w:val="00B04790"/>
    <w:rsid w:val="00B1051A"/>
    <w:rsid w:val="00B105E7"/>
    <w:rsid w:val="00B10869"/>
    <w:rsid w:val="00B109EB"/>
    <w:rsid w:val="00B10BC9"/>
    <w:rsid w:val="00B11C23"/>
    <w:rsid w:val="00B1297B"/>
    <w:rsid w:val="00B12CE3"/>
    <w:rsid w:val="00B13F16"/>
    <w:rsid w:val="00B1414A"/>
    <w:rsid w:val="00B143D6"/>
    <w:rsid w:val="00B14C0B"/>
    <w:rsid w:val="00B1527D"/>
    <w:rsid w:val="00B1609F"/>
    <w:rsid w:val="00B17ED5"/>
    <w:rsid w:val="00B20276"/>
    <w:rsid w:val="00B20415"/>
    <w:rsid w:val="00B20A0F"/>
    <w:rsid w:val="00B20B38"/>
    <w:rsid w:val="00B21912"/>
    <w:rsid w:val="00B22801"/>
    <w:rsid w:val="00B22FD6"/>
    <w:rsid w:val="00B2314A"/>
    <w:rsid w:val="00B2401E"/>
    <w:rsid w:val="00B244EB"/>
    <w:rsid w:val="00B245D6"/>
    <w:rsid w:val="00B25185"/>
    <w:rsid w:val="00B25E84"/>
    <w:rsid w:val="00B25EA0"/>
    <w:rsid w:val="00B25EE9"/>
    <w:rsid w:val="00B267D3"/>
    <w:rsid w:val="00B26A5C"/>
    <w:rsid w:val="00B26D34"/>
    <w:rsid w:val="00B2702F"/>
    <w:rsid w:val="00B275E1"/>
    <w:rsid w:val="00B27895"/>
    <w:rsid w:val="00B27983"/>
    <w:rsid w:val="00B27AB1"/>
    <w:rsid w:val="00B27EB3"/>
    <w:rsid w:val="00B319F3"/>
    <w:rsid w:val="00B31E10"/>
    <w:rsid w:val="00B31F5B"/>
    <w:rsid w:val="00B32FD8"/>
    <w:rsid w:val="00B335DA"/>
    <w:rsid w:val="00B336B0"/>
    <w:rsid w:val="00B33CD2"/>
    <w:rsid w:val="00B3411F"/>
    <w:rsid w:val="00B34E44"/>
    <w:rsid w:val="00B34F3B"/>
    <w:rsid w:val="00B35257"/>
    <w:rsid w:val="00B35A5F"/>
    <w:rsid w:val="00B36650"/>
    <w:rsid w:val="00B37CF4"/>
    <w:rsid w:val="00B40589"/>
    <w:rsid w:val="00B40B2C"/>
    <w:rsid w:val="00B41768"/>
    <w:rsid w:val="00B418AF"/>
    <w:rsid w:val="00B41D83"/>
    <w:rsid w:val="00B41E6C"/>
    <w:rsid w:val="00B420E9"/>
    <w:rsid w:val="00B4251C"/>
    <w:rsid w:val="00B42BB9"/>
    <w:rsid w:val="00B43097"/>
    <w:rsid w:val="00B43360"/>
    <w:rsid w:val="00B43FAD"/>
    <w:rsid w:val="00B44125"/>
    <w:rsid w:val="00B44896"/>
    <w:rsid w:val="00B448E1"/>
    <w:rsid w:val="00B45664"/>
    <w:rsid w:val="00B45C28"/>
    <w:rsid w:val="00B460A0"/>
    <w:rsid w:val="00B4630C"/>
    <w:rsid w:val="00B4638D"/>
    <w:rsid w:val="00B46561"/>
    <w:rsid w:val="00B47578"/>
    <w:rsid w:val="00B479AE"/>
    <w:rsid w:val="00B479B5"/>
    <w:rsid w:val="00B50028"/>
    <w:rsid w:val="00B51070"/>
    <w:rsid w:val="00B51E39"/>
    <w:rsid w:val="00B52728"/>
    <w:rsid w:val="00B52D5B"/>
    <w:rsid w:val="00B52E69"/>
    <w:rsid w:val="00B52F9A"/>
    <w:rsid w:val="00B5361A"/>
    <w:rsid w:val="00B53774"/>
    <w:rsid w:val="00B55043"/>
    <w:rsid w:val="00B55A35"/>
    <w:rsid w:val="00B562AF"/>
    <w:rsid w:val="00B56766"/>
    <w:rsid w:val="00B6019F"/>
    <w:rsid w:val="00B6031B"/>
    <w:rsid w:val="00B60A5F"/>
    <w:rsid w:val="00B60D3D"/>
    <w:rsid w:val="00B61073"/>
    <w:rsid w:val="00B61557"/>
    <w:rsid w:val="00B62298"/>
    <w:rsid w:val="00B624A4"/>
    <w:rsid w:val="00B62890"/>
    <w:rsid w:val="00B63F33"/>
    <w:rsid w:val="00B648A2"/>
    <w:rsid w:val="00B64E6C"/>
    <w:rsid w:val="00B6506F"/>
    <w:rsid w:val="00B65978"/>
    <w:rsid w:val="00B662E8"/>
    <w:rsid w:val="00B666BA"/>
    <w:rsid w:val="00B666ED"/>
    <w:rsid w:val="00B67E22"/>
    <w:rsid w:val="00B716E9"/>
    <w:rsid w:val="00B71733"/>
    <w:rsid w:val="00B728CA"/>
    <w:rsid w:val="00B72E25"/>
    <w:rsid w:val="00B731E4"/>
    <w:rsid w:val="00B75E7D"/>
    <w:rsid w:val="00B76C8E"/>
    <w:rsid w:val="00B77489"/>
    <w:rsid w:val="00B7784D"/>
    <w:rsid w:val="00B80F8E"/>
    <w:rsid w:val="00B8213D"/>
    <w:rsid w:val="00B82924"/>
    <w:rsid w:val="00B82DB3"/>
    <w:rsid w:val="00B8364F"/>
    <w:rsid w:val="00B837ED"/>
    <w:rsid w:val="00B84796"/>
    <w:rsid w:val="00B85517"/>
    <w:rsid w:val="00B86F32"/>
    <w:rsid w:val="00B8782D"/>
    <w:rsid w:val="00B87CE4"/>
    <w:rsid w:val="00B87F1B"/>
    <w:rsid w:val="00B906D5"/>
    <w:rsid w:val="00B917D5"/>
    <w:rsid w:val="00B91960"/>
    <w:rsid w:val="00B92E26"/>
    <w:rsid w:val="00B93179"/>
    <w:rsid w:val="00B939AF"/>
    <w:rsid w:val="00B941AD"/>
    <w:rsid w:val="00B945DE"/>
    <w:rsid w:val="00B94A65"/>
    <w:rsid w:val="00B95DC0"/>
    <w:rsid w:val="00B966F4"/>
    <w:rsid w:val="00B968E5"/>
    <w:rsid w:val="00B96ECA"/>
    <w:rsid w:val="00B979CD"/>
    <w:rsid w:val="00B97CBA"/>
    <w:rsid w:val="00B97D1E"/>
    <w:rsid w:val="00B97DC4"/>
    <w:rsid w:val="00BA0BEA"/>
    <w:rsid w:val="00BA0CB7"/>
    <w:rsid w:val="00BA1BA7"/>
    <w:rsid w:val="00BA26C7"/>
    <w:rsid w:val="00BA2BBD"/>
    <w:rsid w:val="00BA359F"/>
    <w:rsid w:val="00BA3F00"/>
    <w:rsid w:val="00BA447B"/>
    <w:rsid w:val="00BA4767"/>
    <w:rsid w:val="00BA4A19"/>
    <w:rsid w:val="00BA5C48"/>
    <w:rsid w:val="00BA6797"/>
    <w:rsid w:val="00BB0CE1"/>
    <w:rsid w:val="00BB0F82"/>
    <w:rsid w:val="00BB0FB9"/>
    <w:rsid w:val="00BB1308"/>
    <w:rsid w:val="00BB13EF"/>
    <w:rsid w:val="00BB1B10"/>
    <w:rsid w:val="00BB1BB5"/>
    <w:rsid w:val="00BB2C49"/>
    <w:rsid w:val="00BB2F93"/>
    <w:rsid w:val="00BB38A1"/>
    <w:rsid w:val="00BB4FAA"/>
    <w:rsid w:val="00BB5AFC"/>
    <w:rsid w:val="00BB5FD1"/>
    <w:rsid w:val="00BB63E2"/>
    <w:rsid w:val="00BB6EF6"/>
    <w:rsid w:val="00BB7453"/>
    <w:rsid w:val="00BB7A04"/>
    <w:rsid w:val="00BB7C71"/>
    <w:rsid w:val="00BC2112"/>
    <w:rsid w:val="00BC2AEE"/>
    <w:rsid w:val="00BC2B34"/>
    <w:rsid w:val="00BC2CC7"/>
    <w:rsid w:val="00BC36D3"/>
    <w:rsid w:val="00BC3D4A"/>
    <w:rsid w:val="00BC4B52"/>
    <w:rsid w:val="00BC4C7D"/>
    <w:rsid w:val="00BC4D40"/>
    <w:rsid w:val="00BC507F"/>
    <w:rsid w:val="00BC5195"/>
    <w:rsid w:val="00BC56DA"/>
    <w:rsid w:val="00BC5CE9"/>
    <w:rsid w:val="00BC5D4F"/>
    <w:rsid w:val="00BC5F23"/>
    <w:rsid w:val="00BC64C2"/>
    <w:rsid w:val="00BC71FD"/>
    <w:rsid w:val="00BD05CA"/>
    <w:rsid w:val="00BD0AA7"/>
    <w:rsid w:val="00BD15A3"/>
    <w:rsid w:val="00BD1618"/>
    <w:rsid w:val="00BD19BF"/>
    <w:rsid w:val="00BD1AC5"/>
    <w:rsid w:val="00BD1B27"/>
    <w:rsid w:val="00BD22CE"/>
    <w:rsid w:val="00BD2B4D"/>
    <w:rsid w:val="00BD3194"/>
    <w:rsid w:val="00BD33BB"/>
    <w:rsid w:val="00BD3738"/>
    <w:rsid w:val="00BD3C79"/>
    <w:rsid w:val="00BD3E0E"/>
    <w:rsid w:val="00BD410F"/>
    <w:rsid w:val="00BD5D19"/>
    <w:rsid w:val="00BD5EE1"/>
    <w:rsid w:val="00BD76D6"/>
    <w:rsid w:val="00BD7CCF"/>
    <w:rsid w:val="00BE01E4"/>
    <w:rsid w:val="00BE1288"/>
    <w:rsid w:val="00BE17E6"/>
    <w:rsid w:val="00BE23F0"/>
    <w:rsid w:val="00BE2B48"/>
    <w:rsid w:val="00BE3D56"/>
    <w:rsid w:val="00BE3DDB"/>
    <w:rsid w:val="00BE4515"/>
    <w:rsid w:val="00BE48A4"/>
    <w:rsid w:val="00BE507C"/>
    <w:rsid w:val="00BE5275"/>
    <w:rsid w:val="00BE5A6A"/>
    <w:rsid w:val="00BE5C36"/>
    <w:rsid w:val="00BE6D54"/>
    <w:rsid w:val="00BE73D1"/>
    <w:rsid w:val="00BE7F8D"/>
    <w:rsid w:val="00BF0F34"/>
    <w:rsid w:val="00BF1C51"/>
    <w:rsid w:val="00BF244B"/>
    <w:rsid w:val="00BF26DB"/>
    <w:rsid w:val="00BF3521"/>
    <w:rsid w:val="00BF38CE"/>
    <w:rsid w:val="00BF414C"/>
    <w:rsid w:val="00BF41F8"/>
    <w:rsid w:val="00BF4EFC"/>
    <w:rsid w:val="00BF512B"/>
    <w:rsid w:val="00BF5427"/>
    <w:rsid w:val="00BF5760"/>
    <w:rsid w:val="00BF5CC7"/>
    <w:rsid w:val="00BF5DF6"/>
    <w:rsid w:val="00BF691F"/>
    <w:rsid w:val="00BF6997"/>
    <w:rsid w:val="00C003AC"/>
    <w:rsid w:val="00C00666"/>
    <w:rsid w:val="00C02805"/>
    <w:rsid w:val="00C03000"/>
    <w:rsid w:val="00C03384"/>
    <w:rsid w:val="00C039E2"/>
    <w:rsid w:val="00C065F7"/>
    <w:rsid w:val="00C06E97"/>
    <w:rsid w:val="00C0717A"/>
    <w:rsid w:val="00C07BFA"/>
    <w:rsid w:val="00C101E4"/>
    <w:rsid w:val="00C10B22"/>
    <w:rsid w:val="00C112E0"/>
    <w:rsid w:val="00C11A76"/>
    <w:rsid w:val="00C12A2B"/>
    <w:rsid w:val="00C139B6"/>
    <w:rsid w:val="00C13E37"/>
    <w:rsid w:val="00C14ED9"/>
    <w:rsid w:val="00C151CA"/>
    <w:rsid w:val="00C153D1"/>
    <w:rsid w:val="00C15B86"/>
    <w:rsid w:val="00C15C1E"/>
    <w:rsid w:val="00C15E7B"/>
    <w:rsid w:val="00C1630E"/>
    <w:rsid w:val="00C166A3"/>
    <w:rsid w:val="00C16717"/>
    <w:rsid w:val="00C168A5"/>
    <w:rsid w:val="00C17090"/>
    <w:rsid w:val="00C17AF2"/>
    <w:rsid w:val="00C17F5E"/>
    <w:rsid w:val="00C2029D"/>
    <w:rsid w:val="00C2057E"/>
    <w:rsid w:val="00C2061C"/>
    <w:rsid w:val="00C21B35"/>
    <w:rsid w:val="00C22B61"/>
    <w:rsid w:val="00C22C49"/>
    <w:rsid w:val="00C243D1"/>
    <w:rsid w:val="00C24A03"/>
    <w:rsid w:val="00C26848"/>
    <w:rsid w:val="00C27DF9"/>
    <w:rsid w:val="00C30640"/>
    <w:rsid w:val="00C30A47"/>
    <w:rsid w:val="00C31856"/>
    <w:rsid w:val="00C31C67"/>
    <w:rsid w:val="00C31F4E"/>
    <w:rsid w:val="00C32300"/>
    <w:rsid w:val="00C32776"/>
    <w:rsid w:val="00C3283B"/>
    <w:rsid w:val="00C32C2E"/>
    <w:rsid w:val="00C32FBC"/>
    <w:rsid w:val="00C32FCB"/>
    <w:rsid w:val="00C33219"/>
    <w:rsid w:val="00C33BEE"/>
    <w:rsid w:val="00C33EA5"/>
    <w:rsid w:val="00C3419D"/>
    <w:rsid w:val="00C345B3"/>
    <w:rsid w:val="00C34999"/>
    <w:rsid w:val="00C353DA"/>
    <w:rsid w:val="00C364E0"/>
    <w:rsid w:val="00C3684B"/>
    <w:rsid w:val="00C36BAC"/>
    <w:rsid w:val="00C3714E"/>
    <w:rsid w:val="00C37591"/>
    <w:rsid w:val="00C37784"/>
    <w:rsid w:val="00C40032"/>
    <w:rsid w:val="00C40996"/>
    <w:rsid w:val="00C42D61"/>
    <w:rsid w:val="00C432B4"/>
    <w:rsid w:val="00C43C0D"/>
    <w:rsid w:val="00C443A4"/>
    <w:rsid w:val="00C44441"/>
    <w:rsid w:val="00C46254"/>
    <w:rsid w:val="00C463C3"/>
    <w:rsid w:val="00C465F6"/>
    <w:rsid w:val="00C46EB8"/>
    <w:rsid w:val="00C474D4"/>
    <w:rsid w:val="00C47E9E"/>
    <w:rsid w:val="00C500D0"/>
    <w:rsid w:val="00C5047F"/>
    <w:rsid w:val="00C50F4C"/>
    <w:rsid w:val="00C510FF"/>
    <w:rsid w:val="00C5123D"/>
    <w:rsid w:val="00C527A7"/>
    <w:rsid w:val="00C52AED"/>
    <w:rsid w:val="00C52E60"/>
    <w:rsid w:val="00C52FF7"/>
    <w:rsid w:val="00C53313"/>
    <w:rsid w:val="00C53996"/>
    <w:rsid w:val="00C56044"/>
    <w:rsid w:val="00C5619E"/>
    <w:rsid w:val="00C561FB"/>
    <w:rsid w:val="00C56C81"/>
    <w:rsid w:val="00C56E4A"/>
    <w:rsid w:val="00C571A9"/>
    <w:rsid w:val="00C57378"/>
    <w:rsid w:val="00C60854"/>
    <w:rsid w:val="00C614FA"/>
    <w:rsid w:val="00C61AC5"/>
    <w:rsid w:val="00C6248D"/>
    <w:rsid w:val="00C62943"/>
    <w:rsid w:val="00C6359F"/>
    <w:rsid w:val="00C65059"/>
    <w:rsid w:val="00C6568E"/>
    <w:rsid w:val="00C658B9"/>
    <w:rsid w:val="00C65F01"/>
    <w:rsid w:val="00C66376"/>
    <w:rsid w:val="00C66C60"/>
    <w:rsid w:val="00C66DE0"/>
    <w:rsid w:val="00C67ED7"/>
    <w:rsid w:val="00C71DFE"/>
    <w:rsid w:val="00C722EA"/>
    <w:rsid w:val="00C73177"/>
    <w:rsid w:val="00C73503"/>
    <w:rsid w:val="00C73C17"/>
    <w:rsid w:val="00C73F53"/>
    <w:rsid w:val="00C75CF1"/>
    <w:rsid w:val="00C7605C"/>
    <w:rsid w:val="00C7615B"/>
    <w:rsid w:val="00C76727"/>
    <w:rsid w:val="00C76CA5"/>
    <w:rsid w:val="00C76DF5"/>
    <w:rsid w:val="00C77157"/>
    <w:rsid w:val="00C77BF6"/>
    <w:rsid w:val="00C77CF3"/>
    <w:rsid w:val="00C803BC"/>
    <w:rsid w:val="00C81419"/>
    <w:rsid w:val="00C816F4"/>
    <w:rsid w:val="00C81A84"/>
    <w:rsid w:val="00C83691"/>
    <w:rsid w:val="00C848B0"/>
    <w:rsid w:val="00C8528C"/>
    <w:rsid w:val="00C855E8"/>
    <w:rsid w:val="00C856B7"/>
    <w:rsid w:val="00C857C7"/>
    <w:rsid w:val="00C8591B"/>
    <w:rsid w:val="00C859CE"/>
    <w:rsid w:val="00C85B68"/>
    <w:rsid w:val="00C85F8A"/>
    <w:rsid w:val="00C85FCC"/>
    <w:rsid w:val="00C8616A"/>
    <w:rsid w:val="00C862CD"/>
    <w:rsid w:val="00C902D7"/>
    <w:rsid w:val="00C90B88"/>
    <w:rsid w:val="00C90F20"/>
    <w:rsid w:val="00C90FFA"/>
    <w:rsid w:val="00C915DE"/>
    <w:rsid w:val="00C93494"/>
    <w:rsid w:val="00C938D5"/>
    <w:rsid w:val="00C95E5C"/>
    <w:rsid w:val="00C967C7"/>
    <w:rsid w:val="00C96CD7"/>
    <w:rsid w:val="00C96E2F"/>
    <w:rsid w:val="00C97238"/>
    <w:rsid w:val="00C97723"/>
    <w:rsid w:val="00CA0748"/>
    <w:rsid w:val="00CA1EB6"/>
    <w:rsid w:val="00CA2F84"/>
    <w:rsid w:val="00CA36D9"/>
    <w:rsid w:val="00CA4B6F"/>
    <w:rsid w:val="00CA6CD2"/>
    <w:rsid w:val="00CA7050"/>
    <w:rsid w:val="00CA7518"/>
    <w:rsid w:val="00CA7605"/>
    <w:rsid w:val="00CA76C6"/>
    <w:rsid w:val="00CA7BB8"/>
    <w:rsid w:val="00CB008C"/>
    <w:rsid w:val="00CB1187"/>
    <w:rsid w:val="00CB1574"/>
    <w:rsid w:val="00CB17D6"/>
    <w:rsid w:val="00CB257D"/>
    <w:rsid w:val="00CB2652"/>
    <w:rsid w:val="00CB2B96"/>
    <w:rsid w:val="00CB2EF4"/>
    <w:rsid w:val="00CB44D2"/>
    <w:rsid w:val="00CB4E65"/>
    <w:rsid w:val="00CB4F26"/>
    <w:rsid w:val="00CB5283"/>
    <w:rsid w:val="00CB5D87"/>
    <w:rsid w:val="00CB612B"/>
    <w:rsid w:val="00CB6850"/>
    <w:rsid w:val="00CB6B33"/>
    <w:rsid w:val="00CC0292"/>
    <w:rsid w:val="00CC04CC"/>
    <w:rsid w:val="00CC0A34"/>
    <w:rsid w:val="00CC0AF8"/>
    <w:rsid w:val="00CC16A9"/>
    <w:rsid w:val="00CC2C6E"/>
    <w:rsid w:val="00CC2E63"/>
    <w:rsid w:val="00CC315C"/>
    <w:rsid w:val="00CC3776"/>
    <w:rsid w:val="00CC3F37"/>
    <w:rsid w:val="00CC4114"/>
    <w:rsid w:val="00CC449C"/>
    <w:rsid w:val="00CC5823"/>
    <w:rsid w:val="00CC58B3"/>
    <w:rsid w:val="00CC69C6"/>
    <w:rsid w:val="00CC7955"/>
    <w:rsid w:val="00CC7BCA"/>
    <w:rsid w:val="00CD1EC6"/>
    <w:rsid w:val="00CD2791"/>
    <w:rsid w:val="00CD293A"/>
    <w:rsid w:val="00CD312D"/>
    <w:rsid w:val="00CD35BC"/>
    <w:rsid w:val="00CD36F5"/>
    <w:rsid w:val="00CD3E17"/>
    <w:rsid w:val="00CD51BE"/>
    <w:rsid w:val="00CD61ED"/>
    <w:rsid w:val="00CD73B0"/>
    <w:rsid w:val="00CE097A"/>
    <w:rsid w:val="00CE0FC4"/>
    <w:rsid w:val="00CE1175"/>
    <w:rsid w:val="00CE1980"/>
    <w:rsid w:val="00CE25AC"/>
    <w:rsid w:val="00CE4088"/>
    <w:rsid w:val="00CE5EE2"/>
    <w:rsid w:val="00CE658B"/>
    <w:rsid w:val="00CE67D7"/>
    <w:rsid w:val="00CE6CE1"/>
    <w:rsid w:val="00CE6CF3"/>
    <w:rsid w:val="00CE6E7F"/>
    <w:rsid w:val="00CE7214"/>
    <w:rsid w:val="00CE783A"/>
    <w:rsid w:val="00CF0C9A"/>
    <w:rsid w:val="00CF1D8E"/>
    <w:rsid w:val="00CF2B24"/>
    <w:rsid w:val="00CF33F9"/>
    <w:rsid w:val="00CF345E"/>
    <w:rsid w:val="00CF377E"/>
    <w:rsid w:val="00CF48CA"/>
    <w:rsid w:val="00CF4EC9"/>
    <w:rsid w:val="00CF5A7E"/>
    <w:rsid w:val="00CF5D3E"/>
    <w:rsid w:val="00CF5E0D"/>
    <w:rsid w:val="00CF5F6D"/>
    <w:rsid w:val="00CF6ACF"/>
    <w:rsid w:val="00CF6AD7"/>
    <w:rsid w:val="00CF757E"/>
    <w:rsid w:val="00CF7ECF"/>
    <w:rsid w:val="00D00C08"/>
    <w:rsid w:val="00D0245E"/>
    <w:rsid w:val="00D02B10"/>
    <w:rsid w:val="00D0345A"/>
    <w:rsid w:val="00D03883"/>
    <w:rsid w:val="00D03925"/>
    <w:rsid w:val="00D03EDE"/>
    <w:rsid w:val="00D0417F"/>
    <w:rsid w:val="00D04535"/>
    <w:rsid w:val="00D0575D"/>
    <w:rsid w:val="00D05D15"/>
    <w:rsid w:val="00D05D2F"/>
    <w:rsid w:val="00D05E6B"/>
    <w:rsid w:val="00D062F1"/>
    <w:rsid w:val="00D0646E"/>
    <w:rsid w:val="00D067DE"/>
    <w:rsid w:val="00D0680C"/>
    <w:rsid w:val="00D0767B"/>
    <w:rsid w:val="00D07C09"/>
    <w:rsid w:val="00D104F1"/>
    <w:rsid w:val="00D106F2"/>
    <w:rsid w:val="00D1076A"/>
    <w:rsid w:val="00D1085D"/>
    <w:rsid w:val="00D1086E"/>
    <w:rsid w:val="00D10C2A"/>
    <w:rsid w:val="00D110FF"/>
    <w:rsid w:val="00D112BF"/>
    <w:rsid w:val="00D125D4"/>
    <w:rsid w:val="00D1289D"/>
    <w:rsid w:val="00D12E32"/>
    <w:rsid w:val="00D132DC"/>
    <w:rsid w:val="00D13872"/>
    <w:rsid w:val="00D140CB"/>
    <w:rsid w:val="00D14C87"/>
    <w:rsid w:val="00D157D8"/>
    <w:rsid w:val="00D159D1"/>
    <w:rsid w:val="00D15CAC"/>
    <w:rsid w:val="00D1625E"/>
    <w:rsid w:val="00D1701E"/>
    <w:rsid w:val="00D17648"/>
    <w:rsid w:val="00D17C8B"/>
    <w:rsid w:val="00D20BC1"/>
    <w:rsid w:val="00D21D75"/>
    <w:rsid w:val="00D21FB8"/>
    <w:rsid w:val="00D22201"/>
    <w:rsid w:val="00D227AF"/>
    <w:rsid w:val="00D23B4B"/>
    <w:rsid w:val="00D265C0"/>
    <w:rsid w:val="00D26C6F"/>
    <w:rsid w:val="00D27046"/>
    <w:rsid w:val="00D27411"/>
    <w:rsid w:val="00D30DBE"/>
    <w:rsid w:val="00D31FFC"/>
    <w:rsid w:val="00D32C79"/>
    <w:rsid w:val="00D331F5"/>
    <w:rsid w:val="00D33A6B"/>
    <w:rsid w:val="00D3426F"/>
    <w:rsid w:val="00D343E1"/>
    <w:rsid w:val="00D34AC5"/>
    <w:rsid w:val="00D34CD3"/>
    <w:rsid w:val="00D35F96"/>
    <w:rsid w:val="00D364F7"/>
    <w:rsid w:val="00D36B07"/>
    <w:rsid w:val="00D36D3C"/>
    <w:rsid w:val="00D3703B"/>
    <w:rsid w:val="00D40219"/>
    <w:rsid w:val="00D407AA"/>
    <w:rsid w:val="00D40B7C"/>
    <w:rsid w:val="00D40D49"/>
    <w:rsid w:val="00D416EF"/>
    <w:rsid w:val="00D41907"/>
    <w:rsid w:val="00D41CE8"/>
    <w:rsid w:val="00D423B6"/>
    <w:rsid w:val="00D42FCA"/>
    <w:rsid w:val="00D43342"/>
    <w:rsid w:val="00D43B78"/>
    <w:rsid w:val="00D442D2"/>
    <w:rsid w:val="00D44739"/>
    <w:rsid w:val="00D44F64"/>
    <w:rsid w:val="00D450E4"/>
    <w:rsid w:val="00D47275"/>
    <w:rsid w:val="00D47479"/>
    <w:rsid w:val="00D47916"/>
    <w:rsid w:val="00D5050D"/>
    <w:rsid w:val="00D50639"/>
    <w:rsid w:val="00D50D30"/>
    <w:rsid w:val="00D51435"/>
    <w:rsid w:val="00D51753"/>
    <w:rsid w:val="00D51811"/>
    <w:rsid w:val="00D51862"/>
    <w:rsid w:val="00D527F7"/>
    <w:rsid w:val="00D545C8"/>
    <w:rsid w:val="00D56304"/>
    <w:rsid w:val="00D56513"/>
    <w:rsid w:val="00D56641"/>
    <w:rsid w:val="00D56E18"/>
    <w:rsid w:val="00D57E5C"/>
    <w:rsid w:val="00D61648"/>
    <w:rsid w:val="00D619B7"/>
    <w:rsid w:val="00D61AAA"/>
    <w:rsid w:val="00D61CAC"/>
    <w:rsid w:val="00D61E8A"/>
    <w:rsid w:val="00D62582"/>
    <w:rsid w:val="00D638C8"/>
    <w:rsid w:val="00D640FD"/>
    <w:rsid w:val="00D64240"/>
    <w:rsid w:val="00D653B9"/>
    <w:rsid w:val="00D65741"/>
    <w:rsid w:val="00D659B7"/>
    <w:rsid w:val="00D66061"/>
    <w:rsid w:val="00D7043B"/>
    <w:rsid w:val="00D70A6B"/>
    <w:rsid w:val="00D70C07"/>
    <w:rsid w:val="00D71269"/>
    <w:rsid w:val="00D71637"/>
    <w:rsid w:val="00D716EF"/>
    <w:rsid w:val="00D739D4"/>
    <w:rsid w:val="00D73C60"/>
    <w:rsid w:val="00D74711"/>
    <w:rsid w:val="00D751A3"/>
    <w:rsid w:val="00D756C4"/>
    <w:rsid w:val="00D76FAC"/>
    <w:rsid w:val="00D771E1"/>
    <w:rsid w:val="00D77ABA"/>
    <w:rsid w:val="00D77AF7"/>
    <w:rsid w:val="00D80BDF"/>
    <w:rsid w:val="00D80F08"/>
    <w:rsid w:val="00D80FBD"/>
    <w:rsid w:val="00D81682"/>
    <w:rsid w:val="00D82A1F"/>
    <w:rsid w:val="00D82C3F"/>
    <w:rsid w:val="00D82FB2"/>
    <w:rsid w:val="00D83676"/>
    <w:rsid w:val="00D84CC5"/>
    <w:rsid w:val="00D84EAB"/>
    <w:rsid w:val="00D84FEA"/>
    <w:rsid w:val="00D85051"/>
    <w:rsid w:val="00D8589D"/>
    <w:rsid w:val="00D85C86"/>
    <w:rsid w:val="00D8605B"/>
    <w:rsid w:val="00D86407"/>
    <w:rsid w:val="00D86AFA"/>
    <w:rsid w:val="00D873D4"/>
    <w:rsid w:val="00D87725"/>
    <w:rsid w:val="00D8783A"/>
    <w:rsid w:val="00D90062"/>
    <w:rsid w:val="00D900B0"/>
    <w:rsid w:val="00D903BD"/>
    <w:rsid w:val="00D90A68"/>
    <w:rsid w:val="00D90C3F"/>
    <w:rsid w:val="00D9135B"/>
    <w:rsid w:val="00D918AF"/>
    <w:rsid w:val="00D91BD0"/>
    <w:rsid w:val="00D927B2"/>
    <w:rsid w:val="00D92CE5"/>
    <w:rsid w:val="00D936A9"/>
    <w:rsid w:val="00D937E1"/>
    <w:rsid w:val="00D9395D"/>
    <w:rsid w:val="00D941E4"/>
    <w:rsid w:val="00D94899"/>
    <w:rsid w:val="00D94D0F"/>
    <w:rsid w:val="00D95574"/>
    <w:rsid w:val="00D96776"/>
    <w:rsid w:val="00D968F7"/>
    <w:rsid w:val="00D97214"/>
    <w:rsid w:val="00D9758F"/>
    <w:rsid w:val="00D97D56"/>
    <w:rsid w:val="00D97D73"/>
    <w:rsid w:val="00DA0C81"/>
    <w:rsid w:val="00DA17D8"/>
    <w:rsid w:val="00DA3087"/>
    <w:rsid w:val="00DA3245"/>
    <w:rsid w:val="00DA3850"/>
    <w:rsid w:val="00DA3854"/>
    <w:rsid w:val="00DA4962"/>
    <w:rsid w:val="00DA5497"/>
    <w:rsid w:val="00DA5711"/>
    <w:rsid w:val="00DA5758"/>
    <w:rsid w:val="00DA5982"/>
    <w:rsid w:val="00DA6146"/>
    <w:rsid w:val="00DA6B17"/>
    <w:rsid w:val="00DA74E0"/>
    <w:rsid w:val="00DB0490"/>
    <w:rsid w:val="00DB1518"/>
    <w:rsid w:val="00DB17B1"/>
    <w:rsid w:val="00DB17DC"/>
    <w:rsid w:val="00DB2F2E"/>
    <w:rsid w:val="00DB2F9B"/>
    <w:rsid w:val="00DB3C29"/>
    <w:rsid w:val="00DB3FAC"/>
    <w:rsid w:val="00DB5D1D"/>
    <w:rsid w:val="00DB5F86"/>
    <w:rsid w:val="00DB6139"/>
    <w:rsid w:val="00DB6321"/>
    <w:rsid w:val="00DB6532"/>
    <w:rsid w:val="00DB69C4"/>
    <w:rsid w:val="00DB6E90"/>
    <w:rsid w:val="00DB75B1"/>
    <w:rsid w:val="00DB777C"/>
    <w:rsid w:val="00DB7D32"/>
    <w:rsid w:val="00DB7F1E"/>
    <w:rsid w:val="00DB7F7B"/>
    <w:rsid w:val="00DC03C3"/>
    <w:rsid w:val="00DC0D4C"/>
    <w:rsid w:val="00DC272C"/>
    <w:rsid w:val="00DC2C36"/>
    <w:rsid w:val="00DC3068"/>
    <w:rsid w:val="00DC3136"/>
    <w:rsid w:val="00DC3AB5"/>
    <w:rsid w:val="00DC3D68"/>
    <w:rsid w:val="00DC4FFF"/>
    <w:rsid w:val="00DC5D69"/>
    <w:rsid w:val="00DC645F"/>
    <w:rsid w:val="00DC658A"/>
    <w:rsid w:val="00DC68B8"/>
    <w:rsid w:val="00DC790C"/>
    <w:rsid w:val="00DC7E1F"/>
    <w:rsid w:val="00DD0214"/>
    <w:rsid w:val="00DD0468"/>
    <w:rsid w:val="00DD09FE"/>
    <w:rsid w:val="00DD0C7F"/>
    <w:rsid w:val="00DD1293"/>
    <w:rsid w:val="00DD13D1"/>
    <w:rsid w:val="00DD1634"/>
    <w:rsid w:val="00DD1B84"/>
    <w:rsid w:val="00DD1F91"/>
    <w:rsid w:val="00DD2C19"/>
    <w:rsid w:val="00DD41A8"/>
    <w:rsid w:val="00DD4310"/>
    <w:rsid w:val="00DD4C12"/>
    <w:rsid w:val="00DD5198"/>
    <w:rsid w:val="00DD5A55"/>
    <w:rsid w:val="00DD6EFA"/>
    <w:rsid w:val="00DD7661"/>
    <w:rsid w:val="00DE002F"/>
    <w:rsid w:val="00DE0548"/>
    <w:rsid w:val="00DE09D5"/>
    <w:rsid w:val="00DE0E12"/>
    <w:rsid w:val="00DE27DF"/>
    <w:rsid w:val="00DE304E"/>
    <w:rsid w:val="00DE31FB"/>
    <w:rsid w:val="00DE33AE"/>
    <w:rsid w:val="00DE375D"/>
    <w:rsid w:val="00DE41FF"/>
    <w:rsid w:val="00DE48DC"/>
    <w:rsid w:val="00DE5A0D"/>
    <w:rsid w:val="00DE5AA9"/>
    <w:rsid w:val="00DE5BFD"/>
    <w:rsid w:val="00DE5D1A"/>
    <w:rsid w:val="00DE6F64"/>
    <w:rsid w:val="00DE75E8"/>
    <w:rsid w:val="00DE7CA4"/>
    <w:rsid w:val="00DE7FEB"/>
    <w:rsid w:val="00DF050E"/>
    <w:rsid w:val="00DF0661"/>
    <w:rsid w:val="00DF09D2"/>
    <w:rsid w:val="00DF1454"/>
    <w:rsid w:val="00DF158E"/>
    <w:rsid w:val="00DF1C3B"/>
    <w:rsid w:val="00DF2708"/>
    <w:rsid w:val="00DF35F6"/>
    <w:rsid w:val="00DF36E0"/>
    <w:rsid w:val="00DF41D6"/>
    <w:rsid w:val="00DF4276"/>
    <w:rsid w:val="00DF4EB2"/>
    <w:rsid w:val="00DF5E62"/>
    <w:rsid w:val="00DF6583"/>
    <w:rsid w:val="00DF6FDD"/>
    <w:rsid w:val="00DF767D"/>
    <w:rsid w:val="00DF7D1B"/>
    <w:rsid w:val="00E009A1"/>
    <w:rsid w:val="00E00DEB"/>
    <w:rsid w:val="00E01FEF"/>
    <w:rsid w:val="00E0247A"/>
    <w:rsid w:val="00E02AB4"/>
    <w:rsid w:val="00E02EBF"/>
    <w:rsid w:val="00E02ED9"/>
    <w:rsid w:val="00E03F94"/>
    <w:rsid w:val="00E04324"/>
    <w:rsid w:val="00E0478C"/>
    <w:rsid w:val="00E04E8A"/>
    <w:rsid w:val="00E05310"/>
    <w:rsid w:val="00E061DB"/>
    <w:rsid w:val="00E07151"/>
    <w:rsid w:val="00E07DCF"/>
    <w:rsid w:val="00E11048"/>
    <w:rsid w:val="00E113E3"/>
    <w:rsid w:val="00E11F3B"/>
    <w:rsid w:val="00E1292D"/>
    <w:rsid w:val="00E12E4A"/>
    <w:rsid w:val="00E13353"/>
    <w:rsid w:val="00E13431"/>
    <w:rsid w:val="00E136A8"/>
    <w:rsid w:val="00E143C3"/>
    <w:rsid w:val="00E143F6"/>
    <w:rsid w:val="00E15664"/>
    <w:rsid w:val="00E15C49"/>
    <w:rsid w:val="00E160AC"/>
    <w:rsid w:val="00E165CB"/>
    <w:rsid w:val="00E16C33"/>
    <w:rsid w:val="00E20B09"/>
    <w:rsid w:val="00E20FB4"/>
    <w:rsid w:val="00E212E6"/>
    <w:rsid w:val="00E229DB"/>
    <w:rsid w:val="00E22C67"/>
    <w:rsid w:val="00E22C86"/>
    <w:rsid w:val="00E23719"/>
    <w:rsid w:val="00E2485A"/>
    <w:rsid w:val="00E24CC2"/>
    <w:rsid w:val="00E275E8"/>
    <w:rsid w:val="00E27F23"/>
    <w:rsid w:val="00E30A50"/>
    <w:rsid w:val="00E30B64"/>
    <w:rsid w:val="00E31861"/>
    <w:rsid w:val="00E32930"/>
    <w:rsid w:val="00E33325"/>
    <w:rsid w:val="00E33BC5"/>
    <w:rsid w:val="00E341A8"/>
    <w:rsid w:val="00E342CA"/>
    <w:rsid w:val="00E3496F"/>
    <w:rsid w:val="00E35CA9"/>
    <w:rsid w:val="00E3620F"/>
    <w:rsid w:val="00E3790E"/>
    <w:rsid w:val="00E405A7"/>
    <w:rsid w:val="00E41621"/>
    <w:rsid w:val="00E41BB9"/>
    <w:rsid w:val="00E428BC"/>
    <w:rsid w:val="00E42A96"/>
    <w:rsid w:val="00E42D46"/>
    <w:rsid w:val="00E43F27"/>
    <w:rsid w:val="00E459A1"/>
    <w:rsid w:val="00E45C8D"/>
    <w:rsid w:val="00E462CD"/>
    <w:rsid w:val="00E46732"/>
    <w:rsid w:val="00E46C05"/>
    <w:rsid w:val="00E47495"/>
    <w:rsid w:val="00E4791E"/>
    <w:rsid w:val="00E47DE4"/>
    <w:rsid w:val="00E5027A"/>
    <w:rsid w:val="00E504C9"/>
    <w:rsid w:val="00E5146F"/>
    <w:rsid w:val="00E51686"/>
    <w:rsid w:val="00E51DF5"/>
    <w:rsid w:val="00E51ECC"/>
    <w:rsid w:val="00E52021"/>
    <w:rsid w:val="00E5253B"/>
    <w:rsid w:val="00E52B9C"/>
    <w:rsid w:val="00E52E21"/>
    <w:rsid w:val="00E532C0"/>
    <w:rsid w:val="00E532CD"/>
    <w:rsid w:val="00E54259"/>
    <w:rsid w:val="00E5498C"/>
    <w:rsid w:val="00E54B9A"/>
    <w:rsid w:val="00E5535D"/>
    <w:rsid w:val="00E55B32"/>
    <w:rsid w:val="00E5687A"/>
    <w:rsid w:val="00E56EE5"/>
    <w:rsid w:val="00E57370"/>
    <w:rsid w:val="00E575C3"/>
    <w:rsid w:val="00E615A8"/>
    <w:rsid w:val="00E61932"/>
    <w:rsid w:val="00E6232B"/>
    <w:rsid w:val="00E63443"/>
    <w:rsid w:val="00E6353B"/>
    <w:rsid w:val="00E63984"/>
    <w:rsid w:val="00E63AC9"/>
    <w:rsid w:val="00E63EB2"/>
    <w:rsid w:val="00E640D6"/>
    <w:rsid w:val="00E6543A"/>
    <w:rsid w:val="00E65A70"/>
    <w:rsid w:val="00E65DC1"/>
    <w:rsid w:val="00E66093"/>
    <w:rsid w:val="00E66244"/>
    <w:rsid w:val="00E66635"/>
    <w:rsid w:val="00E66924"/>
    <w:rsid w:val="00E66DB6"/>
    <w:rsid w:val="00E67794"/>
    <w:rsid w:val="00E67C41"/>
    <w:rsid w:val="00E70703"/>
    <w:rsid w:val="00E7117C"/>
    <w:rsid w:val="00E71A22"/>
    <w:rsid w:val="00E71B2F"/>
    <w:rsid w:val="00E72B7A"/>
    <w:rsid w:val="00E72CE9"/>
    <w:rsid w:val="00E7400C"/>
    <w:rsid w:val="00E75647"/>
    <w:rsid w:val="00E756BA"/>
    <w:rsid w:val="00E75E49"/>
    <w:rsid w:val="00E76ADB"/>
    <w:rsid w:val="00E76F71"/>
    <w:rsid w:val="00E7729C"/>
    <w:rsid w:val="00E80E3D"/>
    <w:rsid w:val="00E81FC9"/>
    <w:rsid w:val="00E824EF"/>
    <w:rsid w:val="00E82663"/>
    <w:rsid w:val="00E83611"/>
    <w:rsid w:val="00E8374F"/>
    <w:rsid w:val="00E839C1"/>
    <w:rsid w:val="00E846A9"/>
    <w:rsid w:val="00E84EF6"/>
    <w:rsid w:val="00E84F2C"/>
    <w:rsid w:val="00E85536"/>
    <w:rsid w:val="00E85677"/>
    <w:rsid w:val="00E8684B"/>
    <w:rsid w:val="00E86891"/>
    <w:rsid w:val="00E86C6A"/>
    <w:rsid w:val="00E87802"/>
    <w:rsid w:val="00E902AE"/>
    <w:rsid w:val="00E9106E"/>
    <w:rsid w:val="00E912BA"/>
    <w:rsid w:val="00E91DE5"/>
    <w:rsid w:val="00E92260"/>
    <w:rsid w:val="00E92629"/>
    <w:rsid w:val="00E9299D"/>
    <w:rsid w:val="00E92E82"/>
    <w:rsid w:val="00E92E8A"/>
    <w:rsid w:val="00E93284"/>
    <w:rsid w:val="00E94CA1"/>
    <w:rsid w:val="00E94EA6"/>
    <w:rsid w:val="00E95276"/>
    <w:rsid w:val="00E9591B"/>
    <w:rsid w:val="00E96B54"/>
    <w:rsid w:val="00E96CF9"/>
    <w:rsid w:val="00E97826"/>
    <w:rsid w:val="00E97CD0"/>
    <w:rsid w:val="00EA0BE3"/>
    <w:rsid w:val="00EA0F53"/>
    <w:rsid w:val="00EA2BAD"/>
    <w:rsid w:val="00EA317F"/>
    <w:rsid w:val="00EA5B24"/>
    <w:rsid w:val="00EA5F40"/>
    <w:rsid w:val="00EA657C"/>
    <w:rsid w:val="00EA67FE"/>
    <w:rsid w:val="00EB0EB7"/>
    <w:rsid w:val="00EB38B6"/>
    <w:rsid w:val="00EB3975"/>
    <w:rsid w:val="00EB3BAA"/>
    <w:rsid w:val="00EB45B9"/>
    <w:rsid w:val="00EB4794"/>
    <w:rsid w:val="00EB514E"/>
    <w:rsid w:val="00EB5CD4"/>
    <w:rsid w:val="00EB5E9F"/>
    <w:rsid w:val="00EB5FB6"/>
    <w:rsid w:val="00EB615D"/>
    <w:rsid w:val="00EB7F95"/>
    <w:rsid w:val="00EC0783"/>
    <w:rsid w:val="00EC0B22"/>
    <w:rsid w:val="00EC1953"/>
    <w:rsid w:val="00EC1A17"/>
    <w:rsid w:val="00EC2246"/>
    <w:rsid w:val="00EC326D"/>
    <w:rsid w:val="00EC477C"/>
    <w:rsid w:val="00EC4CB6"/>
    <w:rsid w:val="00EC50E1"/>
    <w:rsid w:val="00EC6BC6"/>
    <w:rsid w:val="00EC78BA"/>
    <w:rsid w:val="00ED06B0"/>
    <w:rsid w:val="00ED0934"/>
    <w:rsid w:val="00ED0A35"/>
    <w:rsid w:val="00ED0C52"/>
    <w:rsid w:val="00ED1E74"/>
    <w:rsid w:val="00ED1F47"/>
    <w:rsid w:val="00ED2FF3"/>
    <w:rsid w:val="00ED36C4"/>
    <w:rsid w:val="00ED373B"/>
    <w:rsid w:val="00ED38D0"/>
    <w:rsid w:val="00ED4333"/>
    <w:rsid w:val="00ED58A4"/>
    <w:rsid w:val="00ED5DAA"/>
    <w:rsid w:val="00ED678B"/>
    <w:rsid w:val="00ED6C8C"/>
    <w:rsid w:val="00ED7BBF"/>
    <w:rsid w:val="00ED7CA7"/>
    <w:rsid w:val="00EE297C"/>
    <w:rsid w:val="00EE31C2"/>
    <w:rsid w:val="00EE3D79"/>
    <w:rsid w:val="00EE4159"/>
    <w:rsid w:val="00EE4504"/>
    <w:rsid w:val="00EE49E2"/>
    <w:rsid w:val="00EE4ECF"/>
    <w:rsid w:val="00EE56DA"/>
    <w:rsid w:val="00EE5A0E"/>
    <w:rsid w:val="00EE6C4F"/>
    <w:rsid w:val="00EE79BD"/>
    <w:rsid w:val="00EF0020"/>
    <w:rsid w:val="00EF02C1"/>
    <w:rsid w:val="00EF10CA"/>
    <w:rsid w:val="00EF1443"/>
    <w:rsid w:val="00EF2249"/>
    <w:rsid w:val="00EF228D"/>
    <w:rsid w:val="00EF250C"/>
    <w:rsid w:val="00EF26DD"/>
    <w:rsid w:val="00EF2B54"/>
    <w:rsid w:val="00EF3A7B"/>
    <w:rsid w:val="00EF3AD2"/>
    <w:rsid w:val="00EF44D3"/>
    <w:rsid w:val="00EF48C1"/>
    <w:rsid w:val="00EF4D45"/>
    <w:rsid w:val="00EF545E"/>
    <w:rsid w:val="00EF5560"/>
    <w:rsid w:val="00EF5817"/>
    <w:rsid w:val="00EF6B1E"/>
    <w:rsid w:val="00EF6BC2"/>
    <w:rsid w:val="00EF6D25"/>
    <w:rsid w:val="00EF6DC4"/>
    <w:rsid w:val="00EF6DF4"/>
    <w:rsid w:val="00EF6F1C"/>
    <w:rsid w:val="00EF6F2C"/>
    <w:rsid w:val="00F00D6F"/>
    <w:rsid w:val="00F01575"/>
    <w:rsid w:val="00F02403"/>
    <w:rsid w:val="00F027B6"/>
    <w:rsid w:val="00F02BA9"/>
    <w:rsid w:val="00F03946"/>
    <w:rsid w:val="00F03F08"/>
    <w:rsid w:val="00F043CA"/>
    <w:rsid w:val="00F0442C"/>
    <w:rsid w:val="00F0462B"/>
    <w:rsid w:val="00F046CE"/>
    <w:rsid w:val="00F05235"/>
    <w:rsid w:val="00F0531E"/>
    <w:rsid w:val="00F05464"/>
    <w:rsid w:val="00F05D9A"/>
    <w:rsid w:val="00F06679"/>
    <w:rsid w:val="00F06837"/>
    <w:rsid w:val="00F07422"/>
    <w:rsid w:val="00F07B59"/>
    <w:rsid w:val="00F07E37"/>
    <w:rsid w:val="00F10942"/>
    <w:rsid w:val="00F10970"/>
    <w:rsid w:val="00F10C0C"/>
    <w:rsid w:val="00F10E1E"/>
    <w:rsid w:val="00F112F2"/>
    <w:rsid w:val="00F115C4"/>
    <w:rsid w:val="00F11D76"/>
    <w:rsid w:val="00F128E8"/>
    <w:rsid w:val="00F12A34"/>
    <w:rsid w:val="00F12D48"/>
    <w:rsid w:val="00F13578"/>
    <w:rsid w:val="00F1370B"/>
    <w:rsid w:val="00F1399B"/>
    <w:rsid w:val="00F13A4C"/>
    <w:rsid w:val="00F13BD9"/>
    <w:rsid w:val="00F1418D"/>
    <w:rsid w:val="00F159B3"/>
    <w:rsid w:val="00F16545"/>
    <w:rsid w:val="00F17484"/>
    <w:rsid w:val="00F177DD"/>
    <w:rsid w:val="00F204C8"/>
    <w:rsid w:val="00F2235E"/>
    <w:rsid w:val="00F2289B"/>
    <w:rsid w:val="00F25437"/>
    <w:rsid w:val="00F25871"/>
    <w:rsid w:val="00F27274"/>
    <w:rsid w:val="00F31F60"/>
    <w:rsid w:val="00F327A9"/>
    <w:rsid w:val="00F32985"/>
    <w:rsid w:val="00F32D67"/>
    <w:rsid w:val="00F33152"/>
    <w:rsid w:val="00F33648"/>
    <w:rsid w:val="00F33914"/>
    <w:rsid w:val="00F34B5B"/>
    <w:rsid w:val="00F35630"/>
    <w:rsid w:val="00F35751"/>
    <w:rsid w:val="00F357EF"/>
    <w:rsid w:val="00F36E31"/>
    <w:rsid w:val="00F3757C"/>
    <w:rsid w:val="00F379F4"/>
    <w:rsid w:val="00F37D8A"/>
    <w:rsid w:val="00F37F5A"/>
    <w:rsid w:val="00F402FE"/>
    <w:rsid w:val="00F409AF"/>
    <w:rsid w:val="00F40A88"/>
    <w:rsid w:val="00F411F5"/>
    <w:rsid w:val="00F41B34"/>
    <w:rsid w:val="00F41C09"/>
    <w:rsid w:val="00F42D91"/>
    <w:rsid w:val="00F433F1"/>
    <w:rsid w:val="00F43725"/>
    <w:rsid w:val="00F43D96"/>
    <w:rsid w:val="00F45557"/>
    <w:rsid w:val="00F463F7"/>
    <w:rsid w:val="00F47DFD"/>
    <w:rsid w:val="00F47FFB"/>
    <w:rsid w:val="00F50F4D"/>
    <w:rsid w:val="00F51302"/>
    <w:rsid w:val="00F51781"/>
    <w:rsid w:val="00F5188F"/>
    <w:rsid w:val="00F51A3F"/>
    <w:rsid w:val="00F52140"/>
    <w:rsid w:val="00F524DD"/>
    <w:rsid w:val="00F524EB"/>
    <w:rsid w:val="00F53BF5"/>
    <w:rsid w:val="00F53C5B"/>
    <w:rsid w:val="00F5471C"/>
    <w:rsid w:val="00F60296"/>
    <w:rsid w:val="00F6038A"/>
    <w:rsid w:val="00F60C86"/>
    <w:rsid w:val="00F60D9F"/>
    <w:rsid w:val="00F61358"/>
    <w:rsid w:val="00F617EF"/>
    <w:rsid w:val="00F61AA1"/>
    <w:rsid w:val="00F61B44"/>
    <w:rsid w:val="00F62AAB"/>
    <w:rsid w:val="00F63203"/>
    <w:rsid w:val="00F65E93"/>
    <w:rsid w:val="00F66894"/>
    <w:rsid w:val="00F66A7D"/>
    <w:rsid w:val="00F66DB4"/>
    <w:rsid w:val="00F678DE"/>
    <w:rsid w:val="00F70A2A"/>
    <w:rsid w:val="00F70A63"/>
    <w:rsid w:val="00F70B59"/>
    <w:rsid w:val="00F716E9"/>
    <w:rsid w:val="00F719C3"/>
    <w:rsid w:val="00F71B66"/>
    <w:rsid w:val="00F71C54"/>
    <w:rsid w:val="00F722EE"/>
    <w:rsid w:val="00F72C05"/>
    <w:rsid w:val="00F738B9"/>
    <w:rsid w:val="00F74071"/>
    <w:rsid w:val="00F74831"/>
    <w:rsid w:val="00F758C0"/>
    <w:rsid w:val="00F75A1D"/>
    <w:rsid w:val="00F767DD"/>
    <w:rsid w:val="00F76847"/>
    <w:rsid w:val="00F76A1D"/>
    <w:rsid w:val="00F77890"/>
    <w:rsid w:val="00F77D1F"/>
    <w:rsid w:val="00F77D47"/>
    <w:rsid w:val="00F77EEF"/>
    <w:rsid w:val="00F802C6"/>
    <w:rsid w:val="00F8046C"/>
    <w:rsid w:val="00F80669"/>
    <w:rsid w:val="00F80B71"/>
    <w:rsid w:val="00F81C92"/>
    <w:rsid w:val="00F8351F"/>
    <w:rsid w:val="00F84145"/>
    <w:rsid w:val="00F857F6"/>
    <w:rsid w:val="00F85CB9"/>
    <w:rsid w:val="00F86C26"/>
    <w:rsid w:val="00F86CB9"/>
    <w:rsid w:val="00F86F9F"/>
    <w:rsid w:val="00F871BB"/>
    <w:rsid w:val="00F87273"/>
    <w:rsid w:val="00F876AA"/>
    <w:rsid w:val="00F87CE6"/>
    <w:rsid w:val="00F87E80"/>
    <w:rsid w:val="00F9001D"/>
    <w:rsid w:val="00F90218"/>
    <w:rsid w:val="00F90418"/>
    <w:rsid w:val="00F92293"/>
    <w:rsid w:val="00F92862"/>
    <w:rsid w:val="00F92C10"/>
    <w:rsid w:val="00F93B13"/>
    <w:rsid w:val="00F93EF4"/>
    <w:rsid w:val="00F93F10"/>
    <w:rsid w:val="00F93FBD"/>
    <w:rsid w:val="00F941F3"/>
    <w:rsid w:val="00F94796"/>
    <w:rsid w:val="00F94955"/>
    <w:rsid w:val="00F94AAF"/>
    <w:rsid w:val="00F95084"/>
    <w:rsid w:val="00F951F2"/>
    <w:rsid w:val="00F95681"/>
    <w:rsid w:val="00F95813"/>
    <w:rsid w:val="00F95FB7"/>
    <w:rsid w:val="00F96C56"/>
    <w:rsid w:val="00F97FDF"/>
    <w:rsid w:val="00FA0078"/>
    <w:rsid w:val="00FA05F8"/>
    <w:rsid w:val="00FA066B"/>
    <w:rsid w:val="00FA1F4D"/>
    <w:rsid w:val="00FA1F8C"/>
    <w:rsid w:val="00FA2D86"/>
    <w:rsid w:val="00FA2D9D"/>
    <w:rsid w:val="00FA44CF"/>
    <w:rsid w:val="00FA4C66"/>
    <w:rsid w:val="00FA4E9D"/>
    <w:rsid w:val="00FA6303"/>
    <w:rsid w:val="00FA6CAA"/>
    <w:rsid w:val="00FA6D4E"/>
    <w:rsid w:val="00FA7710"/>
    <w:rsid w:val="00FA782D"/>
    <w:rsid w:val="00FB046A"/>
    <w:rsid w:val="00FB1868"/>
    <w:rsid w:val="00FB1DFC"/>
    <w:rsid w:val="00FB2A78"/>
    <w:rsid w:val="00FB2C5D"/>
    <w:rsid w:val="00FB3B04"/>
    <w:rsid w:val="00FB3F0B"/>
    <w:rsid w:val="00FB40C6"/>
    <w:rsid w:val="00FB5FD0"/>
    <w:rsid w:val="00FB6551"/>
    <w:rsid w:val="00FB6752"/>
    <w:rsid w:val="00FB7144"/>
    <w:rsid w:val="00FB72FA"/>
    <w:rsid w:val="00FB76A8"/>
    <w:rsid w:val="00FC0E47"/>
    <w:rsid w:val="00FC205A"/>
    <w:rsid w:val="00FC2100"/>
    <w:rsid w:val="00FC2C58"/>
    <w:rsid w:val="00FC2E79"/>
    <w:rsid w:val="00FC2F17"/>
    <w:rsid w:val="00FC307A"/>
    <w:rsid w:val="00FC3321"/>
    <w:rsid w:val="00FC4190"/>
    <w:rsid w:val="00FC612F"/>
    <w:rsid w:val="00FC6374"/>
    <w:rsid w:val="00FC6417"/>
    <w:rsid w:val="00FC67BA"/>
    <w:rsid w:val="00FC7781"/>
    <w:rsid w:val="00FC7D1E"/>
    <w:rsid w:val="00FD1A3A"/>
    <w:rsid w:val="00FD1BD4"/>
    <w:rsid w:val="00FD1E53"/>
    <w:rsid w:val="00FD1EB8"/>
    <w:rsid w:val="00FD2367"/>
    <w:rsid w:val="00FD2526"/>
    <w:rsid w:val="00FD3751"/>
    <w:rsid w:val="00FD3868"/>
    <w:rsid w:val="00FD412E"/>
    <w:rsid w:val="00FD48E6"/>
    <w:rsid w:val="00FD4F44"/>
    <w:rsid w:val="00FD56EB"/>
    <w:rsid w:val="00FD59CA"/>
    <w:rsid w:val="00FD6462"/>
    <w:rsid w:val="00FD66DA"/>
    <w:rsid w:val="00FD6961"/>
    <w:rsid w:val="00FD7584"/>
    <w:rsid w:val="00FD765C"/>
    <w:rsid w:val="00FD78FF"/>
    <w:rsid w:val="00FD7A90"/>
    <w:rsid w:val="00FE1054"/>
    <w:rsid w:val="00FE109D"/>
    <w:rsid w:val="00FE1A24"/>
    <w:rsid w:val="00FE1A80"/>
    <w:rsid w:val="00FE1C64"/>
    <w:rsid w:val="00FE2323"/>
    <w:rsid w:val="00FE232A"/>
    <w:rsid w:val="00FE2834"/>
    <w:rsid w:val="00FE3CB0"/>
    <w:rsid w:val="00FE3E9D"/>
    <w:rsid w:val="00FE4D6F"/>
    <w:rsid w:val="00FE5B6C"/>
    <w:rsid w:val="00FE6A88"/>
    <w:rsid w:val="00FE6AF8"/>
    <w:rsid w:val="00FE6F41"/>
    <w:rsid w:val="00FE7025"/>
    <w:rsid w:val="00FF036F"/>
    <w:rsid w:val="00FF04D2"/>
    <w:rsid w:val="00FF08E4"/>
    <w:rsid w:val="00FF0B11"/>
    <w:rsid w:val="00FF141A"/>
    <w:rsid w:val="00FF1AD9"/>
    <w:rsid w:val="00FF2599"/>
    <w:rsid w:val="00FF27E8"/>
    <w:rsid w:val="00FF3465"/>
    <w:rsid w:val="00FF3D57"/>
    <w:rsid w:val="00FF3DE4"/>
    <w:rsid w:val="00FF459B"/>
    <w:rsid w:val="00FF58AC"/>
    <w:rsid w:val="00FF5910"/>
    <w:rsid w:val="00FF6DDA"/>
    <w:rsid w:val="00FF7283"/>
    <w:rsid w:val="00FF77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c9f,#69f"/>
    </o:shapedefaults>
    <o:shapelayout v:ext="edit">
      <o:idmap v:ext="edit" data="1"/>
    </o:shapelayout>
  </w:shapeDefaults>
  <w:decimalSymbol w:val=","/>
  <w:listSeparator w:val=";"/>
  <w14:docId w14:val="0896B460"/>
  <w15:docId w15:val="{7F40EA12-7DD0-4E17-945A-C52DF3F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72C5"/>
    <w:pPr>
      <w:tabs>
        <w:tab w:val="left" w:pos="284"/>
        <w:tab w:val="left" w:pos="1985"/>
      </w:tabs>
      <w:spacing w:before="120" w:after="120" w:line="264" w:lineRule="auto"/>
      <w:jc w:val="both"/>
    </w:pPr>
    <w:rPr>
      <w:rFonts w:ascii="Times New Roman" w:hAnsi="Times New Roman"/>
      <w:szCs w:val="20"/>
      <w:lang w:val="uk-UA"/>
    </w:rPr>
  </w:style>
  <w:style w:type="paragraph" w:styleId="1">
    <w:name w:val="heading 1"/>
    <w:basedOn w:val="a2"/>
    <w:next w:val="a2"/>
    <w:link w:val="10"/>
    <w:qFormat/>
    <w:rsid w:val="00086D21"/>
    <w:pPr>
      <w:keepNext/>
      <w:tabs>
        <w:tab w:val="clear" w:pos="284"/>
        <w:tab w:val="clear" w:pos="1985"/>
      </w:tabs>
      <w:spacing w:before="60" w:after="60" w:line="240" w:lineRule="auto"/>
      <w:ind w:left="415"/>
      <w:outlineLvl w:val="0"/>
    </w:pPr>
    <w:rPr>
      <w:rFonts w:eastAsiaTheme="majorEastAsia" w:cstheme="majorBidi"/>
      <w:b/>
      <w:color w:val="2F5496" w:themeColor="accent1" w:themeShade="BF"/>
      <w:spacing w:val="22"/>
      <w:sz w:val="28"/>
      <w:szCs w:val="24"/>
    </w:rPr>
  </w:style>
  <w:style w:type="paragraph" w:styleId="20">
    <w:name w:val="heading 2"/>
    <w:aliases w:val="02-Heading"/>
    <w:basedOn w:val="a2"/>
    <w:next w:val="a2"/>
    <w:link w:val="21"/>
    <w:unhideWhenUsed/>
    <w:qFormat/>
    <w:rsid w:val="00A35FDF"/>
    <w:pPr>
      <w:keepNext/>
      <w:keepLines/>
      <w:pageBreakBefore/>
      <w:numPr>
        <w:ilvl w:val="1"/>
        <w:numId w:val="4"/>
      </w:numPr>
      <w:tabs>
        <w:tab w:val="clear" w:pos="284"/>
        <w:tab w:val="left" w:pos="851"/>
      </w:tabs>
      <w:spacing w:before="40" w:after="240"/>
      <w:outlineLvl w:val="1"/>
    </w:pPr>
    <w:rPr>
      <w:rFonts w:eastAsiaTheme="majorEastAsia" w:cstheme="majorBidi"/>
      <w:b/>
      <w:color w:val="2F5496" w:themeColor="accent1" w:themeShade="BF"/>
      <w:sz w:val="28"/>
      <w:szCs w:val="32"/>
    </w:rPr>
  </w:style>
  <w:style w:type="paragraph" w:styleId="30">
    <w:name w:val="heading 3"/>
    <w:basedOn w:val="a2"/>
    <w:next w:val="a2"/>
    <w:link w:val="31"/>
    <w:uiPriority w:val="9"/>
    <w:unhideWhenUsed/>
    <w:qFormat/>
    <w:rsid w:val="003801CF"/>
    <w:pPr>
      <w:keepNext/>
      <w:keepLines/>
      <w:numPr>
        <w:ilvl w:val="2"/>
        <w:numId w:val="4"/>
      </w:numPr>
      <w:tabs>
        <w:tab w:val="clear" w:pos="284"/>
        <w:tab w:val="clear" w:pos="1985"/>
        <w:tab w:val="left" w:pos="993"/>
      </w:tabs>
      <w:spacing w:before="240" w:after="240"/>
      <w:outlineLvl w:val="2"/>
    </w:pPr>
    <w:rPr>
      <w:rFonts w:eastAsiaTheme="majorEastAsia" w:cstheme="majorBidi"/>
      <w:b/>
      <w:color w:val="2F5496" w:themeColor="accent1" w:themeShade="BF"/>
      <w:szCs w:val="28"/>
    </w:rPr>
  </w:style>
  <w:style w:type="paragraph" w:styleId="40">
    <w:name w:val="heading 4"/>
    <w:basedOn w:val="a2"/>
    <w:next w:val="a2"/>
    <w:link w:val="41"/>
    <w:uiPriority w:val="9"/>
    <w:unhideWhenUsed/>
    <w:rsid w:val="00645CB7"/>
    <w:pPr>
      <w:keepNext/>
      <w:keepLines/>
      <w:spacing w:before="40" w:after="0"/>
      <w:outlineLvl w:val="3"/>
    </w:pPr>
    <w:rPr>
      <w:rFonts w:asciiTheme="majorHAnsi" w:eastAsiaTheme="majorEastAsia" w:hAnsiTheme="majorHAnsi" w:cstheme="majorBidi"/>
      <w:iCs/>
    </w:rPr>
  </w:style>
  <w:style w:type="paragraph" w:styleId="5">
    <w:name w:val="heading 5"/>
    <w:basedOn w:val="a2"/>
    <w:next w:val="a2"/>
    <w:link w:val="50"/>
    <w:uiPriority w:val="9"/>
    <w:unhideWhenUsed/>
    <w:rsid w:val="002D763D"/>
    <w:pPr>
      <w:keepNext/>
      <w:keepLines/>
      <w:numPr>
        <w:ilvl w:val="4"/>
        <w:numId w:val="4"/>
      </w:numPr>
      <w:tabs>
        <w:tab w:val="clear" w:pos="284"/>
        <w:tab w:val="clear" w:pos="1985"/>
      </w:tabs>
      <w:spacing w:before="60" w:after="60" w:line="240" w:lineRule="auto"/>
      <w:outlineLvl w:val="4"/>
    </w:pPr>
    <w:rPr>
      <w:rFonts w:eastAsiaTheme="majorEastAsia" w:cstheme="majorBidi"/>
    </w:rPr>
  </w:style>
  <w:style w:type="paragraph" w:styleId="6">
    <w:name w:val="heading 6"/>
    <w:basedOn w:val="a2"/>
    <w:next w:val="a2"/>
    <w:link w:val="60"/>
    <w:unhideWhenUsed/>
    <w:qFormat/>
    <w:rsid w:val="002D763D"/>
    <w:pPr>
      <w:keepNext/>
      <w:keepLines/>
      <w:numPr>
        <w:ilvl w:val="5"/>
        <w:numId w:val="4"/>
      </w:numPr>
      <w:tabs>
        <w:tab w:val="clear" w:pos="1985"/>
        <w:tab w:val="left" w:pos="1560"/>
      </w:tabs>
      <w:spacing w:before="40" w:after="80"/>
      <w:outlineLvl w:val="5"/>
    </w:pPr>
    <w:rPr>
      <w:rFonts w:eastAsiaTheme="majorEastAsia" w:cstheme="majorBidi"/>
    </w:rPr>
  </w:style>
  <w:style w:type="paragraph" w:styleId="7">
    <w:name w:val="heading 7"/>
    <w:basedOn w:val="a2"/>
    <w:next w:val="a2"/>
    <w:link w:val="70"/>
    <w:unhideWhenUsed/>
    <w:qFormat/>
    <w:rsid w:val="002D763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2"/>
    <w:next w:val="a2"/>
    <w:link w:val="80"/>
    <w:unhideWhenUsed/>
    <w:qFormat/>
    <w:rsid w:val="002D763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nhideWhenUsed/>
    <w:qFormat/>
    <w:rsid w:val="002D763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02-Heading Знак"/>
    <w:basedOn w:val="a3"/>
    <w:link w:val="20"/>
    <w:rsid w:val="00A35FDF"/>
    <w:rPr>
      <w:rFonts w:ascii="Times New Roman" w:eastAsiaTheme="majorEastAsia" w:hAnsi="Times New Roman" w:cstheme="majorBidi"/>
      <w:b/>
      <w:color w:val="2F5496" w:themeColor="accent1" w:themeShade="BF"/>
      <w:sz w:val="28"/>
      <w:szCs w:val="32"/>
      <w:lang w:val="uk-UA"/>
    </w:rPr>
  </w:style>
  <w:style w:type="character" w:customStyle="1" w:styleId="31">
    <w:name w:val="Заголовок 3 Знак"/>
    <w:basedOn w:val="a3"/>
    <w:link w:val="30"/>
    <w:uiPriority w:val="9"/>
    <w:rsid w:val="003801CF"/>
    <w:rPr>
      <w:rFonts w:ascii="Times New Roman" w:eastAsiaTheme="majorEastAsia" w:hAnsi="Times New Roman" w:cstheme="majorBidi"/>
      <w:b/>
      <w:color w:val="2F5496" w:themeColor="accent1" w:themeShade="BF"/>
      <w:szCs w:val="28"/>
      <w:lang w:val="uk-UA"/>
    </w:rPr>
  </w:style>
  <w:style w:type="character" w:customStyle="1" w:styleId="50">
    <w:name w:val="Заголовок 5 Знак"/>
    <w:basedOn w:val="a3"/>
    <w:link w:val="5"/>
    <w:uiPriority w:val="9"/>
    <w:rsid w:val="002D763D"/>
    <w:rPr>
      <w:rFonts w:ascii="Times New Roman" w:eastAsiaTheme="majorEastAsia" w:hAnsi="Times New Roman" w:cstheme="majorBidi"/>
      <w:szCs w:val="20"/>
      <w:lang w:val="uk-UA"/>
    </w:rPr>
  </w:style>
  <w:style w:type="character" w:customStyle="1" w:styleId="60">
    <w:name w:val="Заголовок 6 Знак"/>
    <w:basedOn w:val="a3"/>
    <w:link w:val="6"/>
    <w:rsid w:val="002D763D"/>
    <w:rPr>
      <w:rFonts w:ascii="Times New Roman" w:eastAsiaTheme="majorEastAsia" w:hAnsi="Times New Roman" w:cstheme="majorBidi"/>
      <w:szCs w:val="20"/>
      <w:lang w:val="uk-UA"/>
    </w:rPr>
  </w:style>
  <w:style w:type="character" w:customStyle="1" w:styleId="70">
    <w:name w:val="Заголовок 7 Знак"/>
    <w:basedOn w:val="a3"/>
    <w:link w:val="7"/>
    <w:rsid w:val="002D763D"/>
    <w:rPr>
      <w:rFonts w:asciiTheme="majorHAnsi" w:eastAsiaTheme="majorEastAsia" w:hAnsiTheme="majorHAnsi" w:cstheme="majorBidi"/>
      <w:i/>
      <w:iCs/>
      <w:color w:val="1F3763" w:themeColor="accent1" w:themeShade="7F"/>
      <w:szCs w:val="20"/>
      <w:lang w:val="uk-UA"/>
    </w:rPr>
  </w:style>
  <w:style w:type="character" w:customStyle="1" w:styleId="80">
    <w:name w:val="Заголовок 8 Знак"/>
    <w:basedOn w:val="a3"/>
    <w:link w:val="8"/>
    <w:rsid w:val="002D763D"/>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3"/>
    <w:link w:val="9"/>
    <w:rsid w:val="002D763D"/>
    <w:rPr>
      <w:rFonts w:asciiTheme="majorHAnsi" w:eastAsiaTheme="majorEastAsia" w:hAnsiTheme="majorHAnsi" w:cstheme="majorBidi"/>
      <w:i/>
      <w:iCs/>
      <w:color w:val="272727" w:themeColor="text1" w:themeTint="D8"/>
      <w:sz w:val="21"/>
      <w:szCs w:val="21"/>
      <w:lang w:val="uk-UA"/>
    </w:rPr>
  </w:style>
  <w:style w:type="paragraph" w:styleId="a0">
    <w:name w:val="Title"/>
    <w:basedOn w:val="a2"/>
    <w:next w:val="a2"/>
    <w:link w:val="a6"/>
    <w:qFormat/>
    <w:rsid w:val="005A44B4"/>
    <w:pPr>
      <w:keepNext/>
      <w:pageBreakBefore/>
      <w:numPr>
        <w:numId w:val="4"/>
      </w:numPr>
      <w:spacing w:after="240" w:line="240" w:lineRule="auto"/>
      <w:contextualSpacing/>
      <w:jc w:val="center"/>
      <w:outlineLvl w:val="0"/>
    </w:pPr>
    <w:rPr>
      <w:rFonts w:eastAsiaTheme="majorEastAsia" w:cstheme="majorBidi"/>
      <w:b/>
      <w:color w:val="2F5496" w:themeColor="accent1" w:themeShade="BF"/>
      <w:spacing w:val="22"/>
      <w:kern w:val="36"/>
      <w:sz w:val="36"/>
      <w:szCs w:val="56"/>
    </w:rPr>
  </w:style>
  <w:style w:type="character" w:customStyle="1" w:styleId="a6">
    <w:name w:val="Назва Знак"/>
    <w:basedOn w:val="a3"/>
    <w:link w:val="a0"/>
    <w:rsid w:val="005A44B4"/>
    <w:rPr>
      <w:rFonts w:ascii="Times New Roman" w:eastAsiaTheme="majorEastAsia" w:hAnsi="Times New Roman" w:cstheme="majorBidi"/>
      <w:b/>
      <w:color w:val="2F5496" w:themeColor="accent1" w:themeShade="BF"/>
      <w:spacing w:val="22"/>
      <w:kern w:val="36"/>
      <w:sz w:val="36"/>
      <w:szCs w:val="56"/>
      <w:lang w:val="uk-UA"/>
    </w:rPr>
  </w:style>
  <w:style w:type="paragraph" w:customStyle="1" w:styleId="Heading4boldRED">
    <w:name w:val="Heading 4 bold RED"/>
    <w:basedOn w:val="a2"/>
    <w:next w:val="a2"/>
    <w:link w:val="Heading4boldREDChar"/>
    <w:qFormat/>
    <w:rsid w:val="00DA3854"/>
    <w:pPr>
      <w:keepNext/>
      <w:numPr>
        <w:ilvl w:val="3"/>
        <w:numId w:val="4"/>
      </w:numPr>
      <w:tabs>
        <w:tab w:val="clear" w:pos="284"/>
        <w:tab w:val="clear" w:pos="1985"/>
        <w:tab w:val="left" w:pos="1701"/>
      </w:tabs>
      <w:spacing w:before="160"/>
      <w:outlineLvl w:val="3"/>
    </w:pPr>
    <w:rPr>
      <w:b/>
      <w:color w:val="2F5496" w:themeColor="accent1" w:themeShade="BF"/>
      <w:szCs w:val="24"/>
      <w:lang w:val="en-US"/>
    </w:rPr>
  </w:style>
  <w:style w:type="paragraph" w:styleId="a7">
    <w:name w:val="List Paragraph"/>
    <w:aliases w:val="Heading 2_sj,Numbered Para 1,Dot pt,No Spacing1,List Paragraph Char Char Char,Indicator Text,Bullet 1,List Paragraph1,Bullet Points,MAIN CONTENT,List Paragraph12,F5 List Paragraph,Source,1st level - Bullet List Paragraph,List_Paragraph,L"/>
    <w:basedOn w:val="a2"/>
    <w:link w:val="a8"/>
    <w:uiPriority w:val="34"/>
    <w:qFormat/>
    <w:rsid w:val="002D763D"/>
    <w:pPr>
      <w:ind w:left="720"/>
      <w:contextualSpacing/>
    </w:pPr>
  </w:style>
  <w:style w:type="paragraph" w:customStyle="1" w:styleId="Style1Bulletpoint">
    <w:name w:val="Style1 Bullet point"/>
    <w:basedOn w:val="a7"/>
    <w:link w:val="Style1BulletpointChar"/>
    <w:rsid w:val="002D763D"/>
    <w:pPr>
      <w:numPr>
        <w:numId w:val="1"/>
      </w:numPr>
      <w:tabs>
        <w:tab w:val="left" w:pos="2127"/>
      </w:tabs>
      <w:spacing w:line="240" w:lineRule="auto"/>
      <w:ind w:left="714" w:hanging="357"/>
      <w:contextualSpacing w:val="0"/>
    </w:pPr>
  </w:style>
  <w:style w:type="paragraph" w:customStyle="1" w:styleId="BulletRED">
    <w:name w:val="Bullet &gt; RED"/>
    <w:basedOn w:val="a7"/>
    <w:qFormat/>
    <w:rsid w:val="00B52F9A"/>
    <w:pPr>
      <w:numPr>
        <w:numId w:val="2"/>
      </w:numPr>
      <w:tabs>
        <w:tab w:val="center" w:pos="284"/>
      </w:tabs>
      <w:spacing w:line="240" w:lineRule="auto"/>
    </w:pPr>
    <w:rPr>
      <w:rFonts w:cstheme="minorHAnsi"/>
    </w:rPr>
  </w:style>
  <w:style w:type="character" w:customStyle="1" w:styleId="a8">
    <w:name w:val="Абзац списку Знак"/>
    <w:aliases w:val="Heading 2_sj Знак,Numbered Para 1 Знак,Dot pt Знак,No Spacing1 Знак,List Paragraph Char Char Char Знак,Indicator Text Знак,Bullet 1 Знак,List Paragraph1 Знак,Bullet Points Знак,MAIN CONTENT Знак,List Paragraph12 Знак,Source Знак,L Знак"/>
    <w:basedOn w:val="a3"/>
    <w:link w:val="a7"/>
    <w:uiPriority w:val="34"/>
    <w:qFormat/>
    <w:rsid w:val="002D763D"/>
    <w:rPr>
      <w:rFonts w:ascii="Verdana" w:hAnsi="Verdana"/>
      <w:sz w:val="20"/>
      <w:szCs w:val="20"/>
      <w:lang w:val="bg-BG"/>
    </w:rPr>
  </w:style>
  <w:style w:type="character" w:customStyle="1" w:styleId="Style1BulletpointChar">
    <w:name w:val="Style1 Bullet point Char"/>
    <w:basedOn w:val="a8"/>
    <w:link w:val="Style1Bulletpoint"/>
    <w:rsid w:val="002D763D"/>
    <w:rPr>
      <w:rFonts w:ascii="Times New Roman" w:hAnsi="Times New Roman"/>
      <w:sz w:val="20"/>
      <w:szCs w:val="20"/>
      <w:lang w:val="uk-UA"/>
    </w:rPr>
  </w:style>
  <w:style w:type="character" w:customStyle="1" w:styleId="NormalboldREDcharachter">
    <w:name w:val="Normal bold RED charachter"/>
    <w:basedOn w:val="a3"/>
    <w:uiPriority w:val="1"/>
    <w:qFormat/>
    <w:rsid w:val="005A44B4"/>
    <w:rPr>
      <w:rFonts w:ascii="Verdana" w:hAnsi="Verdana"/>
      <w:b/>
      <w:color w:val="2F5496" w:themeColor="accent1" w:themeShade="BF"/>
      <w:sz w:val="20"/>
    </w:rPr>
  </w:style>
  <w:style w:type="paragraph" w:customStyle="1" w:styleId="BulletPointRED">
    <w:name w:val="Bullet Point RED"/>
    <w:basedOn w:val="a7"/>
    <w:qFormat/>
    <w:rsid w:val="00300608"/>
    <w:pPr>
      <w:numPr>
        <w:numId w:val="3"/>
      </w:numPr>
      <w:contextualSpacing w:val="0"/>
    </w:pPr>
  </w:style>
  <w:style w:type="character" w:styleId="a9">
    <w:name w:val="Hyperlink"/>
    <w:basedOn w:val="a3"/>
    <w:uiPriority w:val="99"/>
    <w:unhideWhenUsed/>
    <w:qFormat/>
    <w:rsid w:val="002D763D"/>
    <w:rPr>
      <w:color w:val="0000CC"/>
      <w:u w:val="single"/>
    </w:rPr>
  </w:style>
  <w:style w:type="paragraph" w:customStyle="1" w:styleId="Pichture">
    <w:name w:val="Pichture"/>
    <w:basedOn w:val="a2"/>
    <w:qFormat/>
    <w:rsid w:val="002D763D"/>
    <w:pPr>
      <w:keepNext/>
      <w:jc w:val="center"/>
    </w:pPr>
    <w:rPr>
      <w:noProof/>
      <w:lang w:val="en-US"/>
    </w:rPr>
  </w:style>
  <w:style w:type="paragraph" w:customStyle="1" w:styleId="FugureText">
    <w:name w:val="Fugure Text"/>
    <w:basedOn w:val="a2"/>
    <w:link w:val="FugureTextChar"/>
    <w:qFormat/>
    <w:rsid w:val="002D763D"/>
    <w:pPr>
      <w:jc w:val="center"/>
    </w:pPr>
    <w:rPr>
      <w:b/>
      <w:sz w:val="16"/>
      <w:szCs w:val="16"/>
    </w:rPr>
  </w:style>
  <w:style w:type="character" w:customStyle="1" w:styleId="FugureTextChar">
    <w:name w:val="Fugure Text Char"/>
    <w:basedOn w:val="a3"/>
    <w:link w:val="FugureText"/>
    <w:rsid w:val="002D763D"/>
    <w:rPr>
      <w:rFonts w:ascii="Verdana" w:hAnsi="Verdana"/>
      <w:b/>
      <w:sz w:val="16"/>
      <w:szCs w:val="16"/>
      <w:lang w:val="bg-BG"/>
    </w:rPr>
  </w:style>
  <w:style w:type="paragraph" w:customStyle="1" w:styleId="NormalBold">
    <w:name w:val="Normal Bold"/>
    <w:basedOn w:val="a2"/>
    <w:link w:val="NormalBoldChar"/>
    <w:qFormat/>
    <w:rsid w:val="002D763D"/>
    <w:pPr>
      <w:keepNext/>
    </w:pPr>
    <w:rPr>
      <w:b/>
    </w:rPr>
  </w:style>
  <w:style w:type="paragraph" w:styleId="aa">
    <w:name w:val="footnote text"/>
    <w:aliases w:val="Footnote Text Char Char,Footnote Text Char Char Char Char,Footnote Text1,Footnote Text Char Char Char,Lábjegyzetszöveg Char,Lábjegyzetszöveg Char1 Char,Lábjegyzetszöveg Char Char Char,Footnote Char Char Char,fn,cita,Char Char,Geneva 9,f,ft"/>
    <w:basedOn w:val="a2"/>
    <w:link w:val="ab"/>
    <w:uiPriority w:val="99"/>
    <w:unhideWhenUsed/>
    <w:qFormat/>
    <w:rsid w:val="002D763D"/>
    <w:pPr>
      <w:spacing w:after="40" w:line="240" w:lineRule="auto"/>
    </w:pPr>
    <w:rPr>
      <w:sz w:val="18"/>
    </w:rPr>
  </w:style>
  <w:style w:type="character" w:customStyle="1" w:styleId="ab">
    <w:name w:val="Текст виноски Знак"/>
    <w:aliases w:val="Footnote Text Char Char Знак,Footnote Text Char Char Char Char Знак,Footnote Text1 Знак,Footnote Text Char Char Char Знак,Lábjegyzetszöveg Char Знак,Lábjegyzetszöveg Char1 Char Знак,Lábjegyzetszöveg Char Char Char Знак,fn Знак,f Знак"/>
    <w:basedOn w:val="a3"/>
    <w:link w:val="aa"/>
    <w:uiPriority w:val="99"/>
    <w:qFormat/>
    <w:rsid w:val="002D763D"/>
    <w:rPr>
      <w:rFonts w:ascii="Verdana" w:hAnsi="Verdana"/>
      <w:sz w:val="18"/>
      <w:szCs w:val="20"/>
      <w:lang w:val="bg-BG"/>
    </w:rPr>
  </w:style>
  <w:style w:type="character" w:customStyle="1" w:styleId="NormalBoldChar">
    <w:name w:val="Normal Bold Char"/>
    <w:basedOn w:val="a3"/>
    <w:link w:val="NormalBold"/>
    <w:rsid w:val="002D763D"/>
    <w:rPr>
      <w:rFonts w:ascii="Verdana" w:hAnsi="Verdana"/>
      <w:b/>
      <w:sz w:val="20"/>
      <w:szCs w:val="20"/>
      <w:lang w:val="bg-BG"/>
    </w:rPr>
  </w:style>
  <w:style w:type="character" w:styleId="ac">
    <w:name w:val="footnote reference"/>
    <w:aliases w:val="SUPERS,Footnote symbol,Footnote,16 Point,Superscript 6 Point,ftref,Footnote Reference Number,Footnote Reference_LVL6,Footnote Reference_LVL61,Footnote Reference_LVL62,Footnote Reference_LVL63,Footnote Reference_LVL64,Знак сноски-FN,fr"/>
    <w:basedOn w:val="a3"/>
    <w:link w:val="ftrefChar1"/>
    <w:uiPriority w:val="99"/>
    <w:unhideWhenUsed/>
    <w:qFormat/>
    <w:rsid w:val="002D763D"/>
    <w:rPr>
      <w:vertAlign w:val="superscript"/>
    </w:rPr>
  </w:style>
  <w:style w:type="paragraph" w:styleId="ad">
    <w:name w:val="caption"/>
    <w:aliases w:val="Caption Char Char Char,Caption1 Char,Caption1,WB Caption,Table title,Figure Head"/>
    <w:basedOn w:val="a2"/>
    <w:next w:val="a2"/>
    <w:link w:val="ae"/>
    <w:unhideWhenUsed/>
    <w:qFormat/>
    <w:rsid w:val="00A6418B"/>
    <w:pPr>
      <w:keepNext/>
      <w:tabs>
        <w:tab w:val="clear" w:pos="284"/>
        <w:tab w:val="clear" w:pos="1985"/>
      </w:tabs>
      <w:spacing w:after="200" w:line="240" w:lineRule="auto"/>
      <w:jc w:val="center"/>
    </w:pPr>
    <w:rPr>
      <w:b/>
      <w:i/>
      <w:iCs/>
      <w:color w:val="1F3864" w:themeColor="accent1" w:themeShade="80"/>
      <w:szCs w:val="18"/>
      <w:lang w:val="en-US"/>
    </w:rPr>
  </w:style>
  <w:style w:type="paragraph" w:customStyle="1" w:styleId="REDBoldonly">
    <w:name w:val="RED Bold only"/>
    <w:basedOn w:val="a2"/>
    <w:link w:val="REDBoldonlyChar"/>
    <w:qFormat/>
    <w:rsid w:val="00266E1E"/>
    <w:pPr>
      <w:keepNext/>
      <w:tabs>
        <w:tab w:val="clear" w:pos="1985"/>
      </w:tabs>
      <w:spacing w:before="160"/>
    </w:pPr>
    <w:rPr>
      <w:b/>
      <w:i/>
      <w:color w:val="2F5496" w:themeColor="accent1" w:themeShade="BF"/>
    </w:rPr>
  </w:style>
  <w:style w:type="character" w:customStyle="1" w:styleId="REDBoldonlyChar">
    <w:name w:val="RED Bold only Char"/>
    <w:basedOn w:val="a3"/>
    <w:link w:val="REDBoldonly"/>
    <w:rsid w:val="00266E1E"/>
    <w:rPr>
      <w:rFonts w:ascii="Times New Roman" w:hAnsi="Times New Roman"/>
      <w:b/>
      <w:i/>
      <w:color w:val="2F5496" w:themeColor="accent1" w:themeShade="BF"/>
      <w:szCs w:val="20"/>
      <w:lang w:val="uk-UA"/>
    </w:rPr>
  </w:style>
  <w:style w:type="character" w:customStyle="1" w:styleId="ae">
    <w:name w:val="Назва об'єкта Знак"/>
    <w:aliases w:val="Caption Char Char Char Знак,Caption1 Char Знак,Caption1 Знак,WB Caption Знак,Table title Знак,Figure Head Знак"/>
    <w:basedOn w:val="a3"/>
    <w:link w:val="ad"/>
    <w:rsid w:val="00A6418B"/>
    <w:rPr>
      <w:rFonts w:ascii="Times New Roman" w:hAnsi="Times New Roman"/>
      <w:b/>
      <w:i/>
      <w:iCs/>
      <w:color w:val="1F3864" w:themeColor="accent1" w:themeShade="80"/>
      <w:szCs w:val="18"/>
      <w:lang w:val="en-US"/>
    </w:rPr>
  </w:style>
  <w:style w:type="character" w:customStyle="1" w:styleId="10">
    <w:name w:val="Заголовок 1 Знак"/>
    <w:basedOn w:val="a3"/>
    <w:link w:val="1"/>
    <w:rsid w:val="00086D21"/>
    <w:rPr>
      <w:rFonts w:ascii="Times New Roman" w:eastAsiaTheme="majorEastAsia" w:hAnsi="Times New Roman" w:cstheme="majorBidi"/>
      <w:b/>
      <w:color w:val="2F5496" w:themeColor="accent1" w:themeShade="BF"/>
      <w:spacing w:val="22"/>
      <w:sz w:val="28"/>
      <w:lang w:val="uk-UA"/>
    </w:rPr>
  </w:style>
  <w:style w:type="character" w:customStyle="1" w:styleId="41">
    <w:name w:val="Заголовок 4 Знак"/>
    <w:basedOn w:val="a3"/>
    <w:link w:val="40"/>
    <w:uiPriority w:val="9"/>
    <w:rsid w:val="00645CB7"/>
    <w:rPr>
      <w:rFonts w:asciiTheme="majorHAnsi" w:eastAsiaTheme="majorEastAsia" w:hAnsiTheme="majorHAnsi" w:cstheme="majorBidi"/>
      <w:iCs/>
      <w:sz w:val="20"/>
      <w:szCs w:val="20"/>
      <w:lang w:val="bg-BG"/>
    </w:rPr>
  </w:style>
  <w:style w:type="paragraph" w:styleId="af">
    <w:name w:val="header"/>
    <w:basedOn w:val="a2"/>
    <w:link w:val="af0"/>
    <w:uiPriority w:val="99"/>
    <w:unhideWhenUsed/>
    <w:rsid w:val="00645CB7"/>
    <w:pPr>
      <w:tabs>
        <w:tab w:val="center" w:pos="4703"/>
        <w:tab w:val="right" w:pos="9406"/>
      </w:tabs>
      <w:spacing w:after="0" w:line="240" w:lineRule="auto"/>
    </w:pPr>
  </w:style>
  <w:style w:type="character" w:customStyle="1" w:styleId="af0">
    <w:name w:val="Верхній колонтитул Знак"/>
    <w:basedOn w:val="a3"/>
    <w:link w:val="af"/>
    <w:uiPriority w:val="99"/>
    <w:rsid w:val="00645CB7"/>
    <w:rPr>
      <w:rFonts w:ascii="Verdana" w:hAnsi="Verdana"/>
      <w:sz w:val="20"/>
      <w:szCs w:val="20"/>
      <w:lang w:val="bg-BG"/>
    </w:rPr>
  </w:style>
  <w:style w:type="paragraph" w:styleId="af1">
    <w:name w:val="footer"/>
    <w:basedOn w:val="a2"/>
    <w:link w:val="af2"/>
    <w:uiPriority w:val="99"/>
    <w:unhideWhenUsed/>
    <w:rsid w:val="00645CB7"/>
    <w:pPr>
      <w:tabs>
        <w:tab w:val="center" w:pos="4703"/>
        <w:tab w:val="right" w:pos="9406"/>
      </w:tabs>
      <w:spacing w:after="0" w:line="240" w:lineRule="auto"/>
    </w:pPr>
  </w:style>
  <w:style w:type="character" w:customStyle="1" w:styleId="af2">
    <w:name w:val="Нижній колонтитул Знак"/>
    <w:basedOn w:val="a3"/>
    <w:link w:val="af1"/>
    <w:uiPriority w:val="99"/>
    <w:rsid w:val="00645CB7"/>
    <w:rPr>
      <w:rFonts w:ascii="Verdana" w:hAnsi="Verdana"/>
      <w:sz w:val="20"/>
      <w:szCs w:val="20"/>
      <w:lang w:val="bg-BG"/>
    </w:rPr>
  </w:style>
  <w:style w:type="paragraph" w:styleId="af3">
    <w:name w:val="endnote text"/>
    <w:basedOn w:val="a2"/>
    <w:link w:val="af4"/>
    <w:uiPriority w:val="99"/>
    <w:semiHidden/>
    <w:unhideWhenUsed/>
    <w:rsid w:val="00645CB7"/>
    <w:pPr>
      <w:spacing w:after="0" w:line="240" w:lineRule="auto"/>
    </w:pPr>
  </w:style>
  <w:style w:type="character" w:customStyle="1" w:styleId="af4">
    <w:name w:val="Текст кінцевої виноски Знак"/>
    <w:basedOn w:val="a3"/>
    <w:link w:val="af3"/>
    <w:uiPriority w:val="99"/>
    <w:semiHidden/>
    <w:rsid w:val="00645CB7"/>
    <w:rPr>
      <w:rFonts w:ascii="Verdana" w:hAnsi="Verdana"/>
      <w:sz w:val="20"/>
      <w:szCs w:val="20"/>
      <w:lang w:val="bg-BG"/>
    </w:rPr>
  </w:style>
  <w:style w:type="character" w:styleId="af5">
    <w:name w:val="endnote reference"/>
    <w:basedOn w:val="a3"/>
    <w:uiPriority w:val="99"/>
    <w:semiHidden/>
    <w:unhideWhenUsed/>
    <w:rsid w:val="00645CB7"/>
    <w:rPr>
      <w:vertAlign w:val="superscript"/>
    </w:rPr>
  </w:style>
  <w:style w:type="character" w:customStyle="1" w:styleId="Heading4boldREDChar">
    <w:name w:val="Heading 4 bold RED Char"/>
    <w:basedOn w:val="a3"/>
    <w:link w:val="Heading4boldRED"/>
    <w:rsid w:val="00DA3854"/>
    <w:rPr>
      <w:rFonts w:ascii="Times New Roman" w:hAnsi="Times New Roman"/>
      <w:b/>
      <w:color w:val="2F5496" w:themeColor="accent1" w:themeShade="BF"/>
      <w:lang w:val="en-US"/>
    </w:rPr>
  </w:style>
  <w:style w:type="character" w:styleId="af6">
    <w:name w:val="FollowedHyperlink"/>
    <w:basedOn w:val="a3"/>
    <w:uiPriority w:val="99"/>
    <w:semiHidden/>
    <w:unhideWhenUsed/>
    <w:rsid w:val="00645CB7"/>
    <w:rPr>
      <w:color w:val="954F72" w:themeColor="followedHyperlink"/>
      <w:u w:val="single"/>
    </w:rPr>
  </w:style>
  <w:style w:type="paragraph" w:styleId="af7">
    <w:name w:val="TOC Heading"/>
    <w:basedOn w:val="1"/>
    <w:next w:val="a2"/>
    <w:uiPriority w:val="39"/>
    <w:unhideWhenUsed/>
    <w:qFormat/>
    <w:rsid w:val="00645CB7"/>
    <w:pPr>
      <w:keepLines/>
      <w:spacing w:after="360" w:line="259" w:lineRule="auto"/>
      <w:ind w:left="0"/>
      <w:jc w:val="left"/>
      <w:outlineLvl w:val="9"/>
    </w:pPr>
    <w:rPr>
      <w:b w:val="0"/>
      <w:caps/>
      <w:spacing w:val="0"/>
      <w:lang w:val="en-US"/>
    </w:rPr>
  </w:style>
  <w:style w:type="paragraph" w:styleId="11">
    <w:name w:val="toc 1"/>
    <w:basedOn w:val="a2"/>
    <w:next w:val="a2"/>
    <w:autoRedefine/>
    <w:uiPriority w:val="39"/>
    <w:unhideWhenUsed/>
    <w:qFormat/>
    <w:rsid w:val="00C364E0"/>
    <w:pPr>
      <w:tabs>
        <w:tab w:val="clear" w:pos="284"/>
        <w:tab w:val="clear" w:pos="1985"/>
        <w:tab w:val="right" w:pos="9339"/>
      </w:tabs>
      <w:spacing w:after="0" w:line="240" w:lineRule="auto"/>
    </w:pPr>
  </w:style>
  <w:style w:type="paragraph" w:styleId="22">
    <w:name w:val="toc 2"/>
    <w:basedOn w:val="a2"/>
    <w:next w:val="a2"/>
    <w:autoRedefine/>
    <w:uiPriority w:val="39"/>
    <w:unhideWhenUsed/>
    <w:qFormat/>
    <w:rsid w:val="00AC3FD5"/>
    <w:pPr>
      <w:tabs>
        <w:tab w:val="clear" w:pos="284"/>
        <w:tab w:val="clear" w:pos="1985"/>
        <w:tab w:val="right" w:pos="9730"/>
      </w:tabs>
      <w:spacing w:after="100"/>
      <w:ind w:left="200"/>
    </w:pPr>
  </w:style>
  <w:style w:type="paragraph" w:styleId="32">
    <w:name w:val="toc 3"/>
    <w:basedOn w:val="a2"/>
    <w:next w:val="a2"/>
    <w:autoRedefine/>
    <w:uiPriority w:val="39"/>
    <w:unhideWhenUsed/>
    <w:qFormat/>
    <w:rsid w:val="00A306CA"/>
    <w:pPr>
      <w:tabs>
        <w:tab w:val="clear" w:pos="284"/>
        <w:tab w:val="clear" w:pos="1985"/>
        <w:tab w:val="left" w:pos="1100"/>
        <w:tab w:val="right" w:pos="9730"/>
      </w:tabs>
      <w:spacing w:after="100"/>
      <w:ind w:left="400"/>
    </w:pPr>
  </w:style>
  <w:style w:type="paragraph" w:styleId="af8">
    <w:name w:val="table of figures"/>
    <w:basedOn w:val="a2"/>
    <w:next w:val="a2"/>
    <w:uiPriority w:val="99"/>
    <w:unhideWhenUsed/>
    <w:rsid w:val="00645CB7"/>
    <w:pPr>
      <w:tabs>
        <w:tab w:val="clear" w:pos="284"/>
        <w:tab w:val="clear" w:pos="1985"/>
      </w:tabs>
      <w:spacing w:before="0" w:after="0"/>
      <w:ind w:left="480" w:hanging="480"/>
      <w:jc w:val="left"/>
    </w:pPr>
    <w:rPr>
      <w:rFonts w:asciiTheme="minorHAnsi" w:hAnsiTheme="minorHAnsi" w:cstheme="minorHAnsi"/>
      <w:b/>
      <w:bCs/>
      <w:sz w:val="20"/>
    </w:rPr>
  </w:style>
  <w:style w:type="paragraph" w:customStyle="1" w:styleId="Heading5BOLDnumbered">
    <w:name w:val="Heading 5 BOLD numbered"/>
    <w:basedOn w:val="40"/>
    <w:link w:val="Heading5BOLDnumberedChar"/>
    <w:qFormat/>
    <w:rsid w:val="00621A46"/>
    <w:pPr>
      <w:numPr>
        <w:numId w:val="6"/>
      </w:numPr>
      <w:tabs>
        <w:tab w:val="left" w:pos="709"/>
      </w:tabs>
    </w:pPr>
    <w:rPr>
      <w:rFonts w:asciiTheme="minorHAnsi" w:hAnsiTheme="minorHAnsi"/>
      <w:b/>
      <w:i/>
      <w:color w:val="2F5496" w:themeColor="accent1" w:themeShade="BF"/>
      <w:sz w:val="22"/>
      <w:lang w:val="en-US"/>
    </w:rPr>
  </w:style>
  <w:style w:type="paragraph" w:styleId="a">
    <w:name w:val="List Bullet"/>
    <w:basedOn w:val="af9"/>
    <w:uiPriority w:val="4"/>
    <w:rsid w:val="00645CB7"/>
    <w:pPr>
      <w:numPr>
        <w:numId w:val="5"/>
      </w:numPr>
      <w:tabs>
        <w:tab w:val="clear" w:pos="284"/>
        <w:tab w:val="clear" w:pos="425"/>
        <w:tab w:val="clear" w:pos="1985"/>
      </w:tabs>
      <w:spacing w:after="280" w:line="280" w:lineRule="atLeast"/>
      <w:ind w:left="0" w:firstLine="0"/>
      <w:jc w:val="left"/>
    </w:pPr>
    <w:rPr>
      <w:rFonts w:eastAsia="Times New Roman" w:cs="Arial"/>
      <w:sz w:val="18"/>
      <w:lang w:val="en-GB" w:eastAsia="da-DK"/>
    </w:rPr>
  </w:style>
  <w:style w:type="character" w:customStyle="1" w:styleId="Heading5BOLDnumberedChar">
    <w:name w:val="Heading 5 BOLD numbered Char"/>
    <w:basedOn w:val="50"/>
    <w:link w:val="Heading5BOLDnumbered"/>
    <w:rsid w:val="00621A46"/>
    <w:rPr>
      <w:rFonts w:ascii="Times New Roman" w:eastAsiaTheme="majorEastAsia" w:hAnsi="Times New Roman" w:cstheme="majorBidi"/>
      <w:b/>
      <w:i/>
      <w:iCs/>
      <w:color w:val="2F5496" w:themeColor="accent1" w:themeShade="BF"/>
      <w:sz w:val="22"/>
      <w:szCs w:val="20"/>
      <w:lang w:val="en-US"/>
    </w:rPr>
  </w:style>
  <w:style w:type="paragraph" w:styleId="2">
    <w:name w:val="List Bullet 2"/>
    <w:basedOn w:val="a"/>
    <w:uiPriority w:val="4"/>
    <w:qFormat/>
    <w:rsid w:val="00645CB7"/>
    <w:pPr>
      <w:numPr>
        <w:ilvl w:val="1"/>
      </w:numPr>
      <w:tabs>
        <w:tab w:val="clear" w:pos="851"/>
      </w:tabs>
      <w:ind w:left="720" w:firstLine="0"/>
    </w:pPr>
  </w:style>
  <w:style w:type="table" w:styleId="afa">
    <w:name w:val="Table Grid"/>
    <w:basedOn w:val="a4"/>
    <w:uiPriority w:val="59"/>
    <w:rsid w:val="00645CB7"/>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
    <w:name w:val="CowiBulletList"/>
    <w:basedOn w:val="a5"/>
    <w:rsid w:val="00645CB7"/>
    <w:pPr>
      <w:numPr>
        <w:numId w:val="5"/>
      </w:numPr>
    </w:pPr>
  </w:style>
  <w:style w:type="paragraph" w:styleId="3">
    <w:name w:val="List Bullet 3"/>
    <w:basedOn w:val="2"/>
    <w:uiPriority w:val="99"/>
    <w:rsid w:val="00645CB7"/>
    <w:pPr>
      <w:numPr>
        <w:ilvl w:val="2"/>
      </w:numPr>
      <w:tabs>
        <w:tab w:val="left" w:pos="1276"/>
      </w:tabs>
      <w:ind w:left="1440" w:firstLine="0"/>
    </w:pPr>
  </w:style>
  <w:style w:type="paragraph" w:customStyle="1" w:styleId="ListBullet3NoSpace">
    <w:name w:val="List Bullet 3 NoSpace"/>
    <w:basedOn w:val="3"/>
    <w:uiPriority w:val="4"/>
    <w:qFormat/>
    <w:rsid w:val="00645CB7"/>
    <w:pPr>
      <w:spacing w:after="0"/>
    </w:pPr>
  </w:style>
  <w:style w:type="paragraph" w:styleId="4">
    <w:name w:val="List Bullet 4"/>
    <w:basedOn w:val="a2"/>
    <w:uiPriority w:val="4"/>
    <w:unhideWhenUsed/>
    <w:rsid w:val="00645CB7"/>
    <w:pPr>
      <w:numPr>
        <w:ilvl w:val="3"/>
        <w:numId w:val="5"/>
      </w:numPr>
      <w:tabs>
        <w:tab w:val="clear" w:pos="284"/>
        <w:tab w:val="clear" w:pos="1985"/>
      </w:tabs>
      <w:spacing w:after="0" w:line="270" w:lineRule="atLeast"/>
      <w:jc w:val="left"/>
    </w:pPr>
    <w:rPr>
      <w:rFonts w:eastAsia="Times New Roman" w:cs="Arial"/>
      <w:sz w:val="18"/>
      <w:lang w:val="en-GB" w:eastAsia="da-DK"/>
    </w:rPr>
  </w:style>
  <w:style w:type="paragraph" w:styleId="af9">
    <w:name w:val="Body Text"/>
    <w:basedOn w:val="a2"/>
    <w:link w:val="afb"/>
    <w:uiPriority w:val="1"/>
    <w:unhideWhenUsed/>
    <w:qFormat/>
    <w:rsid w:val="00645CB7"/>
  </w:style>
  <w:style w:type="character" w:customStyle="1" w:styleId="afb">
    <w:name w:val="Основний текст Знак"/>
    <w:basedOn w:val="a3"/>
    <w:link w:val="af9"/>
    <w:uiPriority w:val="1"/>
    <w:rsid w:val="00645CB7"/>
    <w:rPr>
      <w:rFonts w:ascii="Verdana" w:hAnsi="Verdana"/>
      <w:sz w:val="20"/>
      <w:szCs w:val="20"/>
      <w:lang w:val="bg-BG"/>
    </w:rPr>
  </w:style>
  <w:style w:type="paragraph" w:customStyle="1" w:styleId="TableParagraph">
    <w:name w:val="Table Paragraph"/>
    <w:basedOn w:val="a2"/>
    <w:uiPriority w:val="1"/>
    <w:qFormat/>
    <w:rsid w:val="00645CB7"/>
    <w:pPr>
      <w:widowControl w:val="0"/>
      <w:tabs>
        <w:tab w:val="clear" w:pos="284"/>
        <w:tab w:val="clear" w:pos="1985"/>
      </w:tabs>
      <w:autoSpaceDE w:val="0"/>
      <w:autoSpaceDN w:val="0"/>
      <w:spacing w:after="0"/>
      <w:ind w:left="170"/>
      <w:jc w:val="left"/>
    </w:pPr>
    <w:rPr>
      <w:rFonts w:eastAsia="Arial" w:cs="Arial"/>
      <w:lang w:val="en-GB" w:eastAsia="en-GB" w:bidi="en-GB"/>
    </w:rPr>
  </w:style>
  <w:style w:type="table" w:customStyle="1" w:styleId="1TableStyle">
    <w:name w:val="1 Table Style"/>
    <w:basedOn w:val="a4"/>
    <w:uiPriority w:val="99"/>
    <w:rsid w:val="00645CB7"/>
    <w:rPr>
      <w:rFonts w:ascii="Verdana" w:hAnsi="Verdana"/>
      <w:sz w:val="20"/>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2F2F2" w:themeFill="background1" w:themeFillShade="F2"/>
      <w:vAlign w:val="center"/>
    </w:tcPr>
    <w:tblStylePr w:type="firstRow">
      <w:pPr>
        <w:wordWrap/>
        <w:jc w:val="center"/>
      </w:pPr>
      <w:rPr>
        <w:rFonts w:ascii="Verdana" w:hAnsi="Verdana"/>
        <w:b/>
        <w:color w:val="FF0000"/>
        <w:sz w:val="20"/>
      </w:rPr>
      <w:tblPr/>
      <w:tcPr>
        <w:shd w:val="clear" w:color="auto" w:fill="BFBFBF" w:themeFill="background1" w:themeFillShade="BF"/>
      </w:tcPr>
    </w:tblStylePr>
  </w:style>
  <w:style w:type="paragraph" w:customStyle="1" w:styleId="Default">
    <w:name w:val="Default"/>
    <w:rsid w:val="00645CB7"/>
    <w:pPr>
      <w:autoSpaceDE w:val="0"/>
      <w:autoSpaceDN w:val="0"/>
      <w:adjustRightInd w:val="0"/>
    </w:pPr>
    <w:rPr>
      <w:rFonts w:ascii="Arial" w:eastAsia="Times New Roman" w:hAnsi="Arial" w:cs="Arial"/>
      <w:color w:val="000000"/>
      <w:lang w:val="en-US"/>
    </w:rPr>
  </w:style>
  <w:style w:type="paragraph" w:styleId="42">
    <w:name w:val="toc 4"/>
    <w:basedOn w:val="a2"/>
    <w:next w:val="a2"/>
    <w:autoRedefine/>
    <w:uiPriority w:val="39"/>
    <w:unhideWhenUsed/>
    <w:rsid w:val="00645CB7"/>
    <w:pPr>
      <w:tabs>
        <w:tab w:val="clear" w:pos="284"/>
        <w:tab w:val="clear" w:pos="1985"/>
      </w:tabs>
      <w:spacing w:after="100"/>
      <w:ind w:left="660"/>
      <w:jc w:val="left"/>
    </w:pPr>
    <w:rPr>
      <w:rFonts w:asciiTheme="minorHAnsi" w:eastAsiaTheme="minorEastAsia" w:hAnsiTheme="minorHAnsi"/>
      <w:sz w:val="22"/>
      <w:szCs w:val="22"/>
      <w:lang w:val="en-US"/>
    </w:rPr>
  </w:style>
  <w:style w:type="paragraph" w:styleId="51">
    <w:name w:val="toc 5"/>
    <w:basedOn w:val="a2"/>
    <w:next w:val="a2"/>
    <w:autoRedefine/>
    <w:uiPriority w:val="39"/>
    <w:unhideWhenUsed/>
    <w:rsid w:val="00645CB7"/>
    <w:pPr>
      <w:tabs>
        <w:tab w:val="clear" w:pos="284"/>
        <w:tab w:val="clear" w:pos="1985"/>
      </w:tabs>
      <w:spacing w:after="100"/>
      <w:ind w:left="880"/>
      <w:jc w:val="left"/>
    </w:pPr>
    <w:rPr>
      <w:rFonts w:asciiTheme="minorHAnsi" w:eastAsiaTheme="minorEastAsia" w:hAnsiTheme="minorHAnsi"/>
      <w:sz w:val="22"/>
      <w:szCs w:val="22"/>
      <w:lang w:val="en-US"/>
    </w:rPr>
  </w:style>
  <w:style w:type="paragraph" w:styleId="61">
    <w:name w:val="toc 6"/>
    <w:basedOn w:val="a2"/>
    <w:next w:val="a2"/>
    <w:autoRedefine/>
    <w:uiPriority w:val="39"/>
    <w:unhideWhenUsed/>
    <w:rsid w:val="00645CB7"/>
    <w:pPr>
      <w:tabs>
        <w:tab w:val="clear" w:pos="284"/>
        <w:tab w:val="clear" w:pos="1985"/>
      </w:tabs>
      <w:spacing w:after="100"/>
      <w:ind w:left="1100"/>
      <w:jc w:val="left"/>
    </w:pPr>
    <w:rPr>
      <w:rFonts w:asciiTheme="minorHAnsi" w:eastAsiaTheme="minorEastAsia" w:hAnsiTheme="minorHAnsi"/>
      <w:sz w:val="22"/>
      <w:szCs w:val="22"/>
      <w:lang w:val="en-US"/>
    </w:rPr>
  </w:style>
  <w:style w:type="paragraph" w:styleId="71">
    <w:name w:val="toc 7"/>
    <w:basedOn w:val="a2"/>
    <w:next w:val="a2"/>
    <w:autoRedefine/>
    <w:uiPriority w:val="39"/>
    <w:unhideWhenUsed/>
    <w:rsid w:val="00645CB7"/>
    <w:pPr>
      <w:tabs>
        <w:tab w:val="clear" w:pos="284"/>
        <w:tab w:val="clear" w:pos="1985"/>
      </w:tabs>
      <w:spacing w:after="100"/>
      <w:ind w:left="1320"/>
      <w:jc w:val="left"/>
    </w:pPr>
    <w:rPr>
      <w:rFonts w:asciiTheme="minorHAnsi" w:eastAsiaTheme="minorEastAsia" w:hAnsiTheme="minorHAnsi"/>
      <w:sz w:val="22"/>
      <w:szCs w:val="22"/>
      <w:lang w:val="en-US"/>
    </w:rPr>
  </w:style>
  <w:style w:type="paragraph" w:styleId="81">
    <w:name w:val="toc 8"/>
    <w:basedOn w:val="a2"/>
    <w:next w:val="a2"/>
    <w:autoRedefine/>
    <w:uiPriority w:val="39"/>
    <w:unhideWhenUsed/>
    <w:rsid w:val="00645CB7"/>
    <w:pPr>
      <w:tabs>
        <w:tab w:val="clear" w:pos="284"/>
        <w:tab w:val="clear" w:pos="1985"/>
      </w:tabs>
      <w:spacing w:after="100"/>
      <w:ind w:left="1540"/>
      <w:jc w:val="left"/>
    </w:pPr>
    <w:rPr>
      <w:rFonts w:asciiTheme="minorHAnsi" w:eastAsiaTheme="minorEastAsia" w:hAnsiTheme="minorHAnsi"/>
      <w:sz w:val="22"/>
      <w:szCs w:val="22"/>
      <w:lang w:val="en-US"/>
    </w:rPr>
  </w:style>
  <w:style w:type="paragraph" w:styleId="91">
    <w:name w:val="toc 9"/>
    <w:basedOn w:val="a2"/>
    <w:next w:val="a2"/>
    <w:autoRedefine/>
    <w:uiPriority w:val="39"/>
    <w:unhideWhenUsed/>
    <w:rsid w:val="00645CB7"/>
    <w:pPr>
      <w:tabs>
        <w:tab w:val="clear" w:pos="284"/>
        <w:tab w:val="clear" w:pos="1985"/>
      </w:tabs>
      <w:spacing w:after="100"/>
      <w:ind w:left="1760"/>
      <w:jc w:val="left"/>
    </w:pPr>
    <w:rPr>
      <w:rFonts w:asciiTheme="minorHAnsi" w:eastAsiaTheme="minorEastAsia" w:hAnsiTheme="minorHAnsi"/>
      <w:sz w:val="22"/>
      <w:szCs w:val="22"/>
      <w:lang w:val="en-US"/>
    </w:rPr>
  </w:style>
  <w:style w:type="table" w:styleId="23">
    <w:name w:val="Light Shading Accent 2"/>
    <w:basedOn w:val="a4"/>
    <w:uiPriority w:val="60"/>
    <w:rsid w:val="00645CB7"/>
    <w:rPr>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4">
    <w:name w:val="Light List Accent 2"/>
    <w:basedOn w:val="a4"/>
    <w:uiPriority w:val="61"/>
    <w:rsid w:val="00645CB7"/>
    <w:rPr>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e24kjd">
    <w:name w:val="e24kjd"/>
    <w:basedOn w:val="a3"/>
    <w:rsid w:val="00645CB7"/>
  </w:style>
  <w:style w:type="character" w:customStyle="1" w:styleId="A80">
    <w:name w:val="A8"/>
    <w:uiPriority w:val="99"/>
    <w:rsid w:val="00645CB7"/>
    <w:rPr>
      <w:color w:val="000000"/>
      <w:sz w:val="20"/>
      <w:szCs w:val="20"/>
    </w:rPr>
  </w:style>
  <w:style w:type="paragraph" w:customStyle="1" w:styleId="Style1">
    <w:name w:val="Style1"/>
    <w:basedOn w:val="a2"/>
    <w:qFormat/>
    <w:rsid w:val="00645CB7"/>
    <w:pPr>
      <w:tabs>
        <w:tab w:val="clear" w:pos="284"/>
        <w:tab w:val="clear" w:pos="1985"/>
      </w:tabs>
      <w:spacing w:after="60" w:line="240" w:lineRule="auto"/>
      <w:jc w:val="left"/>
    </w:pPr>
    <w:rPr>
      <w:rFonts w:asciiTheme="minorHAnsi" w:eastAsiaTheme="minorEastAsia" w:hAnsiTheme="minorHAnsi"/>
      <w:sz w:val="22"/>
      <w:szCs w:val="22"/>
      <w:lang w:val="en-GB"/>
    </w:rPr>
  </w:style>
  <w:style w:type="paragraph" w:styleId="a1">
    <w:name w:val="List Number"/>
    <w:basedOn w:val="a2"/>
    <w:qFormat/>
    <w:rsid w:val="00FB3F0B"/>
    <w:pPr>
      <w:numPr>
        <w:numId w:val="9"/>
      </w:numPr>
      <w:tabs>
        <w:tab w:val="clear" w:pos="284"/>
        <w:tab w:val="clear" w:pos="1985"/>
      </w:tabs>
      <w:spacing w:before="60" w:after="60" w:line="240" w:lineRule="auto"/>
    </w:pPr>
    <w:rPr>
      <w:rFonts w:eastAsia="Times New Roman" w:cs="Times New Roman"/>
      <w:color w:val="2F5496" w:themeColor="accent1" w:themeShade="BF"/>
      <w:szCs w:val="24"/>
    </w:rPr>
  </w:style>
  <w:style w:type="paragraph" w:styleId="25">
    <w:name w:val="Body Text Indent 2"/>
    <w:basedOn w:val="a2"/>
    <w:link w:val="26"/>
    <w:uiPriority w:val="99"/>
    <w:unhideWhenUsed/>
    <w:rsid w:val="00645CB7"/>
    <w:pPr>
      <w:tabs>
        <w:tab w:val="clear" w:pos="284"/>
        <w:tab w:val="clear" w:pos="1985"/>
      </w:tabs>
      <w:spacing w:line="480" w:lineRule="auto"/>
      <w:ind w:left="283"/>
    </w:pPr>
    <w:rPr>
      <w:rFonts w:ascii="Arial" w:eastAsia="Times New Roman" w:hAnsi="Arial" w:cs="Times New Roman"/>
      <w:sz w:val="22"/>
      <w:szCs w:val="24"/>
      <w:lang w:val="en-US"/>
    </w:rPr>
  </w:style>
  <w:style w:type="character" w:customStyle="1" w:styleId="26">
    <w:name w:val="Основний текст з відступом 2 Знак"/>
    <w:basedOn w:val="a3"/>
    <w:link w:val="25"/>
    <w:uiPriority w:val="99"/>
    <w:rsid w:val="00645CB7"/>
    <w:rPr>
      <w:rFonts w:ascii="Arial" w:eastAsia="Times New Roman" w:hAnsi="Arial" w:cs="Times New Roman"/>
      <w:sz w:val="22"/>
      <w:lang w:val="en-US"/>
    </w:rPr>
  </w:style>
  <w:style w:type="paragraph" w:styleId="afc">
    <w:name w:val="Intense Quote"/>
    <w:basedOn w:val="a2"/>
    <w:next w:val="a2"/>
    <w:link w:val="afd"/>
    <w:uiPriority w:val="30"/>
    <w:qFormat/>
    <w:rsid w:val="00645CB7"/>
    <w:pPr>
      <w:pBdr>
        <w:bottom w:val="single" w:sz="4" w:space="4" w:color="4472C4" w:themeColor="accent1"/>
      </w:pBdr>
      <w:tabs>
        <w:tab w:val="clear" w:pos="284"/>
        <w:tab w:val="clear" w:pos="1985"/>
      </w:tabs>
      <w:spacing w:before="200" w:after="280"/>
      <w:ind w:left="936" w:right="936"/>
    </w:pPr>
    <w:rPr>
      <w:rFonts w:ascii="Arial" w:eastAsia="Times New Roman" w:hAnsi="Arial" w:cs="Times New Roman"/>
      <w:b/>
      <w:bCs/>
      <w:i/>
      <w:iCs/>
      <w:color w:val="4472C4" w:themeColor="accent1"/>
      <w:sz w:val="22"/>
      <w:szCs w:val="24"/>
      <w:lang w:val="en-GB"/>
    </w:rPr>
  </w:style>
  <w:style w:type="character" w:customStyle="1" w:styleId="afd">
    <w:name w:val="Насичена цитата Знак"/>
    <w:basedOn w:val="a3"/>
    <w:link w:val="afc"/>
    <w:uiPriority w:val="30"/>
    <w:rsid w:val="00645CB7"/>
    <w:rPr>
      <w:rFonts w:ascii="Arial" w:eastAsia="Times New Roman" w:hAnsi="Arial" w:cs="Times New Roman"/>
      <w:b/>
      <w:bCs/>
      <w:i/>
      <w:iCs/>
      <w:color w:val="4472C4" w:themeColor="accent1"/>
      <w:sz w:val="22"/>
      <w:lang w:val="en-GB"/>
    </w:rPr>
  </w:style>
  <w:style w:type="paragraph" w:styleId="afe">
    <w:name w:val="Body Text Indent"/>
    <w:basedOn w:val="a2"/>
    <w:link w:val="aff"/>
    <w:unhideWhenUsed/>
    <w:rsid w:val="00645CB7"/>
    <w:pPr>
      <w:tabs>
        <w:tab w:val="clear" w:pos="284"/>
        <w:tab w:val="clear" w:pos="1985"/>
      </w:tabs>
      <w:spacing w:line="270" w:lineRule="atLeast"/>
      <w:ind w:left="283"/>
      <w:jc w:val="left"/>
    </w:pPr>
    <w:rPr>
      <w:rFonts w:eastAsia="Times New Roman" w:cs="Arial"/>
      <w:sz w:val="18"/>
      <w:lang w:val="en-GB" w:eastAsia="da-DK"/>
    </w:rPr>
  </w:style>
  <w:style w:type="character" w:customStyle="1" w:styleId="aff">
    <w:name w:val="Основний текст з відступом Знак"/>
    <w:basedOn w:val="a3"/>
    <w:link w:val="afe"/>
    <w:rsid w:val="00645CB7"/>
    <w:rPr>
      <w:rFonts w:ascii="Verdana" w:eastAsia="Times New Roman" w:hAnsi="Verdana" w:cs="Arial"/>
      <w:sz w:val="18"/>
      <w:szCs w:val="20"/>
      <w:lang w:val="en-GB" w:eastAsia="da-DK"/>
    </w:rPr>
  </w:style>
  <w:style w:type="character" w:styleId="aff0">
    <w:name w:val="Subtle Reference"/>
    <w:basedOn w:val="a3"/>
    <w:uiPriority w:val="31"/>
    <w:qFormat/>
    <w:rsid w:val="00300608"/>
    <w:rPr>
      <w:rFonts w:ascii="Times New Roman" w:hAnsi="Times New Roman"/>
      <w:smallCaps/>
      <w:color w:val="2F5496" w:themeColor="accent1" w:themeShade="BF"/>
      <w:sz w:val="24"/>
      <w:u w:val="single"/>
    </w:rPr>
  </w:style>
  <w:style w:type="character" w:styleId="aff1">
    <w:name w:val="Intense Reference"/>
    <w:basedOn w:val="a3"/>
    <w:uiPriority w:val="32"/>
    <w:qFormat/>
    <w:rsid w:val="005A44B4"/>
    <w:rPr>
      <w:b/>
      <w:bCs/>
      <w:smallCaps/>
      <w:color w:val="2F5496" w:themeColor="accent1" w:themeShade="BF"/>
      <w:spacing w:val="5"/>
      <w:u w:val="single"/>
    </w:rPr>
  </w:style>
  <w:style w:type="paragraph" w:customStyle="1" w:styleId="Address">
    <w:name w:val="Address"/>
    <w:qFormat/>
    <w:rsid w:val="0050318C"/>
    <w:rPr>
      <w:rFonts w:ascii="HelveticaNeueLT Std" w:eastAsia="Calibri" w:hAnsi="HelveticaNeueLT Std" w:cs="Times New Roman"/>
      <w:color w:val="2B5A85"/>
      <w:sz w:val="16"/>
      <w:szCs w:val="22"/>
      <w:lang w:val="en-US"/>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a2"/>
    <w:link w:val="ac"/>
    <w:uiPriority w:val="99"/>
    <w:rsid w:val="005E117A"/>
    <w:pPr>
      <w:tabs>
        <w:tab w:val="clear" w:pos="284"/>
        <w:tab w:val="clear" w:pos="1985"/>
      </w:tabs>
      <w:spacing w:line="240" w:lineRule="exact"/>
      <w:jc w:val="left"/>
    </w:pPr>
    <w:rPr>
      <w:rFonts w:asciiTheme="minorHAnsi" w:hAnsiTheme="minorHAnsi"/>
      <w:szCs w:val="24"/>
      <w:vertAlign w:val="superscript"/>
      <w:lang w:val="ru-RU"/>
    </w:rPr>
  </w:style>
  <w:style w:type="paragraph" w:customStyle="1" w:styleId="Table">
    <w:name w:val="Table"/>
    <w:basedOn w:val="a2"/>
    <w:link w:val="TableCharChar"/>
    <w:qFormat/>
    <w:rsid w:val="007B1540"/>
    <w:pPr>
      <w:tabs>
        <w:tab w:val="clear" w:pos="284"/>
        <w:tab w:val="clear" w:pos="1985"/>
      </w:tabs>
      <w:spacing w:before="60" w:after="60"/>
      <w:jc w:val="left"/>
    </w:pPr>
    <w:rPr>
      <w:rFonts w:eastAsia="Times New Roman" w:cs="Times New Roman"/>
      <w:sz w:val="22"/>
      <w:szCs w:val="24"/>
      <w:lang w:val="en-US"/>
    </w:rPr>
  </w:style>
  <w:style w:type="character" w:customStyle="1" w:styleId="TableCharChar">
    <w:name w:val="Table Char Char"/>
    <w:basedOn w:val="a3"/>
    <w:link w:val="Table"/>
    <w:locked/>
    <w:rsid w:val="007B1540"/>
    <w:rPr>
      <w:rFonts w:ascii="Times New Roman" w:eastAsia="Times New Roman" w:hAnsi="Times New Roman" w:cs="Times New Roman"/>
      <w:sz w:val="22"/>
      <w:lang w:val="en-US"/>
    </w:rPr>
  </w:style>
  <w:style w:type="paragraph" w:customStyle="1" w:styleId="TableTitle">
    <w:name w:val="Table Title"/>
    <w:basedOn w:val="a2"/>
    <w:link w:val="TableTitleChar"/>
    <w:qFormat/>
    <w:rsid w:val="00022B6E"/>
    <w:pPr>
      <w:tabs>
        <w:tab w:val="clear" w:pos="284"/>
        <w:tab w:val="clear" w:pos="1985"/>
      </w:tabs>
      <w:spacing w:before="60" w:after="60"/>
      <w:jc w:val="left"/>
    </w:pPr>
    <w:rPr>
      <w:rFonts w:ascii="Calibri" w:eastAsia="Times New Roman" w:hAnsi="Calibri" w:cs="Times New Roman"/>
      <w:b/>
      <w:i/>
      <w:szCs w:val="18"/>
    </w:rPr>
  </w:style>
  <w:style w:type="character" w:customStyle="1" w:styleId="TableTitleChar">
    <w:name w:val="Table Title Char"/>
    <w:basedOn w:val="a3"/>
    <w:link w:val="TableTitle"/>
    <w:rsid w:val="00022B6E"/>
    <w:rPr>
      <w:rFonts w:ascii="Calibri" w:eastAsia="Times New Roman" w:hAnsi="Calibri" w:cs="Times New Roman"/>
      <w:b/>
      <w:i/>
      <w:szCs w:val="18"/>
      <w:lang w:val="uk-UA"/>
    </w:rPr>
  </w:style>
  <w:style w:type="table" w:customStyle="1" w:styleId="-711">
    <w:name w:val="Список-таблица 7 цветная — акцент 11"/>
    <w:basedOn w:val="a4"/>
    <w:uiPriority w:val="52"/>
    <w:rsid w:val="00B11C23"/>
    <w:rPr>
      <w:rFonts w:ascii="Times New Roman" w:eastAsia="Times New Roman" w:hAnsi="Times New Roman" w:cs="Times New Roman"/>
      <w:color w:val="2F5496" w:themeColor="accent1"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EF48C1"/>
    <w:rPr>
      <w:rFonts w:eastAsiaTheme="minorEastAsia"/>
      <w:sz w:val="22"/>
      <w:szCs w:val="22"/>
      <w:lang w:val="en-GB"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style>
  <w:style w:type="paragraph" w:styleId="27">
    <w:name w:val="Body Text First Indent 2"/>
    <w:basedOn w:val="afe"/>
    <w:link w:val="28"/>
    <w:uiPriority w:val="99"/>
    <w:semiHidden/>
    <w:unhideWhenUsed/>
    <w:rsid w:val="00571098"/>
    <w:pPr>
      <w:tabs>
        <w:tab w:val="left" w:pos="284"/>
        <w:tab w:val="left" w:pos="1985"/>
      </w:tabs>
      <w:spacing w:after="160" w:line="259" w:lineRule="auto"/>
      <w:ind w:left="360" w:firstLine="360"/>
      <w:jc w:val="both"/>
    </w:pPr>
    <w:rPr>
      <w:rFonts w:eastAsiaTheme="minorHAnsi" w:cstheme="minorBidi"/>
      <w:sz w:val="20"/>
      <w:lang w:val="bg-BG" w:eastAsia="en-US"/>
    </w:rPr>
  </w:style>
  <w:style w:type="character" w:customStyle="1" w:styleId="28">
    <w:name w:val="Червоний рядок 2 Знак"/>
    <w:basedOn w:val="aff"/>
    <w:link w:val="27"/>
    <w:uiPriority w:val="99"/>
    <w:semiHidden/>
    <w:rsid w:val="00571098"/>
    <w:rPr>
      <w:rFonts w:ascii="Verdana" w:eastAsia="Times New Roman" w:hAnsi="Verdana" w:cs="Arial"/>
      <w:sz w:val="20"/>
      <w:szCs w:val="20"/>
      <w:lang w:val="bg-BG" w:eastAsia="da-DK"/>
    </w:rPr>
  </w:style>
  <w:style w:type="paragraph" w:customStyle="1" w:styleId="HDTableBulletlist1">
    <w:name w:val="HD_Table_Bulletlist1"/>
    <w:basedOn w:val="a"/>
    <w:uiPriority w:val="99"/>
    <w:qFormat/>
    <w:rsid w:val="00DF6FDD"/>
    <w:pPr>
      <w:numPr>
        <w:numId w:val="0"/>
      </w:numPr>
      <w:tabs>
        <w:tab w:val="left" w:pos="284"/>
      </w:tabs>
      <w:spacing w:after="240" w:line="240" w:lineRule="auto"/>
      <w:ind w:left="720" w:hanging="360"/>
      <w:contextualSpacing/>
      <w:jc w:val="both"/>
    </w:pPr>
    <w:rPr>
      <w:rFonts w:asciiTheme="minorHAnsi" w:eastAsiaTheme="minorEastAsia" w:hAnsiTheme="minorHAnsi" w:cstheme="minorBidi"/>
      <w:sz w:val="20"/>
      <w:szCs w:val="22"/>
      <w:lang w:eastAsia="en-US" w:bidi="en-US"/>
    </w:rPr>
  </w:style>
  <w:style w:type="paragraph" w:customStyle="1" w:styleId="HDTextHeadingSub1">
    <w:name w:val="HD_Text_HeadingSub1"/>
    <w:basedOn w:val="a2"/>
    <w:next w:val="a2"/>
    <w:qFormat/>
    <w:rsid w:val="00DF6FDD"/>
    <w:pPr>
      <w:tabs>
        <w:tab w:val="clear" w:pos="284"/>
        <w:tab w:val="clear" w:pos="1985"/>
      </w:tabs>
      <w:spacing w:after="240" w:line="240" w:lineRule="auto"/>
    </w:pPr>
    <w:rPr>
      <w:rFonts w:ascii="Calibri" w:eastAsiaTheme="majorEastAsia" w:hAnsi="Calibri" w:cstheme="majorBidi"/>
      <w:bCs/>
      <w:iCs/>
      <w:sz w:val="28"/>
      <w:szCs w:val="22"/>
      <w:lang w:val="en-GB" w:bidi="en-US"/>
    </w:rPr>
  </w:style>
  <w:style w:type="paragraph" w:customStyle="1" w:styleId="HDTextHeadingSub2">
    <w:name w:val="HD_Text_HeadingSub2"/>
    <w:basedOn w:val="a2"/>
    <w:next w:val="a2"/>
    <w:uiPriority w:val="99"/>
    <w:qFormat/>
    <w:rsid w:val="00DF6FDD"/>
    <w:pPr>
      <w:tabs>
        <w:tab w:val="clear" w:pos="284"/>
        <w:tab w:val="clear" w:pos="1985"/>
      </w:tabs>
      <w:spacing w:after="240" w:line="240" w:lineRule="auto"/>
    </w:pPr>
    <w:rPr>
      <w:rFonts w:asciiTheme="minorHAnsi" w:eastAsiaTheme="minorEastAsia" w:hAnsiTheme="minorHAnsi"/>
      <w:b/>
      <w:sz w:val="22"/>
      <w:szCs w:val="22"/>
      <w:lang w:val="en-GB" w:bidi="en-US"/>
    </w:rPr>
  </w:style>
  <w:style w:type="character" w:customStyle="1" w:styleId="alt-edited">
    <w:name w:val="alt-edited"/>
    <w:basedOn w:val="a3"/>
    <w:rsid w:val="00467537"/>
  </w:style>
  <w:style w:type="paragraph" w:customStyle="1" w:styleId="12">
    <w:name w:val="Обычный1"/>
    <w:basedOn w:val="a2"/>
    <w:rsid w:val="00183854"/>
    <w:pPr>
      <w:tabs>
        <w:tab w:val="clear" w:pos="284"/>
        <w:tab w:val="clear" w:pos="1985"/>
      </w:tabs>
      <w:spacing w:before="100" w:beforeAutospacing="1" w:after="100" w:afterAutospacing="1" w:line="240" w:lineRule="auto"/>
      <w:jc w:val="left"/>
    </w:pPr>
    <w:rPr>
      <w:rFonts w:eastAsia="Times New Roman" w:cs="Times New Roman"/>
      <w:szCs w:val="24"/>
      <w:lang w:val="ru-RU" w:eastAsia="ru-RU"/>
    </w:rPr>
  </w:style>
  <w:style w:type="character" w:customStyle="1" w:styleId="footnotereference">
    <w:name w:val="footnotereference"/>
    <w:basedOn w:val="a3"/>
    <w:rsid w:val="00183854"/>
  </w:style>
  <w:style w:type="table" w:customStyle="1" w:styleId="TableGrid1">
    <w:name w:val="Table Grid1"/>
    <w:basedOn w:val="a4"/>
    <w:next w:val="afa"/>
    <w:uiPriority w:val="39"/>
    <w:rsid w:val="00CA1E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2"/>
    <w:next w:val="a2"/>
    <w:rsid w:val="00A740F0"/>
    <w:pPr>
      <w:tabs>
        <w:tab w:val="clear" w:pos="284"/>
        <w:tab w:val="clear" w:pos="1985"/>
      </w:tabs>
      <w:spacing w:line="240" w:lineRule="exact"/>
    </w:pPr>
    <w:rPr>
      <w:rFonts w:asciiTheme="minorHAnsi" w:hAnsiTheme="minorHAnsi"/>
      <w:sz w:val="22"/>
      <w:szCs w:val="22"/>
      <w:vertAlign w:val="superscript"/>
      <w:lang w:val="ru-RU"/>
    </w:rPr>
  </w:style>
  <w:style w:type="character" w:styleId="aff2">
    <w:name w:val="Strong"/>
    <w:basedOn w:val="26"/>
    <w:uiPriority w:val="22"/>
    <w:qFormat/>
    <w:rsid w:val="00C81A84"/>
    <w:rPr>
      <w:rFonts w:ascii="Times New Roman" w:eastAsia="Times New Roman" w:hAnsi="Times New Roman" w:cs="Times New Roman"/>
      <w:b/>
      <w:bCs/>
      <w:sz w:val="24"/>
      <w:lang w:val="en-US"/>
    </w:rPr>
  </w:style>
  <w:style w:type="numbering" w:styleId="111111">
    <w:name w:val="Outline List 2"/>
    <w:basedOn w:val="a5"/>
    <w:rsid w:val="00BF26DB"/>
    <w:pPr>
      <w:numPr>
        <w:numId w:val="7"/>
      </w:numPr>
    </w:pPr>
  </w:style>
  <w:style w:type="paragraph" w:customStyle="1" w:styleId="HDComment">
    <w:name w:val="HD_Comment"/>
    <w:basedOn w:val="a2"/>
    <w:qFormat/>
    <w:rsid w:val="00BF414C"/>
    <w:pPr>
      <w:tabs>
        <w:tab w:val="clear" w:pos="284"/>
        <w:tab w:val="clear" w:pos="1985"/>
      </w:tabs>
      <w:spacing w:after="200"/>
    </w:pPr>
    <w:rPr>
      <w:rFonts w:ascii="Calibri" w:eastAsiaTheme="majorEastAsia" w:hAnsi="Calibri" w:cstheme="majorBidi"/>
      <w:color w:val="4472C4" w:themeColor="accent1"/>
      <w:sz w:val="22"/>
      <w:szCs w:val="22"/>
      <w:lang w:val="en-GB" w:bidi="en-US"/>
    </w:rPr>
  </w:style>
  <w:style w:type="paragraph" w:customStyle="1" w:styleId="HDTableHeaderRow">
    <w:name w:val="HD_Table_HeaderRow"/>
    <w:basedOn w:val="a2"/>
    <w:uiPriority w:val="99"/>
    <w:qFormat/>
    <w:rsid w:val="00F524EB"/>
    <w:pPr>
      <w:tabs>
        <w:tab w:val="clear" w:pos="284"/>
        <w:tab w:val="clear" w:pos="1985"/>
      </w:tabs>
      <w:spacing w:before="100" w:beforeAutospacing="1" w:after="0" w:afterAutospacing="1" w:line="240" w:lineRule="auto"/>
      <w:jc w:val="left"/>
    </w:pPr>
    <w:rPr>
      <w:rFonts w:ascii="Calibri Light" w:eastAsiaTheme="minorEastAsia" w:hAnsi="Calibri Light"/>
      <w:b/>
      <w:color w:val="2F5496" w:themeColor="accent1" w:themeShade="BF"/>
      <w:szCs w:val="22"/>
      <w:lang w:val="en-GB" w:bidi="en-US"/>
    </w:rPr>
  </w:style>
  <w:style w:type="paragraph" w:customStyle="1" w:styleId="HDTableNormal">
    <w:name w:val="HD_Table_Normal"/>
    <w:basedOn w:val="a2"/>
    <w:semiHidden/>
    <w:qFormat/>
    <w:rsid w:val="00F524EB"/>
    <w:pPr>
      <w:tabs>
        <w:tab w:val="clear" w:pos="284"/>
        <w:tab w:val="clear" w:pos="1985"/>
      </w:tabs>
      <w:spacing w:after="60" w:line="240" w:lineRule="auto"/>
    </w:pPr>
    <w:rPr>
      <w:rFonts w:ascii="Calibri Light" w:eastAsiaTheme="minorEastAsia" w:hAnsi="Calibri Light"/>
      <w:szCs w:val="22"/>
      <w:lang w:val="en-GB" w:bidi="en-US"/>
    </w:rPr>
  </w:style>
  <w:style w:type="table" w:customStyle="1" w:styleId="HDTable">
    <w:name w:val="HD Table"/>
    <w:basedOn w:val="a4"/>
    <w:uiPriority w:val="99"/>
    <w:rsid w:val="00F524EB"/>
    <w:rPr>
      <w:rFonts w:eastAsiaTheme="minorEastAsia"/>
      <w:sz w:val="22"/>
      <w:szCs w:val="22"/>
      <w:lang w:val="en-US" w:bidi="en-US"/>
    </w:rPr>
    <w:tblPr>
      <w:tblBorders>
        <w:top w:val="single" w:sz="2" w:space="0" w:color="8496B0" w:themeColor="text2" w:themeTint="99"/>
        <w:left w:val="single" w:sz="2" w:space="0" w:color="8496B0" w:themeColor="text2" w:themeTint="99"/>
        <w:bottom w:val="single" w:sz="2" w:space="0" w:color="8496B0" w:themeColor="text2" w:themeTint="99"/>
        <w:right w:val="single" w:sz="2" w:space="0" w:color="8496B0" w:themeColor="text2" w:themeTint="99"/>
        <w:insideH w:val="single" w:sz="2" w:space="0" w:color="8496B0" w:themeColor="text2" w:themeTint="99"/>
        <w:insideV w:val="single" w:sz="2" w:space="0" w:color="8496B0" w:themeColor="text2" w:themeTint="99"/>
      </w:tblBorders>
    </w:tblPr>
    <w:tblStylePr w:type="firstRow">
      <w:tblPr/>
      <w:tcPr>
        <w:shd w:val="clear" w:color="auto" w:fill="D9E2F3" w:themeFill="accent1" w:themeFillTint="33"/>
        <w:vAlign w:val="center"/>
      </w:tcPr>
    </w:tblStylePr>
  </w:style>
  <w:style w:type="paragraph" w:customStyle="1" w:styleId="BodycopyforLetterhead">
    <w:name w:val="Body copy for Letterhead"/>
    <w:basedOn w:val="a2"/>
    <w:qFormat/>
    <w:rsid w:val="003013FC"/>
    <w:pPr>
      <w:tabs>
        <w:tab w:val="clear" w:pos="284"/>
        <w:tab w:val="clear" w:pos="1985"/>
      </w:tabs>
      <w:spacing w:after="240" w:line="280" w:lineRule="exact"/>
      <w:jc w:val="left"/>
    </w:pPr>
    <w:rPr>
      <w:rFonts w:ascii="Arial Nova Light" w:hAnsi="Arial Nova Light"/>
      <w:szCs w:val="22"/>
      <w:lang w:val="en-US"/>
    </w:rPr>
  </w:style>
  <w:style w:type="paragraph" w:styleId="aff3">
    <w:name w:val="Normal (Web)"/>
    <w:basedOn w:val="a2"/>
    <w:uiPriority w:val="99"/>
    <w:unhideWhenUsed/>
    <w:rsid w:val="003013FC"/>
    <w:pPr>
      <w:tabs>
        <w:tab w:val="clear" w:pos="284"/>
        <w:tab w:val="clear" w:pos="1985"/>
      </w:tabs>
      <w:spacing w:before="100" w:beforeAutospacing="1" w:after="100" w:afterAutospacing="1" w:line="240" w:lineRule="auto"/>
      <w:jc w:val="left"/>
    </w:pPr>
    <w:rPr>
      <w:rFonts w:eastAsia="Times New Roman" w:cs="Times New Roman"/>
      <w:szCs w:val="24"/>
      <w:lang w:eastAsia="bg-BG"/>
    </w:rPr>
  </w:style>
  <w:style w:type="character" w:customStyle="1" w:styleId="jlqj4b">
    <w:name w:val="jlqj4b"/>
    <w:basedOn w:val="a3"/>
    <w:rsid w:val="003013FC"/>
  </w:style>
  <w:style w:type="paragraph" w:styleId="aff4">
    <w:name w:val="Balloon Text"/>
    <w:basedOn w:val="a2"/>
    <w:link w:val="aff5"/>
    <w:uiPriority w:val="99"/>
    <w:semiHidden/>
    <w:unhideWhenUsed/>
    <w:rsid w:val="00015F69"/>
    <w:pPr>
      <w:spacing w:after="0" w:line="240" w:lineRule="auto"/>
    </w:pPr>
    <w:rPr>
      <w:rFonts w:ascii="Segoe UI" w:hAnsi="Segoe UI" w:cs="Segoe UI"/>
      <w:sz w:val="18"/>
      <w:szCs w:val="18"/>
    </w:rPr>
  </w:style>
  <w:style w:type="character" w:customStyle="1" w:styleId="aff5">
    <w:name w:val="Текст у виносці Знак"/>
    <w:basedOn w:val="a3"/>
    <w:link w:val="aff4"/>
    <w:uiPriority w:val="99"/>
    <w:semiHidden/>
    <w:rsid w:val="00015F69"/>
    <w:rPr>
      <w:rFonts w:ascii="Segoe UI" w:hAnsi="Segoe UI" w:cs="Segoe UI"/>
      <w:sz w:val="18"/>
      <w:szCs w:val="18"/>
      <w:lang w:val="bg-BG"/>
    </w:rPr>
  </w:style>
  <w:style w:type="character" w:styleId="aff6">
    <w:name w:val="annotation reference"/>
    <w:basedOn w:val="a3"/>
    <w:uiPriority w:val="99"/>
    <w:semiHidden/>
    <w:unhideWhenUsed/>
    <w:rsid w:val="00F738B9"/>
    <w:rPr>
      <w:sz w:val="16"/>
      <w:szCs w:val="16"/>
    </w:rPr>
  </w:style>
  <w:style w:type="paragraph" w:styleId="aff7">
    <w:name w:val="annotation text"/>
    <w:basedOn w:val="a2"/>
    <w:link w:val="aff8"/>
    <w:uiPriority w:val="99"/>
    <w:unhideWhenUsed/>
    <w:rsid w:val="00F738B9"/>
    <w:pPr>
      <w:spacing w:line="240" w:lineRule="auto"/>
    </w:pPr>
  </w:style>
  <w:style w:type="character" w:customStyle="1" w:styleId="aff8">
    <w:name w:val="Текст примітки Знак"/>
    <w:basedOn w:val="a3"/>
    <w:link w:val="aff7"/>
    <w:uiPriority w:val="99"/>
    <w:rsid w:val="00F738B9"/>
    <w:rPr>
      <w:rFonts w:ascii="Verdana" w:hAnsi="Verdana"/>
      <w:sz w:val="20"/>
      <w:szCs w:val="20"/>
      <w:lang w:val="bg-BG"/>
    </w:rPr>
  </w:style>
  <w:style w:type="paragraph" w:styleId="aff9">
    <w:name w:val="annotation subject"/>
    <w:basedOn w:val="aff7"/>
    <w:next w:val="aff7"/>
    <w:link w:val="affa"/>
    <w:uiPriority w:val="99"/>
    <w:semiHidden/>
    <w:unhideWhenUsed/>
    <w:rsid w:val="00F738B9"/>
    <w:rPr>
      <w:b/>
      <w:bCs/>
    </w:rPr>
  </w:style>
  <w:style w:type="character" w:customStyle="1" w:styleId="affa">
    <w:name w:val="Тема примітки Знак"/>
    <w:basedOn w:val="aff8"/>
    <w:link w:val="aff9"/>
    <w:uiPriority w:val="99"/>
    <w:semiHidden/>
    <w:rsid w:val="00F738B9"/>
    <w:rPr>
      <w:rFonts w:ascii="Verdana" w:hAnsi="Verdana"/>
      <w:b/>
      <w:bCs/>
      <w:sz w:val="20"/>
      <w:szCs w:val="20"/>
      <w:lang w:val="bg-BG"/>
    </w:rPr>
  </w:style>
  <w:style w:type="paragraph" w:styleId="affb">
    <w:name w:val="No Spacing"/>
    <w:link w:val="affc"/>
    <w:uiPriority w:val="1"/>
    <w:qFormat/>
    <w:rsid w:val="006654CE"/>
    <w:rPr>
      <w:rFonts w:eastAsiaTheme="minorEastAsia"/>
      <w:sz w:val="22"/>
      <w:szCs w:val="22"/>
      <w:lang w:val="en-US"/>
    </w:rPr>
  </w:style>
  <w:style w:type="character" w:customStyle="1" w:styleId="affc">
    <w:name w:val="Без інтервалів Знак"/>
    <w:basedOn w:val="a3"/>
    <w:link w:val="affb"/>
    <w:uiPriority w:val="1"/>
    <w:rsid w:val="006654CE"/>
    <w:rPr>
      <w:rFonts w:eastAsiaTheme="minorEastAsia"/>
      <w:sz w:val="22"/>
      <w:szCs w:val="22"/>
      <w:lang w:val="en-US"/>
    </w:rPr>
  </w:style>
  <w:style w:type="character" w:customStyle="1" w:styleId="tlid-translation">
    <w:name w:val="tlid-translation"/>
    <w:basedOn w:val="a3"/>
    <w:rsid w:val="0029556D"/>
  </w:style>
  <w:style w:type="paragraph" w:customStyle="1" w:styleId="HDTableNormal0">
    <w:name w:val="HD Table Normal"/>
    <w:basedOn w:val="a2"/>
    <w:uiPriority w:val="99"/>
    <w:rsid w:val="00AE71E2"/>
    <w:pPr>
      <w:tabs>
        <w:tab w:val="clear" w:pos="284"/>
        <w:tab w:val="clear" w:pos="1985"/>
      </w:tabs>
      <w:spacing w:after="0" w:line="260" w:lineRule="atLeast"/>
    </w:pPr>
    <w:rPr>
      <w:rFonts w:ascii="Calibri" w:hAnsi="Calibri" w:cs="Calibri"/>
      <w:lang w:val="de-AT" w:eastAsia="ar-SA"/>
    </w:rPr>
  </w:style>
  <w:style w:type="character" w:customStyle="1" w:styleId="rvts0">
    <w:name w:val="rvts0"/>
    <w:basedOn w:val="a3"/>
    <w:rsid w:val="00E87802"/>
  </w:style>
  <w:style w:type="character" w:customStyle="1" w:styleId="rvts82">
    <w:name w:val="rvts82"/>
    <w:basedOn w:val="a3"/>
    <w:rsid w:val="00E87802"/>
  </w:style>
  <w:style w:type="character" w:styleId="affd">
    <w:name w:val="Emphasis"/>
    <w:basedOn w:val="a3"/>
    <w:uiPriority w:val="20"/>
    <w:qFormat/>
    <w:rsid w:val="00716CF7"/>
    <w:rPr>
      <w:i/>
      <w:iCs/>
    </w:rPr>
  </w:style>
  <w:style w:type="character" w:customStyle="1" w:styleId="rynqvb">
    <w:name w:val="rynqvb"/>
    <w:basedOn w:val="a3"/>
    <w:rsid w:val="00562951"/>
  </w:style>
  <w:style w:type="character" w:customStyle="1" w:styleId="apple-tab-span">
    <w:name w:val="apple-tab-span"/>
    <w:basedOn w:val="a3"/>
    <w:rsid w:val="001C5DC1"/>
  </w:style>
  <w:style w:type="character" w:customStyle="1" w:styleId="hwtze">
    <w:name w:val="hwtze"/>
    <w:basedOn w:val="a3"/>
    <w:rsid w:val="002736A2"/>
  </w:style>
  <w:style w:type="character" w:styleId="affe">
    <w:name w:val="Intense Emphasis"/>
    <w:basedOn w:val="a3"/>
    <w:uiPriority w:val="21"/>
    <w:qFormat/>
    <w:rsid w:val="009C6CE8"/>
    <w:rPr>
      <w:rFonts w:ascii="Times New Roman" w:hAnsi="Times New Roman"/>
      <w:i w:val="0"/>
      <w:iCs/>
      <w:color w:val="2F5496" w:themeColor="accent1" w:themeShade="BF"/>
      <w:sz w:val="24"/>
    </w:rPr>
  </w:style>
  <w:style w:type="paragraph" w:customStyle="1" w:styleId="bold">
    <w:name w:val="підзаголовки bold"/>
    <w:basedOn w:val="a2"/>
    <w:link w:val="bold0"/>
    <w:qFormat/>
    <w:rsid w:val="00CB4E65"/>
    <w:pPr>
      <w:spacing w:before="240"/>
    </w:pPr>
    <w:rPr>
      <w:b/>
    </w:rPr>
  </w:style>
  <w:style w:type="paragraph" w:styleId="afff">
    <w:name w:val="Subtitle"/>
    <w:basedOn w:val="a2"/>
    <w:next w:val="a2"/>
    <w:link w:val="afff0"/>
    <w:uiPriority w:val="11"/>
    <w:qFormat/>
    <w:rsid w:val="009E11A3"/>
    <w:pPr>
      <w:numPr>
        <w:ilvl w:val="1"/>
      </w:numPr>
      <w:spacing w:before="240"/>
    </w:pPr>
    <w:rPr>
      <w:rFonts w:eastAsiaTheme="minorEastAsia" w:cstheme="minorHAnsi"/>
      <w:b/>
      <w:szCs w:val="22"/>
    </w:rPr>
  </w:style>
  <w:style w:type="character" w:customStyle="1" w:styleId="bold0">
    <w:name w:val="підзаголовки bold Знак"/>
    <w:basedOn w:val="a3"/>
    <w:link w:val="bold"/>
    <w:rsid w:val="00CB4E65"/>
    <w:rPr>
      <w:rFonts w:ascii="Times New Roman" w:hAnsi="Times New Roman"/>
      <w:b/>
      <w:szCs w:val="20"/>
      <w:lang w:val="uk-UA"/>
    </w:rPr>
  </w:style>
  <w:style w:type="character" w:customStyle="1" w:styleId="afff0">
    <w:name w:val="Підзаголовок Знак"/>
    <w:basedOn w:val="a3"/>
    <w:link w:val="afff"/>
    <w:uiPriority w:val="11"/>
    <w:rsid w:val="009E11A3"/>
    <w:rPr>
      <w:rFonts w:ascii="Times New Roman" w:eastAsiaTheme="minorEastAsia" w:hAnsi="Times New Roman" w:cstheme="minorHAnsi"/>
      <w:b/>
      <w:szCs w:val="22"/>
      <w:lang w:val="uk-UA"/>
    </w:rPr>
  </w:style>
  <w:style w:type="table" w:customStyle="1" w:styleId="510">
    <w:name w:val="Звичайна таблиця 51"/>
    <w:basedOn w:val="a4"/>
    <w:uiPriority w:val="45"/>
    <w:rsid w:val="005A1A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Звичайна таблиця 41"/>
    <w:basedOn w:val="a4"/>
    <w:uiPriority w:val="44"/>
    <w:rsid w:val="005A1A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Звичайна таблиця 31"/>
    <w:basedOn w:val="a4"/>
    <w:uiPriority w:val="43"/>
    <w:rsid w:val="005A1A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tyle2">
    <w:name w:val="Style2"/>
    <w:uiPriority w:val="99"/>
    <w:rsid w:val="00896D7D"/>
    <w:pPr>
      <w:numPr>
        <w:numId w:val="20"/>
      </w:numPr>
    </w:pPr>
  </w:style>
  <w:style w:type="paragraph" w:styleId="afff1">
    <w:name w:val="Revision"/>
    <w:hidden/>
    <w:uiPriority w:val="99"/>
    <w:semiHidden/>
    <w:rsid w:val="00231312"/>
    <w:rPr>
      <w:rFonts w:ascii="Times New Roman" w:hAnsi="Times New Roman"/>
      <w:szCs w:val="20"/>
      <w:lang w:val="uk-UA"/>
    </w:rPr>
  </w:style>
  <w:style w:type="character" w:customStyle="1" w:styleId="13">
    <w:name w:val="Незакрита згадка1"/>
    <w:basedOn w:val="a3"/>
    <w:uiPriority w:val="99"/>
    <w:semiHidden/>
    <w:unhideWhenUsed/>
    <w:rsid w:val="00BC2AEE"/>
    <w:rPr>
      <w:color w:val="605E5C"/>
      <w:shd w:val="clear" w:color="auto" w:fill="E1DFDD"/>
    </w:rPr>
  </w:style>
  <w:style w:type="paragraph" w:customStyle="1" w:styleId="afff2">
    <w:name w:val="Нормальний текст"/>
    <w:basedOn w:val="a2"/>
    <w:rsid w:val="005F6824"/>
    <w:pPr>
      <w:tabs>
        <w:tab w:val="clear" w:pos="284"/>
        <w:tab w:val="clear" w:pos="1985"/>
      </w:tabs>
      <w:spacing w:after="0" w:line="240" w:lineRule="auto"/>
      <w:ind w:firstLine="567"/>
      <w:jc w:val="left"/>
    </w:pPr>
    <w:rPr>
      <w:rFonts w:ascii="Antiqua" w:eastAsia="Times New Roman" w:hAnsi="Antiqua" w:cs="Times New Roman"/>
      <w:sz w:val="26"/>
      <w:lang w:eastAsia="ru-RU"/>
    </w:rPr>
  </w:style>
  <w:style w:type="character" w:customStyle="1" w:styleId="UnresolvedMention">
    <w:name w:val="Unresolved Mention"/>
    <w:basedOn w:val="a3"/>
    <w:uiPriority w:val="99"/>
    <w:semiHidden/>
    <w:unhideWhenUsed/>
    <w:rsid w:val="00BE507C"/>
    <w:rPr>
      <w:color w:val="605E5C"/>
      <w:shd w:val="clear" w:color="auto" w:fill="E1DFDD"/>
    </w:rPr>
  </w:style>
  <w:style w:type="table" w:customStyle="1" w:styleId="14">
    <w:name w:val="Сітка таблиці1"/>
    <w:basedOn w:val="a4"/>
    <w:next w:val="afa"/>
    <w:uiPriority w:val="39"/>
    <w:rsid w:val="001A2C4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542">
      <w:bodyDiv w:val="1"/>
      <w:marLeft w:val="0"/>
      <w:marRight w:val="0"/>
      <w:marTop w:val="0"/>
      <w:marBottom w:val="0"/>
      <w:divBdr>
        <w:top w:val="none" w:sz="0" w:space="0" w:color="auto"/>
        <w:left w:val="none" w:sz="0" w:space="0" w:color="auto"/>
        <w:bottom w:val="none" w:sz="0" w:space="0" w:color="auto"/>
        <w:right w:val="none" w:sz="0" w:space="0" w:color="auto"/>
      </w:divBdr>
    </w:div>
    <w:div w:id="92551467">
      <w:bodyDiv w:val="1"/>
      <w:marLeft w:val="0"/>
      <w:marRight w:val="0"/>
      <w:marTop w:val="0"/>
      <w:marBottom w:val="0"/>
      <w:divBdr>
        <w:top w:val="none" w:sz="0" w:space="0" w:color="auto"/>
        <w:left w:val="none" w:sz="0" w:space="0" w:color="auto"/>
        <w:bottom w:val="none" w:sz="0" w:space="0" w:color="auto"/>
        <w:right w:val="none" w:sz="0" w:space="0" w:color="auto"/>
      </w:divBdr>
    </w:div>
    <w:div w:id="104541206">
      <w:bodyDiv w:val="1"/>
      <w:marLeft w:val="0"/>
      <w:marRight w:val="0"/>
      <w:marTop w:val="0"/>
      <w:marBottom w:val="0"/>
      <w:divBdr>
        <w:top w:val="none" w:sz="0" w:space="0" w:color="auto"/>
        <w:left w:val="none" w:sz="0" w:space="0" w:color="auto"/>
        <w:bottom w:val="none" w:sz="0" w:space="0" w:color="auto"/>
        <w:right w:val="none" w:sz="0" w:space="0" w:color="auto"/>
      </w:divBdr>
    </w:div>
    <w:div w:id="118957567">
      <w:bodyDiv w:val="1"/>
      <w:marLeft w:val="0"/>
      <w:marRight w:val="0"/>
      <w:marTop w:val="0"/>
      <w:marBottom w:val="0"/>
      <w:divBdr>
        <w:top w:val="none" w:sz="0" w:space="0" w:color="auto"/>
        <w:left w:val="none" w:sz="0" w:space="0" w:color="auto"/>
        <w:bottom w:val="none" w:sz="0" w:space="0" w:color="auto"/>
        <w:right w:val="none" w:sz="0" w:space="0" w:color="auto"/>
      </w:divBdr>
    </w:div>
    <w:div w:id="129058445">
      <w:bodyDiv w:val="1"/>
      <w:marLeft w:val="0"/>
      <w:marRight w:val="0"/>
      <w:marTop w:val="0"/>
      <w:marBottom w:val="0"/>
      <w:divBdr>
        <w:top w:val="none" w:sz="0" w:space="0" w:color="auto"/>
        <w:left w:val="none" w:sz="0" w:space="0" w:color="auto"/>
        <w:bottom w:val="none" w:sz="0" w:space="0" w:color="auto"/>
        <w:right w:val="none" w:sz="0" w:space="0" w:color="auto"/>
      </w:divBdr>
    </w:div>
    <w:div w:id="141894684">
      <w:bodyDiv w:val="1"/>
      <w:marLeft w:val="0"/>
      <w:marRight w:val="0"/>
      <w:marTop w:val="0"/>
      <w:marBottom w:val="0"/>
      <w:divBdr>
        <w:top w:val="none" w:sz="0" w:space="0" w:color="auto"/>
        <w:left w:val="none" w:sz="0" w:space="0" w:color="auto"/>
        <w:bottom w:val="none" w:sz="0" w:space="0" w:color="auto"/>
        <w:right w:val="none" w:sz="0" w:space="0" w:color="auto"/>
      </w:divBdr>
    </w:div>
    <w:div w:id="196354108">
      <w:bodyDiv w:val="1"/>
      <w:marLeft w:val="0"/>
      <w:marRight w:val="0"/>
      <w:marTop w:val="0"/>
      <w:marBottom w:val="0"/>
      <w:divBdr>
        <w:top w:val="none" w:sz="0" w:space="0" w:color="auto"/>
        <w:left w:val="none" w:sz="0" w:space="0" w:color="auto"/>
        <w:bottom w:val="none" w:sz="0" w:space="0" w:color="auto"/>
        <w:right w:val="none" w:sz="0" w:space="0" w:color="auto"/>
      </w:divBdr>
    </w:div>
    <w:div w:id="202715409">
      <w:bodyDiv w:val="1"/>
      <w:marLeft w:val="0"/>
      <w:marRight w:val="0"/>
      <w:marTop w:val="0"/>
      <w:marBottom w:val="0"/>
      <w:divBdr>
        <w:top w:val="none" w:sz="0" w:space="0" w:color="auto"/>
        <w:left w:val="none" w:sz="0" w:space="0" w:color="auto"/>
        <w:bottom w:val="none" w:sz="0" w:space="0" w:color="auto"/>
        <w:right w:val="none" w:sz="0" w:space="0" w:color="auto"/>
      </w:divBdr>
    </w:div>
    <w:div w:id="205023519">
      <w:bodyDiv w:val="1"/>
      <w:marLeft w:val="0"/>
      <w:marRight w:val="0"/>
      <w:marTop w:val="0"/>
      <w:marBottom w:val="0"/>
      <w:divBdr>
        <w:top w:val="none" w:sz="0" w:space="0" w:color="auto"/>
        <w:left w:val="none" w:sz="0" w:space="0" w:color="auto"/>
        <w:bottom w:val="none" w:sz="0" w:space="0" w:color="auto"/>
        <w:right w:val="none" w:sz="0" w:space="0" w:color="auto"/>
      </w:divBdr>
    </w:div>
    <w:div w:id="217937455">
      <w:bodyDiv w:val="1"/>
      <w:marLeft w:val="0"/>
      <w:marRight w:val="0"/>
      <w:marTop w:val="0"/>
      <w:marBottom w:val="0"/>
      <w:divBdr>
        <w:top w:val="none" w:sz="0" w:space="0" w:color="auto"/>
        <w:left w:val="none" w:sz="0" w:space="0" w:color="auto"/>
        <w:bottom w:val="none" w:sz="0" w:space="0" w:color="auto"/>
        <w:right w:val="none" w:sz="0" w:space="0" w:color="auto"/>
      </w:divBdr>
    </w:div>
    <w:div w:id="228929826">
      <w:bodyDiv w:val="1"/>
      <w:marLeft w:val="0"/>
      <w:marRight w:val="0"/>
      <w:marTop w:val="0"/>
      <w:marBottom w:val="0"/>
      <w:divBdr>
        <w:top w:val="none" w:sz="0" w:space="0" w:color="auto"/>
        <w:left w:val="none" w:sz="0" w:space="0" w:color="auto"/>
        <w:bottom w:val="none" w:sz="0" w:space="0" w:color="auto"/>
        <w:right w:val="none" w:sz="0" w:space="0" w:color="auto"/>
      </w:divBdr>
    </w:div>
    <w:div w:id="244150249">
      <w:bodyDiv w:val="1"/>
      <w:marLeft w:val="0"/>
      <w:marRight w:val="0"/>
      <w:marTop w:val="0"/>
      <w:marBottom w:val="0"/>
      <w:divBdr>
        <w:top w:val="none" w:sz="0" w:space="0" w:color="auto"/>
        <w:left w:val="none" w:sz="0" w:space="0" w:color="auto"/>
        <w:bottom w:val="none" w:sz="0" w:space="0" w:color="auto"/>
        <w:right w:val="none" w:sz="0" w:space="0" w:color="auto"/>
      </w:divBdr>
    </w:div>
    <w:div w:id="286739836">
      <w:bodyDiv w:val="1"/>
      <w:marLeft w:val="0"/>
      <w:marRight w:val="0"/>
      <w:marTop w:val="0"/>
      <w:marBottom w:val="0"/>
      <w:divBdr>
        <w:top w:val="none" w:sz="0" w:space="0" w:color="auto"/>
        <w:left w:val="none" w:sz="0" w:space="0" w:color="auto"/>
        <w:bottom w:val="none" w:sz="0" w:space="0" w:color="auto"/>
        <w:right w:val="none" w:sz="0" w:space="0" w:color="auto"/>
      </w:divBdr>
    </w:div>
    <w:div w:id="330329106">
      <w:bodyDiv w:val="1"/>
      <w:marLeft w:val="0"/>
      <w:marRight w:val="0"/>
      <w:marTop w:val="0"/>
      <w:marBottom w:val="0"/>
      <w:divBdr>
        <w:top w:val="none" w:sz="0" w:space="0" w:color="auto"/>
        <w:left w:val="none" w:sz="0" w:space="0" w:color="auto"/>
        <w:bottom w:val="none" w:sz="0" w:space="0" w:color="auto"/>
        <w:right w:val="none" w:sz="0" w:space="0" w:color="auto"/>
      </w:divBdr>
    </w:div>
    <w:div w:id="371882393">
      <w:bodyDiv w:val="1"/>
      <w:marLeft w:val="0"/>
      <w:marRight w:val="0"/>
      <w:marTop w:val="0"/>
      <w:marBottom w:val="0"/>
      <w:divBdr>
        <w:top w:val="none" w:sz="0" w:space="0" w:color="auto"/>
        <w:left w:val="none" w:sz="0" w:space="0" w:color="auto"/>
        <w:bottom w:val="none" w:sz="0" w:space="0" w:color="auto"/>
        <w:right w:val="none" w:sz="0" w:space="0" w:color="auto"/>
      </w:divBdr>
    </w:div>
    <w:div w:id="394401858">
      <w:bodyDiv w:val="1"/>
      <w:marLeft w:val="0"/>
      <w:marRight w:val="0"/>
      <w:marTop w:val="0"/>
      <w:marBottom w:val="0"/>
      <w:divBdr>
        <w:top w:val="none" w:sz="0" w:space="0" w:color="auto"/>
        <w:left w:val="none" w:sz="0" w:space="0" w:color="auto"/>
        <w:bottom w:val="none" w:sz="0" w:space="0" w:color="auto"/>
        <w:right w:val="none" w:sz="0" w:space="0" w:color="auto"/>
      </w:divBdr>
    </w:div>
    <w:div w:id="404499182">
      <w:bodyDiv w:val="1"/>
      <w:marLeft w:val="0"/>
      <w:marRight w:val="0"/>
      <w:marTop w:val="0"/>
      <w:marBottom w:val="0"/>
      <w:divBdr>
        <w:top w:val="none" w:sz="0" w:space="0" w:color="auto"/>
        <w:left w:val="none" w:sz="0" w:space="0" w:color="auto"/>
        <w:bottom w:val="none" w:sz="0" w:space="0" w:color="auto"/>
        <w:right w:val="none" w:sz="0" w:space="0" w:color="auto"/>
      </w:divBdr>
    </w:div>
    <w:div w:id="428543249">
      <w:bodyDiv w:val="1"/>
      <w:marLeft w:val="0"/>
      <w:marRight w:val="0"/>
      <w:marTop w:val="0"/>
      <w:marBottom w:val="0"/>
      <w:divBdr>
        <w:top w:val="none" w:sz="0" w:space="0" w:color="auto"/>
        <w:left w:val="none" w:sz="0" w:space="0" w:color="auto"/>
        <w:bottom w:val="none" w:sz="0" w:space="0" w:color="auto"/>
        <w:right w:val="none" w:sz="0" w:space="0" w:color="auto"/>
      </w:divBdr>
    </w:div>
    <w:div w:id="480200154">
      <w:bodyDiv w:val="1"/>
      <w:marLeft w:val="0"/>
      <w:marRight w:val="0"/>
      <w:marTop w:val="0"/>
      <w:marBottom w:val="0"/>
      <w:divBdr>
        <w:top w:val="none" w:sz="0" w:space="0" w:color="auto"/>
        <w:left w:val="none" w:sz="0" w:space="0" w:color="auto"/>
        <w:bottom w:val="none" w:sz="0" w:space="0" w:color="auto"/>
        <w:right w:val="none" w:sz="0" w:space="0" w:color="auto"/>
      </w:divBdr>
    </w:div>
    <w:div w:id="480272302">
      <w:bodyDiv w:val="1"/>
      <w:marLeft w:val="0"/>
      <w:marRight w:val="0"/>
      <w:marTop w:val="0"/>
      <w:marBottom w:val="0"/>
      <w:divBdr>
        <w:top w:val="none" w:sz="0" w:space="0" w:color="auto"/>
        <w:left w:val="none" w:sz="0" w:space="0" w:color="auto"/>
        <w:bottom w:val="none" w:sz="0" w:space="0" w:color="auto"/>
        <w:right w:val="none" w:sz="0" w:space="0" w:color="auto"/>
      </w:divBdr>
    </w:div>
    <w:div w:id="522286037">
      <w:bodyDiv w:val="1"/>
      <w:marLeft w:val="0"/>
      <w:marRight w:val="0"/>
      <w:marTop w:val="0"/>
      <w:marBottom w:val="0"/>
      <w:divBdr>
        <w:top w:val="none" w:sz="0" w:space="0" w:color="auto"/>
        <w:left w:val="none" w:sz="0" w:space="0" w:color="auto"/>
        <w:bottom w:val="none" w:sz="0" w:space="0" w:color="auto"/>
        <w:right w:val="none" w:sz="0" w:space="0" w:color="auto"/>
      </w:divBdr>
    </w:div>
    <w:div w:id="562520600">
      <w:bodyDiv w:val="1"/>
      <w:marLeft w:val="0"/>
      <w:marRight w:val="0"/>
      <w:marTop w:val="0"/>
      <w:marBottom w:val="0"/>
      <w:divBdr>
        <w:top w:val="none" w:sz="0" w:space="0" w:color="auto"/>
        <w:left w:val="none" w:sz="0" w:space="0" w:color="auto"/>
        <w:bottom w:val="none" w:sz="0" w:space="0" w:color="auto"/>
        <w:right w:val="none" w:sz="0" w:space="0" w:color="auto"/>
      </w:divBdr>
    </w:div>
    <w:div w:id="574825406">
      <w:bodyDiv w:val="1"/>
      <w:marLeft w:val="0"/>
      <w:marRight w:val="0"/>
      <w:marTop w:val="0"/>
      <w:marBottom w:val="0"/>
      <w:divBdr>
        <w:top w:val="none" w:sz="0" w:space="0" w:color="auto"/>
        <w:left w:val="none" w:sz="0" w:space="0" w:color="auto"/>
        <w:bottom w:val="none" w:sz="0" w:space="0" w:color="auto"/>
        <w:right w:val="none" w:sz="0" w:space="0" w:color="auto"/>
      </w:divBdr>
    </w:div>
    <w:div w:id="590742576">
      <w:bodyDiv w:val="1"/>
      <w:marLeft w:val="0"/>
      <w:marRight w:val="0"/>
      <w:marTop w:val="0"/>
      <w:marBottom w:val="0"/>
      <w:divBdr>
        <w:top w:val="none" w:sz="0" w:space="0" w:color="auto"/>
        <w:left w:val="none" w:sz="0" w:space="0" w:color="auto"/>
        <w:bottom w:val="none" w:sz="0" w:space="0" w:color="auto"/>
        <w:right w:val="none" w:sz="0" w:space="0" w:color="auto"/>
      </w:divBdr>
    </w:div>
    <w:div w:id="593637387">
      <w:bodyDiv w:val="1"/>
      <w:marLeft w:val="0"/>
      <w:marRight w:val="0"/>
      <w:marTop w:val="0"/>
      <w:marBottom w:val="0"/>
      <w:divBdr>
        <w:top w:val="none" w:sz="0" w:space="0" w:color="auto"/>
        <w:left w:val="none" w:sz="0" w:space="0" w:color="auto"/>
        <w:bottom w:val="none" w:sz="0" w:space="0" w:color="auto"/>
        <w:right w:val="none" w:sz="0" w:space="0" w:color="auto"/>
      </w:divBdr>
    </w:div>
    <w:div w:id="632443893">
      <w:bodyDiv w:val="1"/>
      <w:marLeft w:val="0"/>
      <w:marRight w:val="0"/>
      <w:marTop w:val="0"/>
      <w:marBottom w:val="0"/>
      <w:divBdr>
        <w:top w:val="none" w:sz="0" w:space="0" w:color="auto"/>
        <w:left w:val="none" w:sz="0" w:space="0" w:color="auto"/>
        <w:bottom w:val="none" w:sz="0" w:space="0" w:color="auto"/>
        <w:right w:val="none" w:sz="0" w:space="0" w:color="auto"/>
      </w:divBdr>
    </w:div>
    <w:div w:id="643050007">
      <w:bodyDiv w:val="1"/>
      <w:marLeft w:val="0"/>
      <w:marRight w:val="0"/>
      <w:marTop w:val="0"/>
      <w:marBottom w:val="0"/>
      <w:divBdr>
        <w:top w:val="none" w:sz="0" w:space="0" w:color="auto"/>
        <w:left w:val="none" w:sz="0" w:space="0" w:color="auto"/>
        <w:bottom w:val="none" w:sz="0" w:space="0" w:color="auto"/>
        <w:right w:val="none" w:sz="0" w:space="0" w:color="auto"/>
      </w:divBdr>
    </w:div>
    <w:div w:id="685525117">
      <w:bodyDiv w:val="1"/>
      <w:marLeft w:val="0"/>
      <w:marRight w:val="0"/>
      <w:marTop w:val="0"/>
      <w:marBottom w:val="0"/>
      <w:divBdr>
        <w:top w:val="none" w:sz="0" w:space="0" w:color="auto"/>
        <w:left w:val="none" w:sz="0" w:space="0" w:color="auto"/>
        <w:bottom w:val="none" w:sz="0" w:space="0" w:color="auto"/>
        <w:right w:val="none" w:sz="0" w:space="0" w:color="auto"/>
      </w:divBdr>
    </w:div>
    <w:div w:id="742263578">
      <w:bodyDiv w:val="1"/>
      <w:marLeft w:val="0"/>
      <w:marRight w:val="0"/>
      <w:marTop w:val="0"/>
      <w:marBottom w:val="0"/>
      <w:divBdr>
        <w:top w:val="none" w:sz="0" w:space="0" w:color="auto"/>
        <w:left w:val="none" w:sz="0" w:space="0" w:color="auto"/>
        <w:bottom w:val="none" w:sz="0" w:space="0" w:color="auto"/>
        <w:right w:val="none" w:sz="0" w:space="0" w:color="auto"/>
      </w:divBdr>
    </w:div>
    <w:div w:id="821897134">
      <w:bodyDiv w:val="1"/>
      <w:marLeft w:val="0"/>
      <w:marRight w:val="0"/>
      <w:marTop w:val="0"/>
      <w:marBottom w:val="0"/>
      <w:divBdr>
        <w:top w:val="none" w:sz="0" w:space="0" w:color="auto"/>
        <w:left w:val="none" w:sz="0" w:space="0" w:color="auto"/>
        <w:bottom w:val="none" w:sz="0" w:space="0" w:color="auto"/>
        <w:right w:val="none" w:sz="0" w:space="0" w:color="auto"/>
      </w:divBdr>
    </w:div>
    <w:div w:id="852453217">
      <w:bodyDiv w:val="1"/>
      <w:marLeft w:val="0"/>
      <w:marRight w:val="0"/>
      <w:marTop w:val="0"/>
      <w:marBottom w:val="0"/>
      <w:divBdr>
        <w:top w:val="none" w:sz="0" w:space="0" w:color="auto"/>
        <w:left w:val="none" w:sz="0" w:space="0" w:color="auto"/>
        <w:bottom w:val="none" w:sz="0" w:space="0" w:color="auto"/>
        <w:right w:val="none" w:sz="0" w:space="0" w:color="auto"/>
      </w:divBdr>
    </w:div>
    <w:div w:id="879244825">
      <w:bodyDiv w:val="1"/>
      <w:marLeft w:val="0"/>
      <w:marRight w:val="0"/>
      <w:marTop w:val="0"/>
      <w:marBottom w:val="0"/>
      <w:divBdr>
        <w:top w:val="none" w:sz="0" w:space="0" w:color="auto"/>
        <w:left w:val="none" w:sz="0" w:space="0" w:color="auto"/>
        <w:bottom w:val="none" w:sz="0" w:space="0" w:color="auto"/>
        <w:right w:val="none" w:sz="0" w:space="0" w:color="auto"/>
      </w:divBdr>
    </w:div>
    <w:div w:id="926496807">
      <w:bodyDiv w:val="1"/>
      <w:marLeft w:val="0"/>
      <w:marRight w:val="0"/>
      <w:marTop w:val="0"/>
      <w:marBottom w:val="0"/>
      <w:divBdr>
        <w:top w:val="none" w:sz="0" w:space="0" w:color="auto"/>
        <w:left w:val="none" w:sz="0" w:space="0" w:color="auto"/>
        <w:bottom w:val="none" w:sz="0" w:space="0" w:color="auto"/>
        <w:right w:val="none" w:sz="0" w:space="0" w:color="auto"/>
      </w:divBdr>
    </w:div>
    <w:div w:id="962729192">
      <w:bodyDiv w:val="1"/>
      <w:marLeft w:val="0"/>
      <w:marRight w:val="0"/>
      <w:marTop w:val="0"/>
      <w:marBottom w:val="0"/>
      <w:divBdr>
        <w:top w:val="none" w:sz="0" w:space="0" w:color="auto"/>
        <w:left w:val="none" w:sz="0" w:space="0" w:color="auto"/>
        <w:bottom w:val="none" w:sz="0" w:space="0" w:color="auto"/>
        <w:right w:val="none" w:sz="0" w:space="0" w:color="auto"/>
      </w:divBdr>
    </w:div>
    <w:div w:id="1005547147">
      <w:bodyDiv w:val="1"/>
      <w:marLeft w:val="0"/>
      <w:marRight w:val="0"/>
      <w:marTop w:val="0"/>
      <w:marBottom w:val="0"/>
      <w:divBdr>
        <w:top w:val="none" w:sz="0" w:space="0" w:color="auto"/>
        <w:left w:val="none" w:sz="0" w:space="0" w:color="auto"/>
        <w:bottom w:val="none" w:sz="0" w:space="0" w:color="auto"/>
        <w:right w:val="none" w:sz="0" w:space="0" w:color="auto"/>
      </w:divBdr>
    </w:div>
    <w:div w:id="1027872977">
      <w:bodyDiv w:val="1"/>
      <w:marLeft w:val="0"/>
      <w:marRight w:val="0"/>
      <w:marTop w:val="0"/>
      <w:marBottom w:val="0"/>
      <w:divBdr>
        <w:top w:val="none" w:sz="0" w:space="0" w:color="auto"/>
        <w:left w:val="none" w:sz="0" w:space="0" w:color="auto"/>
        <w:bottom w:val="none" w:sz="0" w:space="0" w:color="auto"/>
        <w:right w:val="none" w:sz="0" w:space="0" w:color="auto"/>
      </w:divBdr>
    </w:div>
    <w:div w:id="1032413516">
      <w:bodyDiv w:val="1"/>
      <w:marLeft w:val="0"/>
      <w:marRight w:val="0"/>
      <w:marTop w:val="0"/>
      <w:marBottom w:val="0"/>
      <w:divBdr>
        <w:top w:val="none" w:sz="0" w:space="0" w:color="auto"/>
        <w:left w:val="none" w:sz="0" w:space="0" w:color="auto"/>
        <w:bottom w:val="none" w:sz="0" w:space="0" w:color="auto"/>
        <w:right w:val="none" w:sz="0" w:space="0" w:color="auto"/>
      </w:divBdr>
    </w:div>
    <w:div w:id="1050573011">
      <w:bodyDiv w:val="1"/>
      <w:marLeft w:val="0"/>
      <w:marRight w:val="0"/>
      <w:marTop w:val="0"/>
      <w:marBottom w:val="0"/>
      <w:divBdr>
        <w:top w:val="none" w:sz="0" w:space="0" w:color="auto"/>
        <w:left w:val="none" w:sz="0" w:space="0" w:color="auto"/>
        <w:bottom w:val="none" w:sz="0" w:space="0" w:color="auto"/>
        <w:right w:val="none" w:sz="0" w:space="0" w:color="auto"/>
      </w:divBdr>
    </w:div>
    <w:div w:id="1091972595">
      <w:bodyDiv w:val="1"/>
      <w:marLeft w:val="0"/>
      <w:marRight w:val="0"/>
      <w:marTop w:val="0"/>
      <w:marBottom w:val="0"/>
      <w:divBdr>
        <w:top w:val="none" w:sz="0" w:space="0" w:color="auto"/>
        <w:left w:val="none" w:sz="0" w:space="0" w:color="auto"/>
        <w:bottom w:val="none" w:sz="0" w:space="0" w:color="auto"/>
        <w:right w:val="none" w:sz="0" w:space="0" w:color="auto"/>
      </w:divBdr>
      <w:divsChild>
        <w:div w:id="1291135693">
          <w:marLeft w:val="0"/>
          <w:marRight w:val="0"/>
          <w:marTop w:val="0"/>
          <w:marBottom w:val="0"/>
          <w:divBdr>
            <w:top w:val="none" w:sz="0" w:space="0" w:color="auto"/>
            <w:left w:val="none" w:sz="0" w:space="0" w:color="auto"/>
            <w:bottom w:val="none" w:sz="0" w:space="0" w:color="auto"/>
            <w:right w:val="none" w:sz="0" w:space="0" w:color="auto"/>
          </w:divBdr>
          <w:divsChild>
            <w:div w:id="1651716672">
              <w:marLeft w:val="0"/>
              <w:marRight w:val="0"/>
              <w:marTop w:val="240"/>
              <w:marBottom w:val="1200"/>
              <w:divBdr>
                <w:top w:val="none" w:sz="0" w:space="0" w:color="auto"/>
                <w:left w:val="none" w:sz="0" w:space="0" w:color="auto"/>
                <w:bottom w:val="none" w:sz="0" w:space="0" w:color="auto"/>
                <w:right w:val="none" w:sz="0" w:space="0" w:color="auto"/>
              </w:divBdr>
            </w:div>
          </w:divsChild>
        </w:div>
        <w:div w:id="16469666">
          <w:marLeft w:val="0"/>
          <w:marRight w:val="0"/>
          <w:marTop w:val="0"/>
          <w:marBottom w:val="0"/>
          <w:divBdr>
            <w:top w:val="none" w:sz="0" w:space="0" w:color="auto"/>
            <w:left w:val="none" w:sz="0" w:space="0" w:color="auto"/>
            <w:bottom w:val="none" w:sz="0" w:space="0" w:color="auto"/>
            <w:right w:val="none" w:sz="0" w:space="0" w:color="auto"/>
          </w:divBdr>
        </w:div>
      </w:divsChild>
    </w:div>
    <w:div w:id="1185093157">
      <w:bodyDiv w:val="1"/>
      <w:marLeft w:val="0"/>
      <w:marRight w:val="0"/>
      <w:marTop w:val="0"/>
      <w:marBottom w:val="0"/>
      <w:divBdr>
        <w:top w:val="none" w:sz="0" w:space="0" w:color="auto"/>
        <w:left w:val="none" w:sz="0" w:space="0" w:color="auto"/>
        <w:bottom w:val="none" w:sz="0" w:space="0" w:color="auto"/>
        <w:right w:val="none" w:sz="0" w:space="0" w:color="auto"/>
      </w:divBdr>
    </w:div>
    <w:div w:id="1185707204">
      <w:bodyDiv w:val="1"/>
      <w:marLeft w:val="0"/>
      <w:marRight w:val="0"/>
      <w:marTop w:val="0"/>
      <w:marBottom w:val="0"/>
      <w:divBdr>
        <w:top w:val="none" w:sz="0" w:space="0" w:color="auto"/>
        <w:left w:val="none" w:sz="0" w:space="0" w:color="auto"/>
        <w:bottom w:val="none" w:sz="0" w:space="0" w:color="auto"/>
        <w:right w:val="none" w:sz="0" w:space="0" w:color="auto"/>
      </w:divBdr>
    </w:div>
    <w:div w:id="1210998955">
      <w:bodyDiv w:val="1"/>
      <w:marLeft w:val="0"/>
      <w:marRight w:val="0"/>
      <w:marTop w:val="0"/>
      <w:marBottom w:val="0"/>
      <w:divBdr>
        <w:top w:val="none" w:sz="0" w:space="0" w:color="auto"/>
        <w:left w:val="none" w:sz="0" w:space="0" w:color="auto"/>
        <w:bottom w:val="none" w:sz="0" w:space="0" w:color="auto"/>
        <w:right w:val="none" w:sz="0" w:space="0" w:color="auto"/>
      </w:divBdr>
      <w:divsChild>
        <w:div w:id="803306356">
          <w:marLeft w:val="0"/>
          <w:marRight w:val="0"/>
          <w:marTop w:val="0"/>
          <w:marBottom w:val="0"/>
          <w:divBdr>
            <w:top w:val="none" w:sz="0" w:space="0" w:color="auto"/>
            <w:left w:val="none" w:sz="0" w:space="0" w:color="auto"/>
            <w:bottom w:val="none" w:sz="0" w:space="0" w:color="auto"/>
            <w:right w:val="none" w:sz="0" w:space="0" w:color="auto"/>
          </w:divBdr>
        </w:div>
      </w:divsChild>
    </w:div>
    <w:div w:id="1217427648">
      <w:bodyDiv w:val="1"/>
      <w:marLeft w:val="0"/>
      <w:marRight w:val="0"/>
      <w:marTop w:val="0"/>
      <w:marBottom w:val="0"/>
      <w:divBdr>
        <w:top w:val="none" w:sz="0" w:space="0" w:color="auto"/>
        <w:left w:val="none" w:sz="0" w:space="0" w:color="auto"/>
        <w:bottom w:val="none" w:sz="0" w:space="0" w:color="auto"/>
        <w:right w:val="none" w:sz="0" w:space="0" w:color="auto"/>
      </w:divBdr>
    </w:div>
    <w:div w:id="1304698045">
      <w:bodyDiv w:val="1"/>
      <w:marLeft w:val="0"/>
      <w:marRight w:val="0"/>
      <w:marTop w:val="0"/>
      <w:marBottom w:val="0"/>
      <w:divBdr>
        <w:top w:val="none" w:sz="0" w:space="0" w:color="auto"/>
        <w:left w:val="none" w:sz="0" w:space="0" w:color="auto"/>
        <w:bottom w:val="none" w:sz="0" w:space="0" w:color="auto"/>
        <w:right w:val="none" w:sz="0" w:space="0" w:color="auto"/>
      </w:divBdr>
    </w:div>
    <w:div w:id="1317958095">
      <w:bodyDiv w:val="1"/>
      <w:marLeft w:val="0"/>
      <w:marRight w:val="0"/>
      <w:marTop w:val="0"/>
      <w:marBottom w:val="0"/>
      <w:divBdr>
        <w:top w:val="none" w:sz="0" w:space="0" w:color="auto"/>
        <w:left w:val="none" w:sz="0" w:space="0" w:color="auto"/>
        <w:bottom w:val="none" w:sz="0" w:space="0" w:color="auto"/>
        <w:right w:val="none" w:sz="0" w:space="0" w:color="auto"/>
      </w:divBdr>
    </w:div>
    <w:div w:id="1345547870">
      <w:bodyDiv w:val="1"/>
      <w:marLeft w:val="0"/>
      <w:marRight w:val="0"/>
      <w:marTop w:val="0"/>
      <w:marBottom w:val="0"/>
      <w:divBdr>
        <w:top w:val="none" w:sz="0" w:space="0" w:color="auto"/>
        <w:left w:val="none" w:sz="0" w:space="0" w:color="auto"/>
        <w:bottom w:val="none" w:sz="0" w:space="0" w:color="auto"/>
        <w:right w:val="none" w:sz="0" w:space="0" w:color="auto"/>
      </w:divBdr>
    </w:div>
    <w:div w:id="1353459320">
      <w:bodyDiv w:val="1"/>
      <w:marLeft w:val="0"/>
      <w:marRight w:val="0"/>
      <w:marTop w:val="0"/>
      <w:marBottom w:val="0"/>
      <w:divBdr>
        <w:top w:val="none" w:sz="0" w:space="0" w:color="auto"/>
        <w:left w:val="none" w:sz="0" w:space="0" w:color="auto"/>
        <w:bottom w:val="none" w:sz="0" w:space="0" w:color="auto"/>
        <w:right w:val="none" w:sz="0" w:space="0" w:color="auto"/>
      </w:divBdr>
    </w:div>
    <w:div w:id="1420061926">
      <w:bodyDiv w:val="1"/>
      <w:marLeft w:val="0"/>
      <w:marRight w:val="0"/>
      <w:marTop w:val="0"/>
      <w:marBottom w:val="0"/>
      <w:divBdr>
        <w:top w:val="none" w:sz="0" w:space="0" w:color="auto"/>
        <w:left w:val="none" w:sz="0" w:space="0" w:color="auto"/>
        <w:bottom w:val="none" w:sz="0" w:space="0" w:color="auto"/>
        <w:right w:val="none" w:sz="0" w:space="0" w:color="auto"/>
      </w:divBdr>
    </w:div>
    <w:div w:id="1442453277">
      <w:bodyDiv w:val="1"/>
      <w:marLeft w:val="0"/>
      <w:marRight w:val="0"/>
      <w:marTop w:val="0"/>
      <w:marBottom w:val="0"/>
      <w:divBdr>
        <w:top w:val="none" w:sz="0" w:space="0" w:color="auto"/>
        <w:left w:val="none" w:sz="0" w:space="0" w:color="auto"/>
        <w:bottom w:val="none" w:sz="0" w:space="0" w:color="auto"/>
        <w:right w:val="none" w:sz="0" w:space="0" w:color="auto"/>
      </w:divBdr>
    </w:div>
    <w:div w:id="1453087199">
      <w:bodyDiv w:val="1"/>
      <w:marLeft w:val="0"/>
      <w:marRight w:val="0"/>
      <w:marTop w:val="0"/>
      <w:marBottom w:val="0"/>
      <w:divBdr>
        <w:top w:val="none" w:sz="0" w:space="0" w:color="auto"/>
        <w:left w:val="none" w:sz="0" w:space="0" w:color="auto"/>
        <w:bottom w:val="none" w:sz="0" w:space="0" w:color="auto"/>
        <w:right w:val="none" w:sz="0" w:space="0" w:color="auto"/>
      </w:divBdr>
    </w:div>
    <w:div w:id="1471898553">
      <w:bodyDiv w:val="1"/>
      <w:marLeft w:val="0"/>
      <w:marRight w:val="0"/>
      <w:marTop w:val="0"/>
      <w:marBottom w:val="0"/>
      <w:divBdr>
        <w:top w:val="none" w:sz="0" w:space="0" w:color="auto"/>
        <w:left w:val="none" w:sz="0" w:space="0" w:color="auto"/>
        <w:bottom w:val="none" w:sz="0" w:space="0" w:color="auto"/>
        <w:right w:val="none" w:sz="0" w:space="0" w:color="auto"/>
      </w:divBdr>
    </w:div>
    <w:div w:id="1513453187">
      <w:bodyDiv w:val="1"/>
      <w:marLeft w:val="0"/>
      <w:marRight w:val="0"/>
      <w:marTop w:val="0"/>
      <w:marBottom w:val="0"/>
      <w:divBdr>
        <w:top w:val="none" w:sz="0" w:space="0" w:color="auto"/>
        <w:left w:val="none" w:sz="0" w:space="0" w:color="auto"/>
        <w:bottom w:val="none" w:sz="0" w:space="0" w:color="auto"/>
        <w:right w:val="none" w:sz="0" w:space="0" w:color="auto"/>
      </w:divBdr>
    </w:div>
    <w:div w:id="1559054459">
      <w:bodyDiv w:val="1"/>
      <w:marLeft w:val="0"/>
      <w:marRight w:val="0"/>
      <w:marTop w:val="0"/>
      <w:marBottom w:val="0"/>
      <w:divBdr>
        <w:top w:val="none" w:sz="0" w:space="0" w:color="auto"/>
        <w:left w:val="none" w:sz="0" w:space="0" w:color="auto"/>
        <w:bottom w:val="none" w:sz="0" w:space="0" w:color="auto"/>
        <w:right w:val="none" w:sz="0" w:space="0" w:color="auto"/>
      </w:divBdr>
    </w:div>
    <w:div w:id="1564872677">
      <w:bodyDiv w:val="1"/>
      <w:marLeft w:val="0"/>
      <w:marRight w:val="0"/>
      <w:marTop w:val="0"/>
      <w:marBottom w:val="0"/>
      <w:divBdr>
        <w:top w:val="none" w:sz="0" w:space="0" w:color="auto"/>
        <w:left w:val="none" w:sz="0" w:space="0" w:color="auto"/>
        <w:bottom w:val="none" w:sz="0" w:space="0" w:color="auto"/>
        <w:right w:val="none" w:sz="0" w:space="0" w:color="auto"/>
      </w:divBdr>
    </w:div>
    <w:div w:id="1585644201">
      <w:bodyDiv w:val="1"/>
      <w:marLeft w:val="0"/>
      <w:marRight w:val="0"/>
      <w:marTop w:val="0"/>
      <w:marBottom w:val="0"/>
      <w:divBdr>
        <w:top w:val="none" w:sz="0" w:space="0" w:color="auto"/>
        <w:left w:val="none" w:sz="0" w:space="0" w:color="auto"/>
        <w:bottom w:val="none" w:sz="0" w:space="0" w:color="auto"/>
        <w:right w:val="none" w:sz="0" w:space="0" w:color="auto"/>
      </w:divBdr>
      <w:divsChild>
        <w:div w:id="44959019">
          <w:marLeft w:val="0"/>
          <w:marRight w:val="0"/>
          <w:marTop w:val="0"/>
          <w:marBottom w:val="0"/>
          <w:divBdr>
            <w:top w:val="none" w:sz="0" w:space="0" w:color="auto"/>
            <w:left w:val="none" w:sz="0" w:space="0" w:color="auto"/>
            <w:bottom w:val="none" w:sz="0" w:space="0" w:color="auto"/>
            <w:right w:val="none" w:sz="0" w:space="0" w:color="auto"/>
          </w:divBdr>
        </w:div>
      </w:divsChild>
    </w:div>
    <w:div w:id="1585869742">
      <w:bodyDiv w:val="1"/>
      <w:marLeft w:val="0"/>
      <w:marRight w:val="0"/>
      <w:marTop w:val="0"/>
      <w:marBottom w:val="0"/>
      <w:divBdr>
        <w:top w:val="none" w:sz="0" w:space="0" w:color="auto"/>
        <w:left w:val="none" w:sz="0" w:space="0" w:color="auto"/>
        <w:bottom w:val="none" w:sz="0" w:space="0" w:color="auto"/>
        <w:right w:val="none" w:sz="0" w:space="0" w:color="auto"/>
      </w:divBdr>
    </w:div>
    <w:div w:id="1676030218">
      <w:bodyDiv w:val="1"/>
      <w:marLeft w:val="0"/>
      <w:marRight w:val="0"/>
      <w:marTop w:val="0"/>
      <w:marBottom w:val="0"/>
      <w:divBdr>
        <w:top w:val="none" w:sz="0" w:space="0" w:color="auto"/>
        <w:left w:val="none" w:sz="0" w:space="0" w:color="auto"/>
        <w:bottom w:val="none" w:sz="0" w:space="0" w:color="auto"/>
        <w:right w:val="none" w:sz="0" w:space="0" w:color="auto"/>
      </w:divBdr>
    </w:div>
    <w:div w:id="1682969004">
      <w:bodyDiv w:val="1"/>
      <w:marLeft w:val="0"/>
      <w:marRight w:val="0"/>
      <w:marTop w:val="0"/>
      <w:marBottom w:val="0"/>
      <w:divBdr>
        <w:top w:val="none" w:sz="0" w:space="0" w:color="auto"/>
        <w:left w:val="none" w:sz="0" w:space="0" w:color="auto"/>
        <w:bottom w:val="none" w:sz="0" w:space="0" w:color="auto"/>
        <w:right w:val="none" w:sz="0" w:space="0" w:color="auto"/>
      </w:divBdr>
    </w:div>
    <w:div w:id="1684823143">
      <w:bodyDiv w:val="1"/>
      <w:marLeft w:val="0"/>
      <w:marRight w:val="0"/>
      <w:marTop w:val="0"/>
      <w:marBottom w:val="0"/>
      <w:divBdr>
        <w:top w:val="none" w:sz="0" w:space="0" w:color="auto"/>
        <w:left w:val="none" w:sz="0" w:space="0" w:color="auto"/>
        <w:bottom w:val="none" w:sz="0" w:space="0" w:color="auto"/>
        <w:right w:val="none" w:sz="0" w:space="0" w:color="auto"/>
      </w:divBdr>
    </w:div>
    <w:div w:id="1696689750">
      <w:bodyDiv w:val="1"/>
      <w:marLeft w:val="0"/>
      <w:marRight w:val="0"/>
      <w:marTop w:val="0"/>
      <w:marBottom w:val="0"/>
      <w:divBdr>
        <w:top w:val="none" w:sz="0" w:space="0" w:color="auto"/>
        <w:left w:val="none" w:sz="0" w:space="0" w:color="auto"/>
        <w:bottom w:val="none" w:sz="0" w:space="0" w:color="auto"/>
        <w:right w:val="none" w:sz="0" w:space="0" w:color="auto"/>
      </w:divBdr>
    </w:div>
    <w:div w:id="1741170753">
      <w:bodyDiv w:val="1"/>
      <w:marLeft w:val="0"/>
      <w:marRight w:val="0"/>
      <w:marTop w:val="0"/>
      <w:marBottom w:val="0"/>
      <w:divBdr>
        <w:top w:val="none" w:sz="0" w:space="0" w:color="auto"/>
        <w:left w:val="none" w:sz="0" w:space="0" w:color="auto"/>
        <w:bottom w:val="none" w:sz="0" w:space="0" w:color="auto"/>
        <w:right w:val="none" w:sz="0" w:space="0" w:color="auto"/>
      </w:divBdr>
    </w:div>
    <w:div w:id="1807237513">
      <w:bodyDiv w:val="1"/>
      <w:marLeft w:val="0"/>
      <w:marRight w:val="0"/>
      <w:marTop w:val="0"/>
      <w:marBottom w:val="0"/>
      <w:divBdr>
        <w:top w:val="none" w:sz="0" w:space="0" w:color="auto"/>
        <w:left w:val="none" w:sz="0" w:space="0" w:color="auto"/>
        <w:bottom w:val="none" w:sz="0" w:space="0" w:color="auto"/>
        <w:right w:val="none" w:sz="0" w:space="0" w:color="auto"/>
      </w:divBdr>
    </w:div>
    <w:div w:id="1826776728">
      <w:bodyDiv w:val="1"/>
      <w:marLeft w:val="0"/>
      <w:marRight w:val="0"/>
      <w:marTop w:val="0"/>
      <w:marBottom w:val="0"/>
      <w:divBdr>
        <w:top w:val="none" w:sz="0" w:space="0" w:color="auto"/>
        <w:left w:val="none" w:sz="0" w:space="0" w:color="auto"/>
        <w:bottom w:val="none" w:sz="0" w:space="0" w:color="auto"/>
        <w:right w:val="none" w:sz="0" w:space="0" w:color="auto"/>
      </w:divBdr>
    </w:div>
    <w:div w:id="1841506422">
      <w:bodyDiv w:val="1"/>
      <w:marLeft w:val="0"/>
      <w:marRight w:val="0"/>
      <w:marTop w:val="0"/>
      <w:marBottom w:val="0"/>
      <w:divBdr>
        <w:top w:val="none" w:sz="0" w:space="0" w:color="auto"/>
        <w:left w:val="none" w:sz="0" w:space="0" w:color="auto"/>
        <w:bottom w:val="none" w:sz="0" w:space="0" w:color="auto"/>
        <w:right w:val="none" w:sz="0" w:space="0" w:color="auto"/>
      </w:divBdr>
    </w:div>
    <w:div w:id="1894190267">
      <w:bodyDiv w:val="1"/>
      <w:marLeft w:val="0"/>
      <w:marRight w:val="0"/>
      <w:marTop w:val="0"/>
      <w:marBottom w:val="0"/>
      <w:divBdr>
        <w:top w:val="none" w:sz="0" w:space="0" w:color="auto"/>
        <w:left w:val="none" w:sz="0" w:space="0" w:color="auto"/>
        <w:bottom w:val="none" w:sz="0" w:space="0" w:color="auto"/>
        <w:right w:val="none" w:sz="0" w:space="0" w:color="auto"/>
      </w:divBdr>
    </w:div>
    <w:div w:id="1933196360">
      <w:bodyDiv w:val="1"/>
      <w:marLeft w:val="0"/>
      <w:marRight w:val="0"/>
      <w:marTop w:val="0"/>
      <w:marBottom w:val="0"/>
      <w:divBdr>
        <w:top w:val="none" w:sz="0" w:space="0" w:color="auto"/>
        <w:left w:val="none" w:sz="0" w:space="0" w:color="auto"/>
        <w:bottom w:val="none" w:sz="0" w:space="0" w:color="auto"/>
        <w:right w:val="none" w:sz="0" w:space="0" w:color="auto"/>
      </w:divBdr>
    </w:div>
    <w:div w:id="1944917966">
      <w:bodyDiv w:val="1"/>
      <w:marLeft w:val="0"/>
      <w:marRight w:val="0"/>
      <w:marTop w:val="0"/>
      <w:marBottom w:val="0"/>
      <w:divBdr>
        <w:top w:val="none" w:sz="0" w:space="0" w:color="auto"/>
        <w:left w:val="none" w:sz="0" w:space="0" w:color="auto"/>
        <w:bottom w:val="none" w:sz="0" w:space="0" w:color="auto"/>
        <w:right w:val="none" w:sz="0" w:space="0" w:color="auto"/>
      </w:divBdr>
    </w:div>
    <w:div w:id="1947811973">
      <w:bodyDiv w:val="1"/>
      <w:marLeft w:val="0"/>
      <w:marRight w:val="0"/>
      <w:marTop w:val="0"/>
      <w:marBottom w:val="0"/>
      <w:divBdr>
        <w:top w:val="none" w:sz="0" w:space="0" w:color="auto"/>
        <w:left w:val="none" w:sz="0" w:space="0" w:color="auto"/>
        <w:bottom w:val="none" w:sz="0" w:space="0" w:color="auto"/>
        <w:right w:val="none" w:sz="0" w:space="0" w:color="auto"/>
      </w:divBdr>
    </w:div>
    <w:div w:id="1966153515">
      <w:bodyDiv w:val="1"/>
      <w:marLeft w:val="0"/>
      <w:marRight w:val="0"/>
      <w:marTop w:val="0"/>
      <w:marBottom w:val="0"/>
      <w:divBdr>
        <w:top w:val="none" w:sz="0" w:space="0" w:color="auto"/>
        <w:left w:val="none" w:sz="0" w:space="0" w:color="auto"/>
        <w:bottom w:val="none" w:sz="0" w:space="0" w:color="auto"/>
        <w:right w:val="none" w:sz="0" w:space="0" w:color="auto"/>
      </w:divBdr>
    </w:div>
    <w:div w:id="1984701630">
      <w:bodyDiv w:val="1"/>
      <w:marLeft w:val="0"/>
      <w:marRight w:val="0"/>
      <w:marTop w:val="0"/>
      <w:marBottom w:val="0"/>
      <w:divBdr>
        <w:top w:val="none" w:sz="0" w:space="0" w:color="auto"/>
        <w:left w:val="none" w:sz="0" w:space="0" w:color="auto"/>
        <w:bottom w:val="none" w:sz="0" w:space="0" w:color="auto"/>
        <w:right w:val="none" w:sz="0" w:space="0" w:color="auto"/>
      </w:divBdr>
    </w:div>
    <w:div w:id="2009408293">
      <w:bodyDiv w:val="1"/>
      <w:marLeft w:val="0"/>
      <w:marRight w:val="0"/>
      <w:marTop w:val="0"/>
      <w:marBottom w:val="0"/>
      <w:divBdr>
        <w:top w:val="none" w:sz="0" w:space="0" w:color="auto"/>
        <w:left w:val="none" w:sz="0" w:space="0" w:color="auto"/>
        <w:bottom w:val="none" w:sz="0" w:space="0" w:color="auto"/>
        <w:right w:val="none" w:sz="0" w:space="0" w:color="auto"/>
      </w:divBdr>
    </w:div>
    <w:div w:id="2051831890">
      <w:bodyDiv w:val="1"/>
      <w:marLeft w:val="0"/>
      <w:marRight w:val="0"/>
      <w:marTop w:val="0"/>
      <w:marBottom w:val="0"/>
      <w:divBdr>
        <w:top w:val="none" w:sz="0" w:space="0" w:color="auto"/>
        <w:left w:val="none" w:sz="0" w:space="0" w:color="auto"/>
        <w:bottom w:val="none" w:sz="0" w:space="0" w:color="auto"/>
        <w:right w:val="none" w:sz="0" w:space="0" w:color="auto"/>
      </w:divBdr>
    </w:div>
    <w:div w:id="2058579023">
      <w:bodyDiv w:val="1"/>
      <w:marLeft w:val="0"/>
      <w:marRight w:val="0"/>
      <w:marTop w:val="0"/>
      <w:marBottom w:val="0"/>
      <w:divBdr>
        <w:top w:val="none" w:sz="0" w:space="0" w:color="auto"/>
        <w:left w:val="none" w:sz="0" w:space="0" w:color="auto"/>
        <w:bottom w:val="none" w:sz="0" w:space="0" w:color="auto"/>
        <w:right w:val="none" w:sz="0" w:space="0" w:color="auto"/>
      </w:divBdr>
    </w:div>
    <w:div w:id="2077773883">
      <w:bodyDiv w:val="1"/>
      <w:marLeft w:val="0"/>
      <w:marRight w:val="0"/>
      <w:marTop w:val="0"/>
      <w:marBottom w:val="0"/>
      <w:divBdr>
        <w:top w:val="none" w:sz="0" w:space="0" w:color="auto"/>
        <w:left w:val="none" w:sz="0" w:space="0" w:color="auto"/>
        <w:bottom w:val="none" w:sz="0" w:space="0" w:color="auto"/>
        <w:right w:val="none" w:sz="0" w:space="0" w:color="auto"/>
      </w:divBdr>
    </w:div>
    <w:div w:id="2108890815">
      <w:bodyDiv w:val="1"/>
      <w:marLeft w:val="0"/>
      <w:marRight w:val="0"/>
      <w:marTop w:val="0"/>
      <w:marBottom w:val="0"/>
      <w:divBdr>
        <w:top w:val="none" w:sz="0" w:space="0" w:color="auto"/>
        <w:left w:val="none" w:sz="0" w:space="0" w:color="auto"/>
        <w:bottom w:val="none" w:sz="0" w:space="0" w:color="auto"/>
        <w:right w:val="none" w:sz="0" w:space="0" w:color="auto"/>
      </w:divBdr>
    </w:div>
    <w:div w:id="21454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reuse.org/wp-content/uploads/04-2021-job-creation-briefing.pdf" TargetMode="External"/><Relationship Id="rId2" Type="http://schemas.openxmlformats.org/officeDocument/2006/relationships/hyperlink" Target="https://zakon.rada.gov.ua/laws/show/1221-2012-%D0%BF" TargetMode="External"/><Relationship Id="rId1" Type="http://schemas.openxmlformats.org/officeDocument/2006/relationships/hyperlink" Target="https://tax.gov.ua/nk/rozdil-viii--ekologichniy-pod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49EF43A4DC84381A5DF08D4873105" ma:contentTypeVersion="28" ma:contentTypeDescription="Ein neues Dokument erstellen." ma:contentTypeScope="" ma:versionID="bc4c73f0f6c686e5b30df852bdd4e86e">
  <xsd:schema xmlns:xsd="http://www.w3.org/2001/XMLSchema" xmlns:xs="http://www.w3.org/2001/XMLSchema" xmlns:p="http://schemas.microsoft.com/office/2006/metadata/properties" xmlns:ns3="31a0a27f-41da-4719-8090-9c9521fa38dd" xmlns:ns4="23500d77-1abb-4ad8-9977-003e5f05a657" xmlns:ns5="b180f871-27f8-4f45-9e54-7759f64340d4" targetNamespace="http://schemas.microsoft.com/office/2006/metadata/properties" ma:root="true" ma:fieldsID="96f7adabc86e400202043fd7bdecd46e" ns3:_="" ns4:_="" ns5:_="">
    <xsd:import namespace="31a0a27f-41da-4719-8090-9c9521fa38dd"/>
    <xsd:import namespace="23500d77-1abb-4ad8-9977-003e5f05a657"/>
    <xsd:import namespace="b180f871-27f8-4f45-9e54-7759f6434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0a27f-41da-4719-8090-9c9521fa3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00d77-1abb-4ad8-9977-003e5f05a657"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0f871-27f8-4f45-9e54-7759f6434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736C-FA40-4C97-B1B6-24C841AE9F78}">
  <ds:schemaRefs>
    <ds:schemaRef ds:uri="http://schemas.microsoft.com/sharepoint/v3/contenttype/forms"/>
  </ds:schemaRefs>
</ds:datastoreItem>
</file>

<file path=customXml/itemProps2.xml><?xml version="1.0" encoding="utf-8"?>
<ds:datastoreItem xmlns:ds="http://schemas.openxmlformats.org/officeDocument/2006/customXml" ds:itemID="{C11F444E-C60B-41A8-ACFF-B2E3FDFCA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BD7C8-8D86-48A3-81EE-64012C1F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0a27f-41da-4719-8090-9c9521fa38dd"/>
    <ds:schemaRef ds:uri="23500d77-1abb-4ad8-9977-003e5f05a657"/>
    <ds:schemaRef ds:uri="b180f871-27f8-4f45-9e54-7759f6434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C5CC9-6E3F-4298-ADC7-2F1D5CD1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229343</Words>
  <Characters>130727</Characters>
  <Application>Microsoft Office Word</Application>
  <DocSecurity>0</DocSecurity>
  <Lines>1089</Lines>
  <Paragraphs>718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359352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1</dc:creator>
  <cp:lastModifiedBy>ГРАНОВСЬКА Тетяна Миколаївна</cp:lastModifiedBy>
  <cp:revision>2</cp:revision>
  <cp:lastPrinted>2023-11-07T22:07:00Z</cp:lastPrinted>
  <dcterms:created xsi:type="dcterms:W3CDTF">2023-12-18T11:48:00Z</dcterms:created>
  <dcterms:modified xsi:type="dcterms:W3CDTF">2023-12-18T11:48:00Z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0x010100D9A49EF43A4DC84381A5DF08D4873105</vt:lpwstr>
  </property>
  <property fmtid="{D5CDD505-2E9C-101B-9397-08002B2CF9AE}" pid="3" name="GrammarlyDocumentId">
    <vt:lpwstr>6c4285a207b00429606023992a50a3a6636e7c98b5119ed045b5af9877342311</vt:lpwstr>
  </property>
</Properties>
</file>