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8F" w:rsidRPr="00AB50FA" w:rsidRDefault="009A098F" w:rsidP="009A098F">
      <w:pPr>
        <w:tabs>
          <w:tab w:val="left" w:pos="1116"/>
          <w:tab w:val="left" w:pos="1418"/>
          <w:tab w:val="right" w:pos="9355"/>
        </w:tabs>
        <w:spacing w:after="0" w:line="240" w:lineRule="auto"/>
        <w:rPr>
          <w:rFonts w:ascii="Times New Roman" w:eastAsia="Times New Roman" w:hAnsi="Times New Roman" w:cs="Times New Roman"/>
          <w:color w:val="000000"/>
          <w:sz w:val="26"/>
          <w:szCs w:val="26"/>
          <w:lang w:eastAsia="uk-UA"/>
        </w:rPr>
      </w:pPr>
    </w:p>
    <w:p w:rsidR="00146E52" w:rsidRDefault="00B71BFF" w:rsidP="009A098F">
      <w:pPr>
        <w:tabs>
          <w:tab w:val="left" w:pos="1116"/>
          <w:tab w:val="left" w:pos="1418"/>
          <w:tab w:val="right" w:pos="9355"/>
        </w:tabs>
        <w:spacing w:after="0" w:line="240" w:lineRule="auto"/>
        <w:jc w:val="center"/>
        <w:rPr>
          <w:rFonts w:ascii="Times New Roman" w:eastAsia="Times New Roman" w:hAnsi="Times New Roman" w:cs="Times New Roman"/>
          <w:b/>
          <w:color w:val="000000"/>
          <w:sz w:val="26"/>
          <w:szCs w:val="26"/>
          <w:lang w:eastAsia="uk-UA"/>
        </w:rPr>
      </w:pPr>
      <w:r>
        <w:rPr>
          <w:rFonts w:ascii="Times New Roman" w:eastAsia="Times New Roman" w:hAnsi="Times New Roman" w:cs="Times New Roman"/>
          <w:b/>
          <w:color w:val="000000"/>
          <w:sz w:val="26"/>
          <w:szCs w:val="26"/>
          <w:lang w:eastAsia="uk-UA"/>
        </w:rPr>
        <w:t>Звіт</w:t>
      </w:r>
      <w:r w:rsidR="009A098F">
        <w:rPr>
          <w:rFonts w:ascii="Times New Roman" w:eastAsia="Times New Roman" w:hAnsi="Times New Roman" w:cs="Times New Roman"/>
          <w:b/>
          <w:color w:val="000000"/>
          <w:sz w:val="26"/>
          <w:szCs w:val="26"/>
          <w:lang w:eastAsia="uk-UA"/>
        </w:rPr>
        <w:t xml:space="preserve"> </w:t>
      </w:r>
    </w:p>
    <w:p w:rsidR="009A098F" w:rsidRPr="00A53BDA" w:rsidRDefault="008B1AE8" w:rsidP="009A098F">
      <w:pPr>
        <w:tabs>
          <w:tab w:val="left" w:pos="1116"/>
          <w:tab w:val="left" w:pos="1418"/>
          <w:tab w:val="right" w:pos="9355"/>
        </w:tabs>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color w:val="000000"/>
          <w:sz w:val="26"/>
          <w:szCs w:val="26"/>
          <w:lang w:eastAsia="uk-UA"/>
        </w:rPr>
        <w:t xml:space="preserve">щодо </w:t>
      </w:r>
      <w:r w:rsidR="00EF6E49">
        <w:rPr>
          <w:rFonts w:ascii="Times New Roman" w:eastAsia="Times New Roman" w:hAnsi="Times New Roman" w:cs="Times New Roman"/>
          <w:b/>
          <w:color w:val="000000"/>
          <w:sz w:val="26"/>
          <w:szCs w:val="26"/>
          <w:lang w:eastAsia="uk-UA"/>
        </w:rPr>
        <w:t xml:space="preserve">стану </w:t>
      </w:r>
      <w:r>
        <w:rPr>
          <w:rFonts w:ascii="Times New Roman" w:eastAsia="Times New Roman" w:hAnsi="Times New Roman" w:cs="Times New Roman"/>
          <w:b/>
          <w:color w:val="000000"/>
          <w:sz w:val="26"/>
          <w:szCs w:val="26"/>
          <w:lang w:eastAsia="uk-UA"/>
        </w:rPr>
        <w:t xml:space="preserve">роботи із зверненнями </w:t>
      </w:r>
      <w:r w:rsidR="009A098F" w:rsidRPr="00A53BDA">
        <w:rPr>
          <w:rFonts w:ascii="Times New Roman" w:eastAsia="Times New Roman" w:hAnsi="Times New Roman" w:cs="Times New Roman"/>
          <w:b/>
          <w:color w:val="000000"/>
          <w:sz w:val="26"/>
          <w:szCs w:val="26"/>
          <w:lang w:eastAsia="uk-UA"/>
        </w:rPr>
        <w:t>громадян, що надійшли</w:t>
      </w:r>
      <w:r w:rsidR="00146E52">
        <w:rPr>
          <w:rFonts w:ascii="Times New Roman" w:eastAsia="Times New Roman" w:hAnsi="Times New Roman" w:cs="Times New Roman"/>
          <w:b/>
          <w:color w:val="000000"/>
          <w:sz w:val="26"/>
          <w:szCs w:val="26"/>
          <w:lang w:eastAsia="uk-UA"/>
        </w:rPr>
        <w:t xml:space="preserve"> до Міністерства захисту довкілля та природних ресурсів України</w:t>
      </w:r>
      <w:r w:rsidR="009A098F" w:rsidRPr="00A53BDA">
        <w:rPr>
          <w:rFonts w:ascii="Times New Roman" w:eastAsia="Times New Roman" w:hAnsi="Times New Roman" w:cs="Times New Roman"/>
          <w:b/>
          <w:color w:val="000000"/>
          <w:sz w:val="26"/>
          <w:szCs w:val="26"/>
          <w:lang w:eastAsia="uk-UA"/>
        </w:rPr>
        <w:t xml:space="preserve"> у 2023 році</w:t>
      </w:r>
    </w:p>
    <w:p w:rsidR="009A098F" w:rsidRPr="00A53BDA" w:rsidRDefault="009A098F" w:rsidP="009A098F">
      <w:pPr>
        <w:spacing w:after="120" w:line="240" w:lineRule="auto"/>
        <w:ind w:firstLine="567"/>
        <w:jc w:val="both"/>
        <w:rPr>
          <w:rFonts w:ascii="Times New Roman" w:eastAsia="Times New Roman" w:hAnsi="Times New Roman" w:cs="Times New Roman"/>
          <w:sz w:val="28"/>
          <w:szCs w:val="28"/>
          <w:lang w:eastAsia="ru-RU"/>
        </w:rPr>
      </w:pPr>
    </w:p>
    <w:p w:rsidR="009A098F" w:rsidRPr="00A53BDA" w:rsidRDefault="00146E52" w:rsidP="009A098F">
      <w:pPr>
        <w:spacing w:after="120" w:line="240" w:lineRule="auto"/>
        <w:ind w:firstLine="567"/>
        <w:jc w:val="both"/>
        <w:rPr>
          <w:rFonts w:ascii="Times New Roman" w:eastAsia="Times New Roman" w:hAnsi="Times New Roman" w:cs="Times New Roman"/>
          <w:spacing w:val="-6"/>
          <w:sz w:val="28"/>
          <w:szCs w:val="28"/>
          <w:lang w:eastAsia="ru-RU"/>
        </w:rPr>
      </w:pPr>
      <w:bookmarkStart w:id="0" w:name="n87"/>
      <w:bookmarkEnd w:id="0"/>
      <w:r>
        <w:rPr>
          <w:rFonts w:ascii="Times New Roman" w:eastAsia="Times New Roman" w:hAnsi="Times New Roman" w:cs="Times New Roman"/>
          <w:sz w:val="28"/>
          <w:szCs w:val="28"/>
          <w:lang w:eastAsia="ru-RU"/>
        </w:rPr>
        <w:t xml:space="preserve"> </w:t>
      </w:r>
      <w:r w:rsidR="009A098F" w:rsidRPr="008B1AE8">
        <w:rPr>
          <w:rFonts w:ascii="Times New Roman" w:eastAsia="Times New Roman" w:hAnsi="Times New Roman" w:cs="Times New Roman"/>
          <w:sz w:val="28"/>
          <w:szCs w:val="28"/>
          <w:lang w:eastAsia="ru-RU"/>
        </w:rPr>
        <w:t>У 2023 році надійшло 1952 пропозицій, заяв і скарг громадян (проти 1490 за аналогічний період 2022 року), з них заяви – 1461 (проти 906 за аналогічний період 2022 року), скарги – 379 (проти 59 за аналогічний період 2022 року), пропозиції – 112 (проти 525 за аналогічний період 2022 року). Розподіл за видами звернень громадян до м</w:t>
      </w:r>
      <w:r w:rsidR="009A098F" w:rsidRPr="008B1AE8">
        <w:rPr>
          <w:rFonts w:ascii="Times New Roman" w:eastAsia="Times New Roman" w:hAnsi="Times New Roman" w:cs="Times New Roman"/>
          <w:spacing w:val="-6"/>
          <w:sz w:val="28"/>
          <w:szCs w:val="28"/>
          <w:lang w:eastAsia="ru-RU"/>
        </w:rPr>
        <w:t xml:space="preserve">іністерства, що надійшли у 2023 році, наведений у </w:t>
      </w:r>
      <w:r w:rsidR="009A098F" w:rsidRPr="00A53BDA">
        <w:rPr>
          <w:rFonts w:ascii="Times New Roman" w:eastAsia="Times New Roman" w:hAnsi="Times New Roman" w:cs="Times New Roman"/>
          <w:spacing w:val="-6"/>
          <w:sz w:val="28"/>
          <w:szCs w:val="28"/>
          <w:lang w:eastAsia="ru-RU"/>
        </w:rPr>
        <w:t>діаграмі 1.</w:t>
      </w:r>
    </w:p>
    <w:p w:rsidR="009A098F" w:rsidRPr="00A53BDA" w:rsidRDefault="009A098F" w:rsidP="009A098F">
      <w:pPr>
        <w:spacing w:after="120" w:line="240" w:lineRule="auto"/>
        <w:ind w:firstLine="737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BDA">
        <w:rPr>
          <w:rFonts w:ascii="Times New Roman" w:eastAsia="Times New Roman" w:hAnsi="Times New Roman" w:cs="Times New Roman"/>
          <w:sz w:val="28"/>
          <w:szCs w:val="28"/>
          <w:lang w:eastAsia="ru-RU"/>
        </w:rPr>
        <w:t xml:space="preserve">           Діаграма 1</w:t>
      </w:r>
    </w:p>
    <w:p w:rsidR="009A098F" w:rsidRPr="00A53BDA" w:rsidRDefault="009A098F" w:rsidP="009A098F">
      <w:pPr>
        <w:spacing w:after="120" w:line="240" w:lineRule="auto"/>
        <w:jc w:val="both"/>
        <w:rPr>
          <w:rFonts w:ascii="Times New Roman" w:eastAsia="Times New Roman" w:hAnsi="Times New Roman" w:cs="Times New Roman"/>
          <w:color w:val="000000"/>
          <w:sz w:val="28"/>
          <w:szCs w:val="28"/>
          <w:lang w:eastAsia="uk-UA"/>
        </w:rPr>
      </w:pPr>
      <w:r w:rsidRPr="00A53BDA">
        <w:rPr>
          <w:rFonts w:ascii="Times New Roman" w:eastAsia="Times New Roman" w:hAnsi="Times New Roman" w:cs="Times New Roman"/>
          <w:noProof/>
          <w:sz w:val="28"/>
          <w:szCs w:val="28"/>
          <w:lang w:eastAsia="uk-UA"/>
        </w:rPr>
        <w:drawing>
          <wp:inline distT="0" distB="0" distL="0" distR="0" wp14:anchorId="6B3F4AF5" wp14:editId="762B7B62">
            <wp:extent cx="6096000" cy="2369820"/>
            <wp:effectExtent l="0" t="0" r="19050" b="1143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A098F" w:rsidRPr="00A53BDA" w:rsidRDefault="009A098F" w:rsidP="009A098F">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53BDA">
        <w:rPr>
          <w:rFonts w:ascii="Times New Roman" w:eastAsia="Times New Roman" w:hAnsi="Times New Roman" w:cs="Times New Roman"/>
          <w:color w:val="000000"/>
          <w:sz w:val="28"/>
          <w:szCs w:val="28"/>
          <w:lang w:eastAsia="uk-UA"/>
        </w:rPr>
        <w:t>Серед загальної кількості звернень переважають індивідуальні – 1784           (91,39%). Колективних звернень надійшло – 168</w:t>
      </w:r>
      <w:r w:rsidRPr="00A53BDA">
        <w:rPr>
          <w:rFonts w:ascii="Times New Roman" w:eastAsia="Times New Roman" w:hAnsi="Times New Roman" w:cs="Times New Roman"/>
          <w:b/>
          <w:color w:val="000000"/>
          <w:sz w:val="28"/>
          <w:szCs w:val="28"/>
          <w:lang w:eastAsia="uk-UA"/>
        </w:rPr>
        <w:t xml:space="preserve"> </w:t>
      </w:r>
      <w:r w:rsidRPr="00A53BDA">
        <w:rPr>
          <w:rFonts w:ascii="Times New Roman" w:eastAsia="Times New Roman" w:hAnsi="Times New Roman" w:cs="Times New Roman"/>
          <w:color w:val="000000"/>
          <w:sz w:val="28"/>
          <w:szCs w:val="28"/>
          <w:lang w:eastAsia="uk-UA"/>
        </w:rPr>
        <w:t xml:space="preserve">(8,61%). </w:t>
      </w:r>
    </w:p>
    <w:p w:rsidR="009A098F" w:rsidRPr="00A53BDA" w:rsidRDefault="009A098F" w:rsidP="009A098F">
      <w:pPr>
        <w:spacing w:after="0" w:line="240" w:lineRule="auto"/>
        <w:ind w:firstLine="567"/>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pacing w:val="-6"/>
          <w:sz w:val="28"/>
          <w:szCs w:val="28"/>
          <w:lang w:eastAsia="uk-UA"/>
        </w:rPr>
        <w:t>За ознакою надходження: первинне – 1180 (60,45%), дублетне – 179 (9,17%),</w:t>
      </w:r>
      <w:r w:rsidRPr="00A53BDA">
        <w:rPr>
          <w:rFonts w:ascii="Times New Roman" w:eastAsia="Times New Roman" w:hAnsi="Times New Roman" w:cs="Times New Roman"/>
          <w:sz w:val="28"/>
          <w:szCs w:val="28"/>
          <w:lang w:eastAsia="uk-UA"/>
        </w:rPr>
        <w:t xml:space="preserve">  масове – 315 (16,14%). Упродовж звітного періоду до міністерства надійшло 278 (14,24%) повторних звернень. </w:t>
      </w:r>
    </w:p>
    <w:p w:rsidR="009A098F" w:rsidRPr="00A53BDA" w:rsidRDefault="009A098F" w:rsidP="009A098F">
      <w:pPr>
        <w:spacing w:after="0" w:line="240" w:lineRule="auto"/>
        <w:ind w:firstLine="567"/>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t>Найчастіше причиною повторних звернень є бажання заявника отримати уточнену інформацію або не задоволення скарги в повній мірі. З метою запобігання надходжень повторних звернень фахівцями міністерства вживаються вичерпні заходи і надаються заявникам детальні, ґрунтовні відповіді та роз’яснення.</w:t>
      </w:r>
    </w:p>
    <w:p w:rsidR="009A098F" w:rsidRPr="00A53BDA" w:rsidRDefault="009A098F" w:rsidP="009A098F">
      <w:pPr>
        <w:spacing w:after="0" w:line="240" w:lineRule="auto"/>
        <w:ind w:firstLine="567"/>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t xml:space="preserve">Результати аналізу звернень громадян до міністерства за формою </w:t>
      </w:r>
      <w:r w:rsidRPr="00A53BDA">
        <w:rPr>
          <w:rFonts w:ascii="Times New Roman" w:eastAsia="Times New Roman" w:hAnsi="Times New Roman" w:cs="Times New Roman"/>
          <w:sz w:val="28"/>
          <w:szCs w:val="28"/>
          <w:lang w:eastAsia="uk-UA"/>
        </w:rPr>
        <w:br/>
        <w:t>їх надходження у 2023 році наведені у таблиці 1.</w:t>
      </w:r>
    </w:p>
    <w:p w:rsidR="009A098F" w:rsidRPr="00A53BDA" w:rsidRDefault="009A098F" w:rsidP="009A098F">
      <w:pPr>
        <w:spacing w:after="0" w:line="240" w:lineRule="auto"/>
        <w:ind w:firstLine="7371"/>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t xml:space="preserve">             Таблиця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7191"/>
        <w:gridCol w:w="1812"/>
      </w:tblGrid>
      <w:tr w:rsidR="009A098F" w:rsidRPr="00A53BDA" w:rsidTr="000A1EB2">
        <w:trPr>
          <w:trHeight w:val="329"/>
        </w:trPr>
        <w:tc>
          <w:tcPr>
            <w:tcW w:w="636"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both"/>
              <w:rPr>
                <w:rFonts w:ascii="Times New Roman" w:eastAsia="Times New Roman" w:hAnsi="Times New Roman" w:cs="Times New Roman"/>
                <w:b/>
                <w:bCs/>
                <w:sz w:val="28"/>
                <w:szCs w:val="28"/>
              </w:rPr>
            </w:pPr>
            <w:r w:rsidRPr="00A53BDA">
              <w:rPr>
                <w:rFonts w:ascii="Times New Roman" w:eastAsia="Times New Roman" w:hAnsi="Times New Roman" w:cs="Times New Roman"/>
                <w:b/>
                <w:bCs/>
                <w:sz w:val="28"/>
                <w:szCs w:val="28"/>
              </w:rPr>
              <w:t xml:space="preserve">№ з/п </w:t>
            </w:r>
          </w:p>
        </w:tc>
        <w:tc>
          <w:tcPr>
            <w:tcW w:w="7191"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ind w:left="262"/>
              <w:jc w:val="both"/>
              <w:rPr>
                <w:rFonts w:ascii="Times New Roman" w:eastAsia="Times New Roman" w:hAnsi="Times New Roman" w:cs="Times New Roman"/>
                <w:b/>
                <w:bCs/>
                <w:sz w:val="28"/>
                <w:szCs w:val="28"/>
              </w:rPr>
            </w:pPr>
            <w:r w:rsidRPr="00A53BDA">
              <w:rPr>
                <w:rFonts w:ascii="Times New Roman" w:eastAsia="Times New Roman" w:hAnsi="Times New Roman" w:cs="Times New Roman"/>
                <w:b/>
                <w:bCs/>
                <w:sz w:val="28"/>
                <w:szCs w:val="28"/>
              </w:rPr>
              <w:t>Форма надходження звернень громадян</w:t>
            </w:r>
          </w:p>
        </w:tc>
        <w:tc>
          <w:tcPr>
            <w:tcW w:w="1812"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center"/>
              <w:rPr>
                <w:rFonts w:ascii="Times New Roman" w:eastAsia="Times New Roman" w:hAnsi="Times New Roman" w:cs="Times New Roman"/>
                <w:b/>
                <w:bCs/>
                <w:sz w:val="28"/>
                <w:szCs w:val="28"/>
              </w:rPr>
            </w:pPr>
            <w:r w:rsidRPr="00A53BDA">
              <w:rPr>
                <w:rFonts w:ascii="Times New Roman" w:eastAsia="Times New Roman" w:hAnsi="Times New Roman" w:cs="Times New Roman"/>
                <w:b/>
                <w:bCs/>
                <w:sz w:val="28"/>
                <w:szCs w:val="28"/>
              </w:rPr>
              <w:t>2023</w:t>
            </w:r>
            <w:r w:rsidRPr="00A53BDA">
              <w:rPr>
                <w:rFonts w:ascii="Times New Roman" w:eastAsia="Times New Roman" w:hAnsi="Times New Roman" w:cs="Times New Roman"/>
                <w:b/>
                <w:bCs/>
                <w:sz w:val="28"/>
                <w:szCs w:val="28"/>
                <w:lang w:val="en-US"/>
              </w:rPr>
              <w:t xml:space="preserve"> </w:t>
            </w:r>
            <w:r w:rsidRPr="00A53BDA">
              <w:rPr>
                <w:rFonts w:ascii="Times New Roman" w:eastAsia="Times New Roman" w:hAnsi="Times New Roman" w:cs="Times New Roman"/>
                <w:b/>
                <w:bCs/>
                <w:sz w:val="28"/>
                <w:szCs w:val="28"/>
              </w:rPr>
              <w:t>рік</w:t>
            </w:r>
          </w:p>
        </w:tc>
      </w:tr>
      <w:tr w:rsidR="009A098F" w:rsidRPr="00A53BDA" w:rsidTr="000A1EB2">
        <w:tc>
          <w:tcPr>
            <w:tcW w:w="636"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1.</w:t>
            </w:r>
          </w:p>
        </w:tc>
        <w:tc>
          <w:tcPr>
            <w:tcW w:w="7191"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ind w:left="262"/>
              <w:jc w:val="both"/>
              <w:rPr>
                <w:rFonts w:ascii="Times New Roman" w:eastAsia="Times New Roman" w:hAnsi="Times New Roman" w:cs="Times New Roman"/>
                <w:b/>
                <w:bCs/>
                <w:sz w:val="28"/>
                <w:szCs w:val="28"/>
              </w:rPr>
            </w:pPr>
            <w:r w:rsidRPr="00A53BDA">
              <w:rPr>
                <w:rFonts w:ascii="Times New Roman" w:eastAsia="Times New Roman" w:hAnsi="Times New Roman" w:cs="Times New Roman"/>
                <w:b/>
                <w:bCs/>
                <w:sz w:val="28"/>
                <w:szCs w:val="28"/>
              </w:rPr>
              <w:t>Через органи влади</w:t>
            </w:r>
          </w:p>
        </w:tc>
        <w:tc>
          <w:tcPr>
            <w:tcW w:w="1812"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rPr>
                <w:rFonts w:ascii="Times New Roman" w:eastAsia="Times New Roman" w:hAnsi="Times New Roman" w:cs="Times New Roman"/>
                <w:bCs/>
                <w:sz w:val="28"/>
                <w:szCs w:val="28"/>
              </w:rPr>
            </w:pPr>
            <w:r w:rsidRPr="00A53BDA">
              <w:rPr>
                <w:rFonts w:ascii="Times New Roman" w:eastAsia="Times New Roman" w:hAnsi="Times New Roman" w:cs="Times New Roman"/>
                <w:bCs/>
                <w:sz w:val="28"/>
                <w:szCs w:val="28"/>
              </w:rPr>
              <w:t xml:space="preserve">         433 </w:t>
            </w:r>
          </w:p>
        </w:tc>
      </w:tr>
      <w:tr w:rsidR="009A098F" w:rsidRPr="00A53BDA" w:rsidTr="000A1EB2">
        <w:tc>
          <w:tcPr>
            <w:tcW w:w="636"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2.</w:t>
            </w:r>
          </w:p>
        </w:tc>
        <w:tc>
          <w:tcPr>
            <w:tcW w:w="7191"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ind w:left="262"/>
              <w:jc w:val="both"/>
              <w:rPr>
                <w:rFonts w:ascii="Times New Roman" w:eastAsia="Times New Roman" w:hAnsi="Times New Roman" w:cs="Times New Roman"/>
                <w:sz w:val="28"/>
                <w:szCs w:val="28"/>
              </w:rPr>
            </w:pPr>
            <w:r w:rsidRPr="00A53BDA">
              <w:rPr>
                <w:rFonts w:ascii="Times New Roman" w:eastAsia="Times New Roman" w:hAnsi="Times New Roman" w:cs="Times New Roman"/>
                <w:b/>
                <w:bCs/>
                <w:sz w:val="28"/>
                <w:szCs w:val="28"/>
              </w:rPr>
              <w:t xml:space="preserve">Через інші підприємства, установи, організації </w:t>
            </w:r>
          </w:p>
        </w:tc>
        <w:tc>
          <w:tcPr>
            <w:tcW w:w="1812"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center"/>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317</w:t>
            </w:r>
          </w:p>
        </w:tc>
      </w:tr>
      <w:tr w:rsidR="009A098F" w:rsidRPr="00A53BDA" w:rsidTr="000A1EB2">
        <w:tc>
          <w:tcPr>
            <w:tcW w:w="636"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3.</w:t>
            </w:r>
          </w:p>
        </w:tc>
        <w:tc>
          <w:tcPr>
            <w:tcW w:w="7191"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ind w:left="262"/>
              <w:jc w:val="both"/>
              <w:rPr>
                <w:rFonts w:ascii="Times New Roman" w:eastAsia="Times New Roman" w:hAnsi="Times New Roman" w:cs="Times New Roman"/>
                <w:sz w:val="28"/>
                <w:szCs w:val="28"/>
              </w:rPr>
            </w:pPr>
            <w:r w:rsidRPr="00A53BDA">
              <w:rPr>
                <w:rFonts w:ascii="Times New Roman" w:eastAsia="Times New Roman" w:hAnsi="Times New Roman" w:cs="Times New Roman"/>
                <w:b/>
                <w:bCs/>
                <w:sz w:val="28"/>
                <w:szCs w:val="28"/>
              </w:rPr>
              <w:t>Через засоби масової інформації</w:t>
            </w:r>
          </w:p>
        </w:tc>
        <w:tc>
          <w:tcPr>
            <w:tcW w:w="1812"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center"/>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w:t>
            </w:r>
          </w:p>
        </w:tc>
      </w:tr>
      <w:tr w:rsidR="009A098F" w:rsidRPr="00A53BDA" w:rsidTr="000A1EB2">
        <w:tc>
          <w:tcPr>
            <w:tcW w:w="636"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4.</w:t>
            </w:r>
          </w:p>
        </w:tc>
        <w:tc>
          <w:tcPr>
            <w:tcW w:w="7191"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ind w:left="262"/>
              <w:jc w:val="both"/>
              <w:rPr>
                <w:rFonts w:ascii="Times New Roman" w:eastAsia="Times New Roman" w:hAnsi="Times New Roman" w:cs="Times New Roman"/>
                <w:sz w:val="28"/>
                <w:szCs w:val="28"/>
              </w:rPr>
            </w:pPr>
            <w:r w:rsidRPr="00A53BDA">
              <w:rPr>
                <w:rFonts w:ascii="Times New Roman" w:eastAsia="Times New Roman" w:hAnsi="Times New Roman" w:cs="Times New Roman"/>
                <w:b/>
                <w:bCs/>
                <w:sz w:val="28"/>
                <w:szCs w:val="28"/>
              </w:rPr>
              <w:t>Безпосередньо від громадян, з них:</w:t>
            </w:r>
          </w:p>
        </w:tc>
        <w:tc>
          <w:tcPr>
            <w:tcW w:w="1812" w:type="dxa"/>
            <w:tcBorders>
              <w:top w:val="single" w:sz="4" w:space="0" w:color="auto"/>
              <w:left w:val="single" w:sz="4" w:space="0" w:color="auto"/>
              <w:bottom w:val="single" w:sz="4" w:space="0" w:color="auto"/>
              <w:right w:val="single" w:sz="4" w:space="0" w:color="auto"/>
            </w:tcBorders>
          </w:tcPr>
          <w:p w:rsidR="009A098F" w:rsidRPr="00A53BDA" w:rsidRDefault="009A098F" w:rsidP="000A1EB2">
            <w:pPr>
              <w:spacing w:after="0" w:line="240" w:lineRule="auto"/>
              <w:jc w:val="center"/>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1201</w:t>
            </w:r>
          </w:p>
        </w:tc>
      </w:tr>
      <w:tr w:rsidR="009A098F" w:rsidRPr="00A53BDA" w:rsidTr="000A1EB2">
        <w:tc>
          <w:tcPr>
            <w:tcW w:w="636"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4.1.</w:t>
            </w:r>
          </w:p>
        </w:tc>
        <w:tc>
          <w:tcPr>
            <w:tcW w:w="7191"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ind w:left="262" w:firstLine="22"/>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Поштою, у т. ч. електронною, через рубрику «Електронне звернення»</w:t>
            </w:r>
          </w:p>
        </w:tc>
        <w:tc>
          <w:tcPr>
            <w:tcW w:w="1812"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center"/>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1062</w:t>
            </w:r>
          </w:p>
        </w:tc>
      </w:tr>
      <w:tr w:rsidR="009A098F" w:rsidRPr="00A53BDA" w:rsidTr="000A1EB2">
        <w:tc>
          <w:tcPr>
            <w:tcW w:w="636"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lastRenderedPageBreak/>
              <w:t>4.2.</w:t>
            </w:r>
          </w:p>
        </w:tc>
        <w:tc>
          <w:tcPr>
            <w:tcW w:w="7191"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ind w:left="262" w:firstLine="22"/>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 xml:space="preserve">Під час проведення особистого прийому громадян </w:t>
            </w:r>
          </w:p>
        </w:tc>
        <w:tc>
          <w:tcPr>
            <w:tcW w:w="1812"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center"/>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8</w:t>
            </w:r>
          </w:p>
        </w:tc>
      </w:tr>
      <w:tr w:rsidR="009A098F" w:rsidRPr="00A53BDA" w:rsidTr="000A1EB2">
        <w:tc>
          <w:tcPr>
            <w:tcW w:w="636" w:type="dxa"/>
            <w:tcBorders>
              <w:top w:val="single" w:sz="4" w:space="0" w:color="auto"/>
              <w:left w:val="single" w:sz="4" w:space="0" w:color="auto"/>
              <w:bottom w:val="single" w:sz="4" w:space="0" w:color="auto"/>
              <w:right w:val="single" w:sz="4" w:space="0" w:color="auto"/>
            </w:tcBorders>
          </w:tcPr>
          <w:p w:rsidR="009A098F" w:rsidRPr="00A53BDA" w:rsidRDefault="009A098F" w:rsidP="000A1EB2">
            <w:pPr>
              <w:spacing w:after="0" w:line="240" w:lineRule="auto"/>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4.3</w:t>
            </w:r>
          </w:p>
        </w:tc>
        <w:tc>
          <w:tcPr>
            <w:tcW w:w="7191" w:type="dxa"/>
            <w:tcBorders>
              <w:top w:val="single" w:sz="4" w:space="0" w:color="auto"/>
              <w:left w:val="single" w:sz="4" w:space="0" w:color="auto"/>
              <w:bottom w:val="single" w:sz="4" w:space="0" w:color="auto"/>
              <w:right w:val="single" w:sz="4" w:space="0" w:color="auto"/>
            </w:tcBorders>
          </w:tcPr>
          <w:p w:rsidR="009A098F" w:rsidRPr="00A53BDA" w:rsidRDefault="009A098F" w:rsidP="000A1EB2">
            <w:pPr>
              <w:spacing w:after="0" w:line="240" w:lineRule="auto"/>
              <w:ind w:left="262"/>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 xml:space="preserve">Через </w:t>
            </w:r>
            <w:r w:rsidRPr="00A53BDA">
              <w:rPr>
                <w:rFonts w:ascii="Times New Roman" w:eastAsia="Times New Roman" w:hAnsi="Times New Roman" w:cs="Times New Roman"/>
                <w:sz w:val="28"/>
                <w:szCs w:val="28"/>
                <w:lang w:eastAsia="uk-UA"/>
              </w:rPr>
              <w:t>«гарячу лінію» «</w:t>
            </w:r>
            <w:proofErr w:type="spellStart"/>
            <w:r w:rsidRPr="00A53BDA">
              <w:rPr>
                <w:rFonts w:ascii="Times New Roman" w:eastAsia="Times New Roman" w:hAnsi="Times New Roman" w:cs="Times New Roman"/>
                <w:sz w:val="28"/>
                <w:szCs w:val="28"/>
                <w:lang w:eastAsia="uk-UA"/>
              </w:rPr>
              <w:t>Міндовкілля</w:t>
            </w:r>
            <w:proofErr w:type="spellEnd"/>
            <w:r w:rsidRPr="00A53BDA">
              <w:rPr>
                <w:rFonts w:ascii="Times New Roman" w:eastAsia="Times New Roman" w:hAnsi="Times New Roman" w:cs="Times New Roman"/>
                <w:sz w:val="28"/>
                <w:szCs w:val="28"/>
                <w:lang w:eastAsia="uk-UA"/>
              </w:rPr>
              <w:t xml:space="preserve"> на зв’язку» та </w:t>
            </w:r>
            <w:r>
              <w:rPr>
                <w:rFonts w:ascii="Times New Roman" w:eastAsia="Times New Roman" w:hAnsi="Times New Roman" w:cs="Times New Roman"/>
                <w:sz w:val="28"/>
                <w:szCs w:val="28"/>
                <w:lang w:eastAsia="uk-UA"/>
              </w:rPr>
              <w:t xml:space="preserve"> </w:t>
            </w:r>
            <w:r w:rsidRPr="00A53BDA">
              <w:rPr>
                <w:rFonts w:ascii="Times New Roman" w:eastAsia="Times New Roman" w:hAnsi="Times New Roman" w:cs="Times New Roman"/>
                <w:sz w:val="28"/>
                <w:szCs w:val="28"/>
                <w:lang w:eastAsia="uk-UA"/>
              </w:rPr>
              <w:t xml:space="preserve">«гарячу лінію» </w:t>
            </w:r>
            <w:proofErr w:type="spellStart"/>
            <w:r w:rsidRPr="00A53BDA">
              <w:rPr>
                <w:rFonts w:ascii="Times New Roman" w:eastAsia="Times New Roman" w:hAnsi="Times New Roman" w:cs="Times New Roman"/>
                <w:sz w:val="28"/>
                <w:szCs w:val="28"/>
                <w:lang w:eastAsia="uk-UA"/>
              </w:rPr>
              <w:t>Міндовкілля</w:t>
            </w:r>
            <w:proofErr w:type="spellEnd"/>
            <w:r w:rsidRPr="00A53BDA">
              <w:rPr>
                <w:rFonts w:ascii="Times New Roman" w:eastAsia="Times New Roman" w:hAnsi="Times New Roman" w:cs="Times New Roman"/>
                <w:sz w:val="28"/>
                <w:szCs w:val="28"/>
                <w:lang w:eastAsia="uk-UA"/>
              </w:rPr>
              <w:t xml:space="preserve"> </w:t>
            </w:r>
          </w:p>
        </w:tc>
        <w:tc>
          <w:tcPr>
            <w:tcW w:w="1812" w:type="dxa"/>
            <w:tcBorders>
              <w:top w:val="single" w:sz="4" w:space="0" w:color="auto"/>
              <w:left w:val="single" w:sz="4" w:space="0" w:color="auto"/>
              <w:bottom w:val="single" w:sz="4" w:space="0" w:color="auto"/>
              <w:right w:val="single" w:sz="4" w:space="0" w:color="auto"/>
            </w:tcBorders>
          </w:tcPr>
          <w:p w:rsidR="009A098F" w:rsidRPr="00A53BDA" w:rsidRDefault="009A098F" w:rsidP="000A1EB2">
            <w:pPr>
              <w:spacing w:after="0" w:line="240" w:lineRule="auto"/>
              <w:jc w:val="center"/>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131</w:t>
            </w:r>
          </w:p>
        </w:tc>
      </w:tr>
      <w:tr w:rsidR="009A098F" w:rsidRPr="00A53BDA" w:rsidTr="000A1EB2">
        <w:tc>
          <w:tcPr>
            <w:tcW w:w="636"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both"/>
              <w:rPr>
                <w:rFonts w:ascii="Times New Roman" w:eastAsia="Times New Roman" w:hAnsi="Times New Roman" w:cs="Times New Roman"/>
                <w:sz w:val="28"/>
                <w:szCs w:val="28"/>
              </w:rPr>
            </w:pPr>
            <w:r w:rsidRPr="00A53BDA">
              <w:rPr>
                <w:rFonts w:ascii="Times New Roman" w:eastAsia="Times New Roman" w:hAnsi="Times New Roman" w:cs="Times New Roman"/>
                <w:sz w:val="28"/>
                <w:szCs w:val="28"/>
              </w:rPr>
              <w:t>5.</w:t>
            </w:r>
          </w:p>
        </w:tc>
        <w:tc>
          <w:tcPr>
            <w:tcW w:w="7191"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A53BDA">
              <w:rPr>
                <w:rFonts w:ascii="Times New Roman" w:eastAsia="Times New Roman" w:hAnsi="Times New Roman" w:cs="Times New Roman"/>
                <w:b/>
                <w:bCs/>
                <w:sz w:val="28"/>
                <w:szCs w:val="28"/>
              </w:rPr>
              <w:t>Через уповноважену особу</w:t>
            </w:r>
          </w:p>
        </w:tc>
        <w:tc>
          <w:tcPr>
            <w:tcW w:w="1812"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center"/>
              <w:rPr>
                <w:rFonts w:ascii="Times New Roman" w:eastAsia="Times New Roman" w:hAnsi="Times New Roman" w:cs="Times New Roman"/>
                <w:bCs/>
                <w:sz w:val="28"/>
                <w:szCs w:val="28"/>
              </w:rPr>
            </w:pPr>
            <w:r w:rsidRPr="00A53BDA">
              <w:rPr>
                <w:rFonts w:ascii="Times New Roman" w:eastAsia="Times New Roman" w:hAnsi="Times New Roman" w:cs="Times New Roman"/>
                <w:bCs/>
                <w:sz w:val="28"/>
                <w:szCs w:val="28"/>
              </w:rPr>
              <w:t>1</w:t>
            </w:r>
          </w:p>
        </w:tc>
      </w:tr>
      <w:tr w:rsidR="009A098F" w:rsidRPr="00A53BDA" w:rsidTr="000A1EB2">
        <w:tc>
          <w:tcPr>
            <w:tcW w:w="636" w:type="dxa"/>
            <w:tcBorders>
              <w:top w:val="single" w:sz="4" w:space="0" w:color="auto"/>
              <w:left w:val="single" w:sz="4" w:space="0" w:color="auto"/>
              <w:bottom w:val="single" w:sz="4" w:space="0" w:color="auto"/>
              <w:right w:val="single" w:sz="4" w:space="0" w:color="auto"/>
            </w:tcBorders>
          </w:tcPr>
          <w:p w:rsidR="009A098F" w:rsidRPr="00A53BDA" w:rsidRDefault="009A098F" w:rsidP="000A1EB2">
            <w:pPr>
              <w:spacing w:after="0" w:line="240" w:lineRule="auto"/>
              <w:jc w:val="both"/>
              <w:rPr>
                <w:rFonts w:ascii="Times New Roman" w:eastAsia="Times New Roman" w:hAnsi="Times New Roman" w:cs="Times New Roman"/>
                <w:sz w:val="28"/>
                <w:szCs w:val="28"/>
              </w:rPr>
            </w:pPr>
          </w:p>
        </w:tc>
        <w:tc>
          <w:tcPr>
            <w:tcW w:w="7191"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both"/>
              <w:rPr>
                <w:rFonts w:ascii="Times New Roman" w:eastAsia="Times New Roman" w:hAnsi="Times New Roman" w:cs="Times New Roman"/>
                <w:b/>
                <w:bCs/>
                <w:sz w:val="28"/>
                <w:szCs w:val="28"/>
              </w:rPr>
            </w:pPr>
            <w:r w:rsidRPr="00A53BDA">
              <w:rPr>
                <w:rFonts w:ascii="Times New Roman" w:eastAsia="Times New Roman" w:hAnsi="Times New Roman" w:cs="Times New Roman"/>
                <w:b/>
                <w:bCs/>
                <w:sz w:val="28"/>
                <w:szCs w:val="28"/>
              </w:rPr>
              <w:t xml:space="preserve">   ВСЬОГО:</w:t>
            </w:r>
          </w:p>
        </w:tc>
        <w:tc>
          <w:tcPr>
            <w:tcW w:w="1812" w:type="dxa"/>
            <w:tcBorders>
              <w:top w:val="single" w:sz="4" w:space="0" w:color="auto"/>
              <w:left w:val="single" w:sz="4" w:space="0" w:color="auto"/>
              <w:bottom w:val="single" w:sz="4" w:space="0" w:color="auto"/>
              <w:right w:val="single" w:sz="4" w:space="0" w:color="auto"/>
            </w:tcBorders>
            <w:hideMark/>
          </w:tcPr>
          <w:p w:rsidR="009A098F" w:rsidRPr="00A53BDA" w:rsidRDefault="009A098F" w:rsidP="000A1EB2">
            <w:pPr>
              <w:spacing w:after="0" w:line="240" w:lineRule="auto"/>
              <w:jc w:val="center"/>
              <w:rPr>
                <w:rFonts w:ascii="Times New Roman" w:eastAsia="Times New Roman" w:hAnsi="Times New Roman" w:cs="Times New Roman"/>
                <w:b/>
                <w:bCs/>
                <w:sz w:val="28"/>
                <w:szCs w:val="28"/>
              </w:rPr>
            </w:pPr>
            <w:r w:rsidRPr="00A53BDA">
              <w:rPr>
                <w:rFonts w:ascii="Times New Roman" w:eastAsia="Times New Roman" w:hAnsi="Times New Roman" w:cs="Times New Roman"/>
                <w:b/>
                <w:bCs/>
                <w:sz w:val="28"/>
                <w:szCs w:val="28"/>
              </w:rPr>
              <w:t>1952</w:t>
            </w:r>
          </w:p>
        </w:tc>
      </w:tr>
    </w:tbl>
    <w:p w:rsidR="009A098F" w:rsidRPr="00A53BDA" w:rsidRDefault="009A098F" w:rsidP="009A098F">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p>
    <w:p w:rsidR="009A098F" w:rsidRPr="00A53BDA" w:rsidRDefault="009A098F" w:rsidP="009A098F">
      <w:pPr>
        <w:spacing w:after="0" w:line="240" w:lineRule="auto"/>
        <w:ind w:firstLine="703"/>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t>У зверненнях громадян найбільш актуальними залишаються питання екологічного напрямку, а саме –  порушення норм законодавства у сфері атмосферного повітря, забруднення водних об’єктів, погіршення стану довкілля, утилізація відходів, утворення стихійних сміттєзвалищ, знищення лісових та зелених насаджень, отримання роз’яснення норм законодавства.</w:t>
      </w:r>
    </w:p>
    <w:p w:rsidR="009A098F" w:rsidRPr="00A53BDA" w:rsidRDefault="009A098F" w:rsidP="009A098F">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53BDA">
        <w:rPr>
          <w:rFonts w:ascii="Times New Roman" w:eastAsia="Times New Roman" w:hAnsi="Times New Roman" w:cs="Times New Roman"/>
          <w:color w:val="000000"/>
          <w:sz w:val="28"/>
          <w:szCs w:val="28"/>
          <w:lang w:eastAsia="uk-UA"/>
        </w:rPr>
        <w:t xml:space="preserve">Кількість звернень громадян, що надійшли до міністерства у розрізі регіонів у 2023 році наведені у діаграмі 2.     </w:t>
      </w:r>
    </w:p>
    <w:p w:rsidR="009A098F" w:rsidRPr="00A53BDA" w:rsidRDefault="009A098F" w:rsidP="009A098F">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A53BDA">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Pr="00A53BDA">
        <w:rPr>
          <w:rFonts w:ascii="Times New Roman" w:eastAsia="Times New Roman" w:hAnsi="Times New Roman" w:cs="Times New Roman"/>
          <w:color w:val="000000"/>
          <w:sz w:val="28"/>
          <w:szCs w:val="28"/>
          <w:lang w:eastAsia="uk-UA"/>
        </w:rPr>
        <w:t>Діаграма</w:t>
      </w:r>
      <w:r>
        <w:rPr>
          <w:rFonts w:ascii="Times New Roman" w:eastAsia="Times New Roman" w:hAnsi="Times New Roman" w:cs="Times New Roman"/>
          <w:color w:val="000000"/>
          <w:sz w:val="28"/>
          <w:szCs w:val="28"/>
          <w:lang w:eastAsia="uk-UA"/>
        </w:rPr>
        <w:t xml:space="preserve"> </w:t>
      </w:r>
      <w:r w:rsidRPr="00A53BDA">
        <w:rPr>
          <w:rFonts w:ascii="Times New Roman" w:eastAsia="Times New Roman" w:hAnsi="Times New Roman" w:cs="Times New Roman"/>
          <w:color w:val="000000"/>
          <w:sz w:val="28"/>
          <w:szCs w:val="28"/>
          <w:lang w:eastAsia="uk-UA"/>
        </w:rPr>
        <w:t>2</w:t>
      </w:r>
      <w:r w:rsidRPr="00A53BDA">
        <w:rPr>
          <w:rFonts w:ascii="Times New Roman" w:eastAsia="Times New Roman" w:hAnsi="Times New Roman" w:cs="Times New Roman"/>
          <w:b/>
          <w:noProof/>
          <w:color w:val="000000"/>
          <w:sz w:val="28"/>
          <w:szCs w:val="28"/>
          <w:lang w:eastAsia="uk-UA"/>
        </w:rPr>
        <w:drawing>
          <wp:inline distT="0" distB="0" distL="0" distR="0" wp14:anchorId="7D294B78" wp14:editId="344137F3">
            <wp:extent cx="6149340" cy="2788920"/>
            <wp:effectExtent l="0" t="0" r="22860" b="1143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A53BDA">
        <w:rPr>
          <w:rFonts w:ascii="Times New Roman" w:eastAsia="Times New Roman" w:hAnsi="Times New Roman" w:cs="Times New Roman"/>
          <w:color w:val="000000"/>
          <w:sz w:val="28"/>
          <w:szCs w:val="28"/>
          <w:lang w:eastAsia="uk-UA"/>
        </w:rPr>
        <w:t xml:space="preserve">  </w:t>
      </w:r>
    </w:p>
    <w:p w:rsidR="009A098F" w:rsidRPr="00A53BDA" w:rsidRDefault="009A098F" w:rsidP="009A098F">
      <w:pPr>
        <w:shd w:val="clear" w:color="auto" w:fill="FFFFFF"/>
        <w:spacing w:after="0" w:line="240" w:lineRule="auto"/>
        <w:ind w:right="1" w:firstLine="567"/>
        <w:jc w:val="both"/>
        <w:rPr>
          <w:rFonts w:ascii="Times New Roman" w:eastAsia="Times New Roman" w:hAnsi="Times New Roman" w:cs="Times New Roman"/>
          <w:color w:val="000000"/>
          <w:sz w:val="28"/>
          <w:szCs w:val="28"/>
          <w:lang w:eastAsia="uk-UA"/>
        </w:rPr>
      </w:pPr>
      <w:r w:rsidRPr="00A53BDA">
        <w:rPr>
          <w:rFonts w:ascii="Times New Roman" w:eastAsia="Times New Roman" w:hAnsi="Times New Roman" w:cs="Times New Roman"/>
          <w:color w:val="000000"/>
          <w:sz w:val="28"/>
          <w:szCs w:val="28"/>
          <w:lang w:eastAsia="uk-UA"/>
        </w:rPr>
        <w:t xml:space="preserve">Найбільша кількість звернень надійшла від жителів м. Київ (18,03% від загальної кількості), Дніпропетровської (12,09% звернень), Житомирської (10,09%) та Київської (7,33%) областей. </w:t>
      </w:r>
    </w:p>
    <w:p w:rsidR="009A098F" w:rsidRPr="00A53BDA" w:rsidRDefault="009A098F" w:rsidP="009A098F">
      <w:pPr>
        <w:tabs>
          <w:tab w:val="left" w:pos="567"/>
        </w:tabs>
        <w:spacing w:after="0" w:line="240" w:lineRule="auto"/>
        <w:ind w:right="-1"/>
        <w:jc w:val="both"/>
        <w:rPr>
          <w:rStyle w:val="rvts9"/>
          <w:b/>
          <w:bCs/>
          <w:color w:val="333333"/>
          <w:shd w:val="clear" w:color="auto" w:fill="FFFFFF"/>
        </w:rPr>
      </w:pPr>
      <w:r w:rsidRPr="00A53BDA">
        <w:rPr>
          <w:rFonts w:ascii="Times New Roman" w:hAnsi="Times New Roman" w:cs="Times New Roman"/>
          <w:bCs/>
          <w:sz w:val="28"/>
          <w:szCs w:val="28"/>
          <w:shd w:val="clear" w:color="auto" w:fill="FFFFFF"/>
        </w:rPr>
        <w:t xml:space="preserve">       Для зручності громадян на </w:t>
      </w:r>
      <w:proofErr w:type="spellStart"/>
      <w:r w:rsidRPr="00A53BDA">
        <w:rPr>
          <w:rFonts w:ascii="Times New Roman" w:hAnsi="Times New Roman" w:cs="Times New Roman"/>
          <w:bCs/>
          <w:sz w:val="28"/>
          <w:szCs w:val="28"/>
          <w:shd w:val="clear" w:color="auto" w:fill="FFFFFF"/>
        </w:rPr>
        <w:t>вебсайті</w:t>
      </w:r>
      <w:proofErr w:type="spellEnd"/>
      <w:r w:rsidRPr="00A53BDA">
        <w:rPr>
          <w:rFonts w:ascii="Times New Roman" w:hAnsi="Times New Roman" w:cs="Times New Roman"/>
          <w:bCs/>
          <w:sz w:val="28"/>
          <w:szCs w:val="28"/>
          <w:shd w:val="clear" w:color="auto" w:fill="FFFFFF"/>
        </w:rPr>
        <w:t xml:space="preserve"> </w:t>
      </w:r>
      <w:proofErr w:type="spellStart"/>
      <w:r w:rsidRPr="00A53BDA">
        <w:rPr>
          <w:rFonts w:ascii="Times New Roman" w:hAnsi="Times New Roman" w:cs="Times New Roman"/>
          <w:bCs/>
          <w:sz w:val="28"/>
          <w:szCs w:val="28"/>
          <w:shd w:val="clear" w:color="auto" w:fill="FFFFFF"/>
        </w:rPr>
        <w:t>Міндовкілля</w:t>
      </w:r>
      <w:proofErr w:type="spellEnd"/>
      <w:r w:rsidRPr="00A53BDA">
        <w:rPr>
          <w:rFonts w:ascii="Times New Roman" w:hAnsi="Times New Roman" w:cs="Times New Roman"/>
          <w:bCs/>
          <w:sz w:val="28"/>
          <w:szCs w:val="28"/>
          <w:shd w:val="clear" w:color="auto" w:fill="FFFFFF"/>
        </w:rPr>
        <w:t xml:space="preserve"> в розділі </w:t>
      </w:r>
      <w:r w:rsidRPr="00A53BDA">
        <w:rPr>
          <w:rFonts w:ascii="Times New Roman" w:eastAsia="Times New Roman" w:hAnsi="Times New Roman" w:cs="Times New Roman"/>
          <w:sz w:val="28"/>
          <w:szCs w:val="28"/>
          <w:lang w:eastAsia="uk-UA"/>
        </w:rPr>
        <w:t>«Звернення громадян» у рубриці «Особистий прийом» розміщено</w:t>
      </w:r>
      <w:r w:rsidRPr="00A53BDA">
        <w:rPr>
          <w:rFonts w:ascii="Times New Roman" w:hAnsi="Times New Roman" w:cs="Times New Roman"/>
          <w:bCs/>
          <w:sz w:val="28"/>
          <w:szCs w:val="28"/>
          <w:shd w:val="clear" w:color="auto" w:fill="FFFFFF"/>
        </w:rPr>
        <w:t xml:space="preserve"> Порядок організації та проведення особистого прийому громадян посадовими особами Міністерства захисту довкілля та природних ресурсів України, затверджений наказом </w:t>
      </w:r>
      <w:proofErr w:type="spellStart"/>
      <w:r w:rsidRPr="00A53BDA">
        <w:rPr>
          <w:rFonts w:ascii="Times New Roman" w:hAnsi="Times New Roman" w:cs="Times New Roman"/>
          <w:bCs/>
          <w:sz w:val="28"/>
          <w:szCs w:val="28"/>
          <w:shd w:val="clear" w:color="auto" w:fill="FFFFFF"/>
        </w:rPr>
        <w:t>Міндовкілля</w:t>
      </w:r>
      <w:proofErr w:type="spellEnd"/>
      <w:r w:rsidRPr="00A53BDA">
        <w:rPr>
          <w:rFonts w:ascii="Times New Roman" w:hAnsi="Times New Roman" w:cs="Times New Roman"/>
          <w:bCs/>
          <w:sz w:val="28"/>
          <w:szCs w:val="28"/>
          <w:shd w:val="clear" w:color="auto" w:fill="FFFFFF"/>
        </w:rPr>
        <w:t xml:space="preserve"> від 30.09.2021 № 637,  зареєстрований в </w:t>
      </w:r>
      <w:r w:rsidRPr="00A53BDA">
        <w:rPr>
          <w:rStyle w:val="rvts9"/>
          <w:rFonts w:ascii="Times New Roman" w:hAnsi="Times New Roman" w:cs="Times New Roman"/>
          <w:bCs/>
          <w:sz w:val="28"/>
          <w:szCs w:val="28"/>
          <w:shd w:val="clear" w:color="auto" w:fill="FFFFFF"/>
        </w:rPr>
        <w:t xml:space="preserve">Міністерстві юстиції України 04.11.2021 за № 1429/37051, наказ </w:t>
      </w:r>
      <w:proofErr w:type="spellStart"/>
      <w:r w:rsidRPr="00A53BDA">
        <w:rPr>
          <w:rStyle w:val="rvts9"/>
          <w:rFonts w:ascii="Times New Roman" w:hAnsi="Times New Roman" w:cs="Times New Roman"/>
          <w:bCs/>
          <w:sz w:val="28"/>
          <w:szCs w:val="28"/>
          <w:shd w:val="clear" w:color="auto" w:fill="FFFFFF"/>
        </w:rPr>
        <w:t>Міндовкілля</w:t>
      </w:r>
      <w:proofErr w:type="spellEnd"/>
      <w:r w:rsidRPr="00A53BDA">
        <w:rPr>
          <w:rStyle w:val="rvts9"/>
          <w:rFonts w:ascii="Times New Roman" w:hAnsi="Times New Roman" w:cs="Times New Roman"/>
          <w:bCs/>
          <w:sz w:val="28"/>
          <w:szCs w:val="28"/>
          <w:shd w:val="clear" w:color="auto" w:fill="FFFFFF"/>
        </w:rPr>
        <w:t xml:space="preserve"> від 02.05.2023 № 281 «</w:t>
      </w:r>
      <w:r w:rsidRPr="00A53BDA">
        <w:rPr>
          <w:rFonts w:ascii="Times New Roman" w:hAnsi="Times New Roman" w:cs="Times New Roman"/>
          <w:sz w:val="28"/>
          <w:szCs w:val="28"/>
        </w:rPr>
        <w:t>Про затвердження Графіка особистого прийому громадян керівництвом Міністерства захисту довкілля та природних ресурсів України</w:t>
      </w:r>
      <w:r w:rsidRPr="00A53BDA">
        <w:rPr>
          <w:rStyle w:val="rvts9"/>
          <w:rFonts w:ascii="Times New Roman" w:hAnsi="Times New Roman" w:cs="Times New Roman"/>
          <w:bCs/>
          <w:sz w:val="28"/>
          <w:szCs w:val="28"/>
          <w:shd w:val="clear" w:color="auto" w:fill="FFFFFF"/>
        </w:rPr>
        <w:t xml:space="preserve">» та наказ </w:t>
      </w:r>
      <w:proofErr w:type="spellStart"/>
      <w:r w:rsidRPr="00A53BDA">
        <w:rPr>
          <w:rStyle w:val="rvts9"/>
          <w:rFonts w:ascii="Times New Roman" w:hAnsi="Times New Roman" w:cs="Times New Roman"/>
          <w:bCs/>
          <w:sz w:val="28"/>
          <w:szCs w:val="28"/>
          <w:shd w:val="clear" w:color="auto" w:fill="FFFFFF"/>
        </w:rPr>
        <w:t>Міндовкілля</w:t>
      </w:r>
      <w:proofErr w:type="spellEnd"/>
      <w:r w:rsidRPr="00A53BDA">
        <w:rPr>
          <w:rStyle w:val="rvts9"/>
          <w:rFonts w:ascii="Times New Roman" w:hAnsi="Times New Roman" w:cs="Times New Roman"/>
          <w:bCs/>
          <w:sz w:val="28"/>
          <w:szCs w:val="28"/>
          <w:shd w:val="clear" w:color="auto" w:fill="FFFFFF"/>
        </w:rPr>
        <w:t xml:space="preserve"> від 29.05.2023 № 375 «</w:t>
      </w:r>
      <w:r w:rsidRPr="00A53BDA">
        <w:rPr>
          <w:rFonts w:ascii="Times New Roman" w:hAnsi="Times New Roman" w:cs="Times New Roman"/>
          <w:sz w:val="28"/>
          <w:szCs w:val="28"/>
        </w:rPr>
        <w:t>Про затвердження Графіка особистого прийому громадян посадовими особами структурних підрозділів апарату Міністерства захисту довкілля та природних ресурсів України</w:t>
      </w:r>
      <w:r w:rsidRPr="00A53BDA">
        <w:rPr>
          <w:rStyle w:val="rvts9"/>
          <w:rFonts w:ascii="Times New Roman" w:hAnsi="Times New Roman" w:cs="Times New Roman"/>
          <w:bCs/>
          <w:sz w:val="28"/>
          <w:szCs w:val="28"/>
          <w:shd w:val="clear" w:color="auto" w:fill="FFFFFF"/>
        </w:rPr>
        <w:t>».</w:t>
      </w:r>
      <w:r w:rsidRPr="00A53BDA">
        <w:rPr>
          <w:rStyle w:val="rvts9"/>
          <w:b/>
          <w:bCs/>
          <w:color w:val="333333"/>
          <w:shd w:val="clear" w:color="auto" w:fill="FFFFFF"/>
        </w:rPr>
        <w:t> </w:t>
      </w:r>
    </w:p>
    <w:p w:rsidR="009A098F" w:rsidRPr="00A53BDA" w:rsidRDefault="009A098F" w:rsidP="009A098F">
      <w:pPr>
        <w:tabs>
          <w:tab w:val="left" w:pos="567"/>
        </w:tabs>
        <w:spacing w:after="0" w:line="240" w:lineRule="auto"/>
        <w:ind w:right="-1"/>
        <w:jc w:val="both"/>
        <w:rPr>
          <w:rFonts w:ascii="Times New Roman" w:eastAsia="Times New Roman" w:hAnsi="Times New Roman" w:cs="Times New Roman"/>
          <w:color w:val="000000"/>
          <w:sz w:val="28"/>
          <w:szCs w:val="28"/>
          <w:lang w:eastAsia="uk-UA"/>
        </w:rPr>
      </w:pPr>
      <w:r w:rsidRPr="00A53BDA">
        <w:rPr>
          <w:rFonts w:ascii="Times New Roman" w:hAnsi="Times New Roman" w:cs="Times New Roman"/>
          <w:sz w:val="24"/>
          <w:szCs w:val="24"/>
        </w:rPr>
        <w:t xml:space="preserve">          </w:t>
      </w:r>
      <w:r w:rsidRPr="00A53BDA">
        <w:rPr>
          <w:rFonts w:ascii="Times New Roman" w:eastAsia="Times New Roman" w:hAnsi="Times New Roman" w:cs="Times New Roman"/>
          <w:color w:val="000000"/>
          <w:sz w:val="28"/>
          <w:szCs w:val="28"/>
          <w:lang w:eastAsia="uk-UA"/>
        </w:rPr>
        <w:t xml:space="preserve">У 2023 році проведено 19 особистих прийомів громадян, з них Міністром захисту довкілля та природних ресурсів України - 2, першим заступником Міністра, заступниками Міністра, державним секретарем – 13, посадовими особами структурних підрозділів апарату </w:t>
      </w:r>
      <w:proofErr w:type="spellStart"/>
      <w:r w:rsidRPr="00A53BDA">
        <w:rPr>
          <w:rFonts w:ascii="Times New Roman" w:eastAsia="Times New Roman" w:hAnsi="Times New Roman" w:cs="Times New Roman"/>
          <w:color w:val="000000"/>
          <w:sz w:val="28"/>
          <w:szCs w:val="28"/>
          <w:lang w:eastAsia="uk-UA"/>
        </w:rPr>
        <w:t>Міндовкілля</w:t>
      </w:r>
      <w:proofErr w:type="spellEnd"/>
      <w:r w:rsidRPr="00A53BDA">
        <w:rPr>
          <w:rFonts w:ascii="Times New Roman" w:eastAsia="Times New Roman" w:hAnsi="Times New Roman" w:cs="Times New Roman"/>
          <w:color w:val="000000"/>
          <w:sz w:val="28"/>
          <w:szCs w:val="28"/>
          <w:lang w:eastAsia="uk-UA"/>
        </w:rPr>
        <w:t xml:space="preserve"> – 4. </w:t>
      </w:r>
    </w:p>
    <w:p w:rsidR="009A098F" w:rsidRPr="00A53BDA" w:rsidRDefault="009A098F" w:rsidP="009A098F">
      <w:pPr>
        <w:shd w:val="clear" w:color="auto" w:fill="FFFFFF"/>
        <w:spacing w:after="0" w:line="240" w:lineRule="auto"/>
        <w:ind w:right="1" w:firstLine="567"/>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lastRenderedPageBreak/>
        <w:t xml:space="preserve">Відповідно до Порядку взаємодії органів виконавчої влади та державної установи «Урядовий контактний центр», затвердженого постановою Кабінету Міністрів України від 12.08.2009 № 898 «Про взаємодію органів виконавчої влади та державної установи «Урядовий контактний центр», міністерство забезпечує належний розгляд звернень громадян, що надходили на Урядову «гарячу» лінію. </w:t>
      </w:r>
    </w:p>
    <w:p w:rsidR="009A098F" w:rsidRPr="00A53BDA" w:rsidRDefault="009A098F" w:rsidP="009A098F">
      <w:pPr>
        <w:shd w:val="clear" w:color="auto" w:fill="FFFFFF"/>
        <w:spacing w:after="0" w:line="240" w:lineRule="auto"/>
        <w:ind w:right="1" w:firstLine="567"/>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t>У 2023 році від ДУ «Урядовий контактний центр» до міністерства надійшло 302 звернення громадян, що склало 15,47 відсотків від загальної кількості звернень.</w:t>
      </w:r>
    </w:p>
    <w:p w:rsidR="009A098F" w:rsidRPr="00A53BDA" w:rsidRDefault="009A098F" w:rsidP="009A098F">
      <w:pPr>
        <w:spacing w:after="0" w:line="240" w:lineRule="auto"/>
        <w:ind w:firstLine="567"/>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t xml:space="preserve">З метою надання вичерпної інформації та оперативного розгляду питань екологічного спрямування міністерством забезпечено роботу приймальні громадян та функціонування інформаційно-довідкової телефонної лінії </w:t>
      </w:r>
      <w:proofErr w:type="spellStart"/>
      <w:r w:rsidRPr="00A53BDA">
        <w:rPr>
          <w:rFonts w:ascii="Times New Roman" w:eastAsia="Times New Roman" w:hAnsi="Times New Roman" w:cs="Times New Roman"/>
          <w:sz w:val="28"/>
          <w:szCs w:val="28"/>
          <w:lang w:eastAsia="uk-UA"/>
        </w:rPr>
        <w:t>Міндовкілля</w:t>
      </w:r>
      <w:proofErr w:type="spellEnd"/>
      <w:r w:rsidRPr="00A53BDA">
        <w:rPr>
          <w:rFonts w:ascii="Times New Roman" w:eastAsia="Times New Roman" w:hAnsi="Times New Roman" w:cs="Times New Roman"/>
          <w:sz w:val="28"/>
          <w:szCs w:val="28"/>
          <w:lang w:eastAsia="uk-UA"/>
        </w:rPr>
        <w:t>.</w:t>
      </w:r>
    </w:p>
    <w:p w:rsidR="009A098F" w:rsidRPr="00A53BDA" w:rsidRDefault="009A098F" w:rsidP="009A098F">
      <w:pPr>
        <w:spacing w:after="0" w:line="240" w:lineRule="auto"/>
        <w:ind w:firstLine="567"/>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t>Для оперативного реагування на проблемні питання громадян функціонує «гаряча лінія» «</w:t>
      </w:r>
      <w:proofErr w:type="spellStart"/>
      <w:r w:rsidRPr="00A53BDA">
        <w:rPr>
          <w:rFonts w:ascii="Times New Roman" w:eastAsia="Times New Roman" w:hAnsi="Times New Roman" w:cs="Times New Roman"/>
          <w:sz w:val="28"/>
          <w:szCs w:val="28"/>
          <w:lang w:eastAsia="uk-UA"/>
        </w:rPr>
        <w:t>Міндовкілля</w:t>
      </w:r>
      <w:proofErr w:type="spellEnd"/>
      <w:r w:rsidRPr="00A53BDA">
        <w:rPr>
          <w:rFonts w:ascii="Times New Roman" w:eastAsia="Times New Roman" w:hAnsi="Times New Roman" w:cs="Times New Roman"/>
          <w:sz w:val="28"/>
          <w:szCs w:val="28"/>
          <w:lang w:eastAsia="uk-UA"/>
        </w:rPr>
        <w:t xml:space="preserve"> на зв’язку», яка працює на базі існуючої системи ДУ «Урядовий контактний центр». За 2023 рік на «гарячу лінію» «</w:t>
      </w:r>
      <w:proofErr w:type="spellStart"/>
      <w:r w:rsidRPr="00A53BDA">
        <w:rPr>
          <w:rFonts w:ascii="Times New Roman" w:eastAsia="Times New Roman" w:hAnsi="Times New Roman" w:cs="Times New Roman"/>
          <w:sz w:val="28"/>
          <w:szCs w:val="28"/>
          <w:lang w:eastAsia="uk-UA"/>
        </w:rPr>
        <w:t>Міндовкілля</w:t>
      </w:r>
      <w:proofErr w:type="spellEnd"/>
      <w:r w:rsidRPr="00A53BDA">
        <w:rPr>
          <w:rFonts w:ascii="Times New Roman" w:eastAsia="Times New Roman" w:hAnsi="Times New Roman" w:cs="Times New Roman"/>
          <w:sz w:val="28"/>
          <w:szCs w:val="28"/>
          <w:lang w:eastAsia="uk-UA"/>
        </w:rPr>
        <w:t xml:space="preserve"> на зв’язку» було прийнято 2329 дзвінків. </w:t>
      </w:r>
    </w:p>
    <w:p w:rsidR="009A098F" w:rsidRPr="00A53BDA" w:rsidRDefault="009A098F" w:rsidP="009A0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Courier New"/>
          <w:sz w:val="28"/>
          <w:szCs w:val="28"/>
          <w:lang w:eastAsia="ru-RU"/>
        </w:rPr>
      </w:pPr>
      <w:r w:rsidRPr="00A53BDA">
        <w:rPr>
          <w:rFonts w:ascii="Times New Roman" w:eastAsia="Times New Roman" w:hAnsi="Times New Roman" w:cs="Courier New"/>
          <w:sz w:val="28"/>
          <w:szCs w:val="28"/>
          <w:lang w:eastAsia="ru-RU"/>
        </w:rPr>
        <w:t>Звернення громадян, що надійшли на «гарячу лінію» «</w:t>
      </w:r>
      <w:proofErr w:type="spellStart"/>
      <w:r w:rsidRPr="00A53BDA">
        <w:rPr>
          <w:rFonts w:ascii="Times New Roman" w:eastAsia="Times New Roman" w:hAnsi="Times New Roman" w:cs="Courier New"/>
          <w:sz w:val="28"/>
          <w:szCs w:val="28"/>
          <w:lang w:eastAsia="ru-RU"/>
        </w:rPr>
        <w:t>Міндовкілля</w:t>
      </w:r>
      <w:proofErr w:type="spellEnd"/>
      <w:r w:rsidRPr="00A53BDA">
        <w:rPr>
          <w:rFonts w:ascii="Times New Roman" w:eastAsia="Times New Roman" w:hAnsi="Times New Roman" w:cs="Courier New"/>
          <w:sz w:val="28"/>
          <w:szCs w:val="28"/>
          <w:lang w:eastAsia="ru-RU"/>
        </w:rPr>
        <w:t xml:space="preserve"> на зв’язку», реєструвались у день їх надходження в системі електронного документообігу в журналі реєстрації звернень громадян посадовою особою, яка приймала телефонний дзвінок. Звернення, в яких порушено питання інформативного, довідкового та консультативного характеру, а також які не потребували додаткового вивчення, розглядались і вирішувались невідкладно.</w:t>
      </w:r>
    </w:p>
    <w:p w:rsidR="009A098F" w:rsidRPr="00A53BDA" w:rsidRDefault="009A098F" w:rsidP="009A0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Courier New"/>
          <w:sz w:val="28"/>
          <w:szCs w:val="28"/>
          <w:lang w:eastAsia="ru-RU"/>
        </w:rPr>
      </w:pPr>
      <w:r w:rsidRPr="00A53BDA">
        <w:rPr>
          <w:rFonts w:ascii="Times New Roman" w:eastAsia="Times New Roman" w:hAnsi="Times New Roman" w:cs="Courier New"/>
          <w:sz w:val="28"/>
          <w:szCs w:val="28"/>
          <w:lang w:eastAsia="ru-RU"/>
        </w:rPr>
        <w:t>Звернення, що потребували більш детального вивчення, проведення додаткової перевірки вказаних фактів, розглядались у тому ж порядку, що й письмові звернення відповідно до Закону України «Про звернення громадян».</w:t>
      </w:r>
    </w:p>
    <w:p w:rsidR="009A098F" w:rsidRDefault="009A098F" w:rsidP="009A0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sidRPr="00A53BDA">
        <w:rPr>
          <w:rFonts w:ascii="Times New Roman" w:eastAsia="Times New Roman" w:hAnsi="Times New Roman" w:cs="Times New Roman"/>
          <w:sz w:val="28"/>
          <w:szCs w:val="28"/>
          <w:lang w:eastAsia="ru-RU"/>
        </w:rPr>
        <w:t>Інформація про «гарячу лінію» «</w:t>
      </w:r>
      <w:proofErr w:type="spellStart"/>
      <w:r w:rsidRPr="00A53BDA">
        <w:rPr>
          <w:rFonts w:ascii="Times New Roman" w:eastAsia="Times New Roman" w:hAnsi="Times New Roman" w:cs="Times New Roman"/>
          <w:sz w:val="28"/>
          <w:szCs w:val="28"/>
          <w:lang w:eastAsia="ru-RU"/>
        </w:rPr>
        <w:t>Міндовкілля</w:t>
      </w:r>
      <w:proofErr w:type="spellEnd"/>
      <w:r w:rsidRPr="00A53BDA">
        <w:rPr>
          <w:rFonts w:ascii="Times New Roman" w:eastAsia="Times New Roman" w:hAnsi="Times New Roman" w:cs="Times New Roman"/>
          <w:sz w:val="28"/>
          <w:szCs w:val="28"/>
          <w:lang w:eastAsia="ru-RU"/>
        </w:rPr>
        <w:t xml:space="preserve"> на зв’язку» розміщена на сайті </w:t>
      </w:r>
      <w:r w:rsidR="0051408E">
        <w:rPr>
          <w:rFonts w:ascii="Times New Roman" w:eastAsia="Times New Roman" w:hAnsi="Times New Roman" w:cs="Times New Roman"/>
          <w:sz w:val="28"/>
          <w:szCs w:val="28"/>
          <w:lang w:eastAsia="ru-RU"/>
        </w:rPr>
        <w:t>м</w:t>
      </w:r>
      <w:r w:rsidRPr="00A53BDA">
        <w:rPr>
          <w:rFonts w:ascii="Times New Roman" w:eastAsia="Times New Roman" w:hAnsi="Times New Roman" w:cs="Times New Roman"/>
          <w:sz w:val="28"/>
          <w:szCs w:val="28"/>
          <w:lang w:eastAsia="ru-RU"/>
        </w:rPr>
        <w:t>іністерства https://mepr.gov.ua/ та на сайті державного підприємства «Урядовий контактний центр»</w:t>
      </w:r>
      <w:r>
        <w:rPr>
          <w:rFonts w:ascii="Times New Roman" w:eastAsia="Times New Roman" w:hAnsi="Times New Roman" w:cs="Times New Roman"/>
          <w:sz w:val="28"/>
          <w:szCs w:val="28"/>
          <w:lang w:eastAsia="ru-RU"/>
        </w:rPr>
        <w:t>.</w:t>
      </w:r>
    </w:p>
    <w:p w:rsidR="009A098F" w:rsidRPr="00A53BDA" w:rsidRDefault="009A098F" w:rsidP="009A0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t xml:space="preserve">Водночас, для забезпечення відкритості й прозорості діяльності Міністерства захисту довкілля та природних ресурсів України на офіційному </w:t>
      </w:r>
      <w:proofErr w:type="spellStart"/>
      <w:r w:rsidRPr="00A53BDA">
        <w:rPr>
          <w:rFonts w:ascii="Times New Roman" w:eastAsia="Times New Roman" w:hAnsi="Times New Roman" w:cs="Times New Roman"/>
          <w:sz w:val="28"/>
          <w:szCs w:val="28"/>
          <w:lang w:eastAsia="uk-UA"/>
        </w:rPr>
        <w:t>вебсайті</w:t>
      </w:r>
      <w:proofErr w:type="spellEnd"/>
      <w:r w:rsidRPr="00A53BDA">
        <w:rPr>
          <w:rFonts w:ascii="Times New Roman" w:eastAsia="Times New Roman" w:hAnsi="Times New Roman" w:cs="Times New Roman"/>
          <w:sz w:val="28"/>
          <w:szCs w:val="28"/>
          <w:lang w:eastAsia="uk-UA"/>
        </w:rPr>
        <w:t xml:space="preserve"> функціонують окремі розділи: «Звернення громадян», «Доступ до публічної інформації», де вказані всі види зв’язку, якими можуть скористатися громадяни для отримання інформації та роз’яснень.</w:t>
      </w:r>
    </w:p>
    <w:p w:rsidR="009A098F" w:rsidRPr="00A53BDA" w:rsidRDefault="009A098F" w:rsidP="009A09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shd w:val="clear" w:color="auto" w:fill="FFFFFF"/>
          <w:lang w:eastAsia="uk-UA"/>
        </w:rPr>
      </w:pPr>
      <w:r w:rsidRPr="00A53BDA">
        <w:rPr>
          <w:rFonts w:ascii="Times New Roman" w:eastAsia="Times New Roman" w:hAnsi="Times New Roman" w:cs="Times New Roman"/>
          <w:sz w:val="28"/>
          <w:szCs w:val="28"/>
          <w:lang w:eastAsia="uk-UA"/>
        </w:rPr>
        <w:t xml:space="preserve">Разом з тим, на  сайті </w:t>
      </w:r>
      <w:proofErr w:type="spellStart"/>
      <w:r w:rsidRPr="00A53BDA">
        <w:rPr>
          <w:rFonts w:ascii="Times New Roman" w:eastAsia="Times New Roman" w:hAnsi="Times New Roman" w:cs="Times New Roman"/>
          <w:sz w:val="28"/>
          <w:szCs w:val="28"/>
          <w:lang w:eastAsia="uk-UA"/>
        </w:rPr>
        <w:t>Міндовкілля</w:t>
      </w:r>
      <w:proofErr w:type="spellEnd"/>
      <w:r w:rsidRPr="00A53BDA">
        <w:rPr>
          <w:rFonts w:ascii="Times New Roman" w:eastAsia="Times New Roman" w:hAnsi="Times New Roman" w:cs="Times New Roman"/>
          <w:sz w:val="28"/>
          <w:szCs w:val="28"/>
          <w:lang w:eastAsia="uk-UA"/>
        </w:rPr>
        <w:t xml:space="preserve"> в розділі «Громадянам» в підрозділі «Звернення громадян» створено окрему рубрику «Електронне звернення», де громадяни, в зручній та простій для використання формі, можуть залишити звернення. В підрозділі «Звернення громадян» створено рубрику «Як подати письмове звернення до </w:t>
      </w:r>
      <w:proofErr w:type="spellStart"/>
      <w:r w:rsidRPr="00A53BDA">
        <w:rPr>
          <w:rFonts w:ascii="Times New Roman" w:eastAsia="Times New Roman" w:hAnsi="Times New Roman" w:cs="Times New Roman"/>
          <w:sz w:val="28"/>
          <w:szCs w:val="28"/>
          <w:lang w:eastAsia="uk-UA"/>
        </w:rPr>
        <w:t>Міндовкілля</w:t>
      </w:r>
      <w:proofErr w:type="spellEnd"/>
      <w:r w:rsidRPr="00A53BDA">
        <w:rPr>
          <w:rFonts w:ascii="Times New Roman" w:eastAsia="Times New Roman" w:hAnsi="Times New Roman" w:cs="Times New Roman"/>
          <w:sz w:val="28"/>
          <w:szCs w:val="28"/>
          <w:lang w:eastAsia="uk-UA"/>
        </w:rPr>
        <w:t xml:space="preserve">?» де зазначені </w:t>
      </w:r>
      <w:r w:rsidRPr="00A53BDA">
        <w:rPr>
          <w:rFonts w:ascii="Times New Roman" w:eastAsia="Times New Roman" w:hAnsi="Times New Roman" w:cs="Times New Roman"/>
          <w:sz w:val="28"/>
          <w:szCs w:val="28"/>
          <w:shd w:val="clear" w:color="auto" w:fill="FFFFFF"/>
          <w:lang w:eastAsia="uk-UA"/>
        </w:rPr>
        <w:t>вимоги до звернення, що визначені статтями 5 та 7 Закону (витяг) та активне посилання на Закон України «Про звернення громадян».</w:t>
      </w:r>
    </w:p>
    <w:p w:rsidR="009A098F" w:rsidRPr="00A53BDA" w:rsidRDefault="009A098F" w:rsidP="009A0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shd w:val="clear" w:color="auto" w:fill="FFFFFF"/>
        </w:rPr>
      </w:pPr>
      <w:r w:rsidRPr="00A53BDA">
        <w:rPr>
          <w:rFonts w:ascii="Times New Roman" w:hAnsi="Times New Roman" w:cs="Times New Roman"/>
          <w:sz w:val="28"/>
          <w:szCs w:val="28"/>
          <w:shd w:val="clear" w:color="auto" w:fill="FFFFFF"/>
        </w:rPr>
        <w:t xml:space="preserve">Для забезпечення можливості громадянам </w:t>
      </w:r>
      <w:proofErr w:type="spellStart"/>
      <w:r w:rsidRPr="00A53BDA">
        <w:rPr>
          <w:rFonts w:ascii="Times New Roman" w:hAnsi="Times New Roman" w:cs="Times New Roman"/>
          <w:sz w:val="28"/>
          <w:szCs w:val="28"/>
          <w:shd w:val="clear" w:color="auto" w:fill="FFFFFF"/>
        </w:rPr>
        <w:t>оперативно</w:t>
      </w:r>
      <w:proofErr w:type="spellEnd"/>
      <w:r w:rsidRPr="00A53BDA">
        <w:rPr>
          <w:rFonts w:ascii="Times New Roman" w:hAnsi="Times New Roman" w:cs="Times New Roman"/>
          <w:sz w:val="28"/>
          <w:szCs w:val="28"/>
          <w:shd w:val="clear" w:color="auto" w:fill="FFFFFF"/>
        </w:rPr>
        <w:t xml:space="preserve"> сповіщати про факти заподіяння шкоди навколишньому природному середовищу внаслідок надзвичайних ситуацій, подій, збройної агресії російської федерації створено сервіс фіксації “</w:t>
      </w:r>
      <w:proofErr w:type="spellStart"/>
      <w:r w:rsidRPr="00A53BDA">
        <w:rPr>
          <w:rFonts w:ascii="Times New Roman" w:hAnsi="Times New Roman" w:cs="Times New Roman"/>
          <w:sz w:val="28"/>
          <w:szCs w:val="28"/>
          <w:shd w:val="clear" w:color="auto" w:fill="FFFFFF"/>
        </w:rPr>
        <w:t>ЕкоЗагроза</w:t>
      </w:r>
      <w:proofErr w:type="spellEnd"/>
      <w:r w:rsidRPr="00A53BDA">
        <w:rPr>
          <w:rFonts w:ascii="Times New Roman" w:hAnsi="Times New Roman" w:cs="Times New Roman"/>
          <w:sz w:val="28"/>
          <w:szCs w:val="28"/>
          <w:shd w:val="clear" w:color="auto" w:fill="FFFFFF"/>
        </w:rPr>
        <w:t xml:space="preserve">”. </w:t>
      </w:r>
    </w:p>
    <w:p w:rsidR="009A098F" w:rsidRPr="00A53BDA" w:rsidRDefault="009A098F" w:rsidP="009A09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t>Міністерство прагне бути максимально відкритим у своїй діяльності, а кожен громадянин отримує повний доступ до екологічної інформації.</w:t>
      </w:r>
    </w:p>
    <w:p w:rsidR="009A098F" w:rsidRPr="00A53BDA" w:rsidRDefault="009A098F" w:rsidP="009A09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shd w:val="clear" w:color="auto" w:fill="FFFFFF"/>
          <w:lang w:eastAsia="uk-UA"/>
        </w:rPr>
        <w:lastRenderedPageBreak/>
        <w:t>О</w:t>
      </w:r>
      <w:r w:rsidRPr="00A53BDA">
        <w:rPr>
          <w:rFonts w:ascii="Times New Roman" w:eastAsia="Times New Roman" w:hAnsi="Times New Roman" w:cs="Times New Roman"/>
          <w:sz w:val="28"/>
          <w:szCs w:val="28"/>
          <w:lang w:eastAsia="uk-UA"/>
        </w:rPr>
        <w:t xml:space="preserve">тримати </w:t>
      </w:r>
      <w:r w:rsidR="00273066">
        <w:rPr>
          <w:rFonts w:ascii="Times New Roman" w:eastAsia="Times New Roman" w:hAnsi="Times New Roman" w:cs="Times New Roman"/>
          <w:sz w:val="28"/>
          <w:szCs w:val="28"/>
          <w:lang w:eastAsia="uk-UA"/>
        </w:rPr>
        <w:t>в</w:t>
      </w:r>
      <w:bookmarkStart w:id="1" w:name="_GoBack"/>
      <w:bookmarkEnd w:id="1"/>
      <w:r w:rsidRPr="00A53BDA">
        <w:rPr>
          <w:rFonts w:ascii="Times New Roman" w:eastAsia="Times New Roman" w:hAnsi="Times New Roman" w:cs="Times New Roman"/>
          <w:sz w:val="28"/>
          <w:szCs w:val="28"/>
          <w:lang w:eastAsia="uk-UA"/>
        </w:rPr>
        <w:t xml:space="preserve">ідповідь можна через сервіс онлайн-консультування, скориставшись експрес чатом на сайті міністерства. Даний </w:t>
      </w:r>
      <w:proofErr w:type="spellStart"/>
      <w:r w:rsidRPr="00A53BDA">
        <w:rPr>
          <w:rFonts w:ascii="Times New Roman" w:eastAsia="Times New Roman" w:hAnsi="Times New Roman" w:cs="Times New Roman"/>
          <w:sz w:val="28"/>
          <w:szCs w:val="28"/>
          <w:lang w:eastAsia="uk-UA"/>
        </w:rPr>
        <w:t>віджет</w:t>
      </w:r>
      <w:proofErr w:type="spellEnd"/>
      <w:r w:rsidRPr="00A53BDA">
        <w:rPr>
          <w:rFonts w:ascii="Times New Roman" w:eastAsia="Times New Roman" w:hAnsi="Times New Roman" w:cs="Times New Roman"/>
          <w:sz w:val="28"/>
          <w:szCs w:val="28"/>
          <w:lang w:eastAsia="uk-UA"/>
        </w:rPr>
        <w:t xml:space="preserve"> відображається на головній сторінці офіційного </w:t>
      </w:r>
      <w:proofErr w:type="spellStart"/>
      <w:r w:rsidRPr="00A53BDA">
        <w:rPr>
          <w:rFonts w:ascii="Times New Roman" w:eastAsia="Times New Roman" w:hAnsi="Times New Roman" w:cs="Times New Roman"/>
          <w:sz w:val="28"/>
          <w:szCs w:val="28"/>
          <w:lang w:eastAsia="uk-UA"/>
        </w:rPr>
        <w:t>вебсайту</w:t>
      </w:r>
      <w:proofErr w:type="spellEnd"/>
      <w:r w:rsidRPr="00A53BDA">
        <w:rPr>
          <w:rFonts w:ascii="Times New Roman" w:eastAsia="Times New Roman" w:hAnsi="Times New Roman" w:cs="Times New Roman"/>
          <w:sz w:val="28"/>
          <w:szCs w:val="28"/>
          <w:lang w:eastAsia="uk-UA"/>
        </w:rPr>
        <w:t xml:space="preserve"> </w:t>
      </w:r>
      <w:proofErr w:type="spellStart"/>
      <w:r w:rsidRPr="00A53BDA">
        <w:rPr>
          <w:rFonts w:ascii="Times New Roman" w:eastAsia="Times New Roman" w:hAnsi="Times New Roman" w:cs="Times New Roman"/>
          <w:sz w:val="28"/>
          <w:szCs w:val="28"/>
          <w:lang w:eastAsia="uk-UA"/>
        </w:rPr>
        <w:t>Міндовкілля</w:t>
      </w:r>
      <w:proofErr w:type="spellEnd"/>
      <w:r w:rsidRPr="00A53BDA">
        <w:rPr>
          <w:rFonts w:ascii="Times New Roman" w:eastAsia="Times New Roman" w:hAnsi="Times New Roman" w:cs="Times New Roman"/>
          <w:sz w:val="28"/>
          <w:szCs w:val="28"/>
          <w:lang w:eastAsia="uk-UA"/>
        </w:rPr>
        <w:t xml:space="preserve"> (https://mepr.gov.ua).</w:t>
      </w:r>
    </w:p>
    <w:p w:rsidR="009A098F" w:rsidRPr="00A53BDA" w:rsidRDefault="009A098F" w:rsidP="009A098F">
      <w:pPr>
        <w:tabs>
          <w:tab w:val="left" w:pos="993"/>
        </w:tabs>
        <w:spacing w:after="0" w:line="240" w:lineRule="auto"/>
        <w:ind w:firstLine="567"/>
        <w:jc w:val="both"/>
        <w:rPr>
          <w:rFonts w:ascii="Times New Roman" w:eastAsia="Times New Roman" w:hAnsi="Times New Roman" w:cs="Times New Roman"/>
          <w:sz w:val="28"/>
          <w:szCs w:val="28"/>
          <w:lang w:eastAsia="uk-UA"/>
        </w:rPr>
      </w:pPr>
      <w:r w:rsidRPr="00A53BDA">
        <w:rPr>
          <w:rFonts w:ascii="Times New Roman" w:eastAsia="Times New Roman" w:hAnsi="Times New Roman" w:cs="Times New Roman"/>
          <w:sz w:val="28"/>
          <w:szCs w:val="28"/>
          <w:lang w:eastAsia="uk-UA"/>
        </w:rPr>
        <w:t>З метою удосконалення та покращення роботи зі зверненнями громадян  керівниками структурних підрозділів та працівниками, які відповідають за розгляд звернень громадян, систематично надаються консультації громадянам.</w:t>
      </w:r>
    </w:p>
    <w:p w:rsidR="009A098F" w:rsidRPr="00A53BDA" w:rsidRDefault="009A098F" w:rsidP="009A098F">
      <w:pPr>
        <w:spacing w:after="0" w:line="240" w:lineRule="auto"/>
        <w:ind w:firstLine="567"/>
        <w:jc w:val="both"/>
        <w:rPr>
          <w:rFonts w:ascii="Times New Roman" w:eastAsia="Times New Roman" w:hAnsi="Times New Roman" w:cs="Times New Roman"/>
          <w:sz w:val="28"/>
          <w:szCs w:val="28"/>
          <w:lang w:eastAsia="ru-RU"/>
        </w:rPr>
      </w:pPr>
      <w:r w:rsidRPr="00A53BDA">
        <w:rPr>
          <w:rFonts w:ascii="Times New Roman" w:eastAsia="Times New Roman" w:hAnsi="Times New Roman" w:cs="Times New Roman"/>
          <w:sz w:val="28"/>
          <w:szCs w:val="28"/>
          <w:lang w:eastAsia="ru-RU"/>
        </w:rPr>
        <w:t>Значну увагу приділено дотриманню вимог чинного законодавства з розгляду звернень громадян, підвищенню рівня виконавської дисципліни щодо додержання строків розгляду звернень, персональної відповідальності посадових осіб щодо кваліфікованого, всебічного розгляду звернень та надання повних обґрунтованих відповідей із посиланням на норми законів та порядку оскарження прийнятих рішень.</w:t>
      </w:r>
    </w:p>
    <w:p w:rsidR="009A098F" w:rsidRPr="00A53BDA" w:rsidRDefault="009A098F" w:rsidP="009A098F">
      <w:pPr>
        <w:spacing w:after="0" w:line="240" w:lineRule="auto"/>
        <w:ind w:firstLine="567"/>
        <w:jc w:val="both"/>
        <w:rPr>
          <w:rFonts w:ascii="Times New Roman" w:eastAsia="Times New Roman" w:hAnsi="Times New Roman" w:cs="Times New Roman"/>
          <w:color w:val="000000"/>
          <w:sz w:val="28"/>
          <w:szCs w:val="28"/>
          <w:lang w:eastAsia="uk-UA"/>
        </w:rPr>
      </w:pPr>
      <w:r w:rsidRPr="00A53BDA">
        <w:rPr>
          <w:rFonts w:ascii="Times New Roman" w:eastAsia="Times New Roman" w:hAnsi="Times New Roman" w:cs="Times New Roman"/>
          <w:color w:val="000000"/>
          <w:sz w:val="28"/>
          <w:szCs w:val="28"/>
          <w:lang w:eastAsia="uk-UA"/>
        </w:rPr>
        <w:t xml:space="preserve">Водночас, приділено особливу увагу для розв’язання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  </w:t>
      </w:r>
    </w:p>
    <w:p w:rsidR="009A098F" w:rsidRPr="00A53BDA" w:rsidRDefault="009A098F" w:rsidP="009A098F">
      <w:pPr>
        <w:pStyle w:val="rvps2"/>
        <w:shd w:val="clear" w:color="auto" w:fill="FFFFFF"/>
        <w:spacing w:before="0" w:beforeAutospacing="0" w:after="0" w:afterAutospacing="0"/>
        <w:ind w:firstLine="450"/>
        <w:jc w:val="both"/>
        <w:rPr>
          <w:color w:val="000000"/>
          <w:sz w:val="28"/>
          <w:szCs w:val="28"/>
        </w:rPr>
      </w:pPr>
      <w:r>
        <w:rPr>
          <w:color w:val="000000"/>
          <w:sz w:val="28"/>
          <w:szCs w:val="28"/>
        </w:rPr>
        <w:t xml:space="preserve"> </w:t>
      </w:r>
      <w:r w:rsidRPr="00A53BDA">
        <w:rPr>
          <w:color w:val="000000"/>
          <w:sz w:val="28"/>
          <w:szCs w:val="28"/>
        </w:rPr>
        <w:t>На вимогу громадян, які звернулись до міністерства із заявою чи скаргою   забезпечено умови для участі їх у перевірці поданих ними заяв чи скарг, надано можливість знайомитися з матеріалами перевірок відповідних звернень.</w:t>
      </w:r>
    </w:p>
    <w:p w:rsidR="009A098F" w:rsidRPr="00AB50FA" w:rsidRDefault="009A098F" w:rsidP="009A09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uk-UA"/>
        </w:rPr>
      </w:pPr>
      <w:r w:rsidRPr="00A53BDA">
        <w:rPr>
          <w:rFonts w:ascii="Times New Roman" w:eastAsia="Times New Roman" w:hAnsi="Times New Roman" w:cs="Times New Roman"/>
          <w:color w:val="000000"/>
          <w:sz w:val="28"/>
          <w:szCs w:val="28"/>
          <w:lang w:eastAsia="uk-UA"/>
        </w:rPr>
        <w:t>Удосконалення роботи із зверненнями громадян та оперативне вирішення порушених в них питань перебувають на постійному контролі керівництва міністерства, як один із пріоритетних напрямів діяльності.</w:t>
      </w:r>
    </w:p>
    <w:p w:rsidR="009A098F" w:rsidRPr="00AB50FA" w:rsidRDefault="009A098F" w:rsidP="009A09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uk-UA"/>
        </w:rPr>
      </w:pPr>
    </w:p>
    <w:p w:rsidR="00551BB4" w:rsidRDefault="00551BB4"/>
    <w:sectPr w:rsidR="00551B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8F"/>
    <w:rsid w:val="00146E52"/>
    <w:rsid w:val="00273066"/>
    <w:rsid w:val="0051408E"/>
    <w:rsid w:val="0053735A"/>
    <w:rsid w:val="00551BB4"/>
    <w:rsid w:val="008B1AE8"/>
    <w:rsid w:val="009A098F"/>
    <w:rsid w:val="00B71BFF"/>
    <w:rsid w:val="00E776C7"/>
    <w:rsid w:val="00EF6E49"/>
    <w:rsid w:val="00FC2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09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A098F"/>
  </w:style>
  <w:style w:type="paragraph" w:styleId="a3">
    <w:name w:val="Balloon Text"/>
    <w:basedOn w:val="a"/>
    <w:link w:val="a4"/>
    <w:uiPriority w:val="99"/>
    <w:semiHidden/>
    <w:unhideWhenUsed/>
    <w:rsid w:val="009A09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09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A098F"/>
  </w:style>
  <w:style w:type="paragraph" w:styleId="a3">
    <w:name w:val="Balloon Text"/>
    <w:basedOn w:val="a"/>
    <w:link w:val="a4"/>
    <w:uiPriority w:val="99"/>
    <w:semiHidden/>
    <w:unhideWhenUsed/>
    <w:rsid w:val="009A09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200">
                <a:latin typeface="Times New Roman" panose="02020603050405020304" pitchFamily="18" charset="0"/>
                <a:cs typeface="Times New Roman" panose="02020603050405020304" pitchFamily="18" charset="0"/>
              </a:rPr>
              <a:t>Види звернень громадян, </a:t>
            </a:r>
          </a:p>
          <a:p>
            <a:pPr>
              <a:defRPr/>
            </a:pPr>
            <a:r>
              <a:rPr lang="uk-UA" sz="1200">
                <a:latin typeface="Times New Roman" panose="02020603050405020304" pitchFamily="18" charset="0"/>
                <a:cs typeface="Times New Roman" panose="02020603050405020304" pitchFamily="18" charset="0"/>
              </a:rPr>
              <a:t>що надійшли до</a:t>
            </a:r>
            <a:r>
              <a:rPr lang="uk-UA" sz="1200" baseline="0">
                <a:latin typeface="Times New Roman" panose="02020603050405020304" pitchFamily="18" charset="0"/>
                <a:cs typeface="Times New Roman" panose="02020603050405020304" pitchFamily="18" charset="0"/>
              </a:rPr>
              <a:t> Міндовкілля у 2023 році</a:t>
            </a:r>
            <a:endParaRPr lang="uk-UA" sz="1200">
              <a:latin typeface="Times New Roman" panose="02020603050405020304" pitchFamily="18" charset="0"/>
              <a:cs typeface="Times New Roman" panose="02020603050405020304" pitchFamily="18" charset="0"/>
            </a:endParaRPr>
          </a:p>
        </c:rich>
      </c:tx>
      <c:layout>
        <c:manualLayout>
          <c:xMode val="edge"/>
          <c:yMode val="edge"/>
          <c:x val="0.30278148642634622"/>
          <c:y val="0"/>
        </c:manualLayout>
      </c:layout>
      <c:overlay val="0"/>
    </c:title>
    <c:autoTitleDeleted val="0"/>
    <c:plotArea>
      <c:layout>
        <c:manualLayout>
          <c:layoutTarget val="inner"/>
          <c:xMode val="edge"/>
          <c:yMode val="edge"/>
          <c:x val="0.29698549102681965"/>
          <c:y val="0.18264951881014874"/>
          <c:w val="0.41489872141616818"/>
          <c:h val="0.81735048118985132"/>
        </c:manualLayout>
      </c:layout>
      <c:doughnutChart>
        <c:varyColors val="1"/>
        <c:ser>
          <c:idx val="0"/>
          <c:order val="0"/>
          <c:tx>
            <c:strRef>
              <c:f>Лист1!$B$1</c:f>
              <c:strCache>
                <c:ptCount val="1"/>
                <c:pt idx="0">
                  <c:v>Продажи</c:v>
                </c:pt>
              </c:strCache>
            </c:strRef>
          </c:tx>
          <c:dLbls>
            <c:dLbl>
              <c:idx val="0"/>
              <c:tx>
                <c:rich>
                  <a:bodyPr/>
                  <a:lstStyle/>
                  <a:p>
                    <a:r>
                      <a:rPr lang="en-US"/>
                      <a:t>74,85%</a:t>
                    </a:r>
                  </a:p>
                </c:rich>
              </c:tx>
              <c:showLegendKey val="0"/>
              <c:showVal val="1"/>
              <c:showCatName val="0"/>
              <c:showSerName val="0"/>
              <c:showPercent val="1"/>
              <c:showBubbleSize val="0"/>
            </c:dLbl>
            <c:dLbl>
              <c:idx val="1"/>
              <c:tx>
                <c:rich>
                  <a:bodyPr/>
                  <a:lstStyle/>
                  <a:p>
                    <a:r>
                      <a:rPr lang="en-US"/>
                      <a:t>5,74</a:t>
                    </a:r>
                    <a:r>
                      <a:rPr lang="uk-UA"/>
                      <a:t>%</a:t>
                    </a:r>
                    <a:endParaRPr lang="en-US"/>
                  </a:p>
                </c:rich>
              </c:tx>
              <c:showLegendKey val="0"/>
              <c:showVal val="1"/>
              <c:showCatName val="0"/>
              <c:showSerName val="0"/>
              <c:showPercent val="1"/>
              <c:showBubbleSize val="0"/>
            </c:dLbl>
            <c:dLbl>
              <c:idx val="2"/>
              <c:tx>
                <c:rich>
                  <a:bodyPr/>
                  <a:lstStyle/>
                  <a:p>
                    <a:r>
                      <a:rPr lang="en-US"/>
                      <a:t>19,42</a:t>
                    </a:r>
                    <a:r>
                      <a:rPr lang="uk-UA"/>
                      <a:t>%</a:t>
                    </a:r>
                    <a:endParaRPr lang="en-US"/>
                  </a:p>
                </c:rich>
              </c:tx>
              <c:showLegendKey val="0"/>
              <c:showVal val="1"/>
              <c:showCatName val="0"/>
              <c:showSerName val="0"/>
              <c:showPercent val="1"/>
              <c:showBubbleSize val="0"/>
            </c:dLbl>
            <c:showLegendKey val="0"/>
            <c:showVal val="1"/>
            <c:showCatName val="0"/>
            <c:showSerName val="0"/>
            <c:showPercent val="1"/>
            <c:showBubbleSize val="0"/>
            <c:showLeaderLines val="1"/>
          </c:dLbls>
          <c:cat>
            <c:strRef>
              <c:f>Лист1!$A$2:$A$4</c:f>
              <c:strCache>
                <c:ptCount val="3"/>
                <c:pt idx="0">
                  <c:v>Заяви, клопотання</c:v>
                </c:pt>
                <c:pt idx="1">
                  <c:v>Пропозиції</c:v>
                </c:pt>
                <c:pt idx="2">
                  <c:v>Скарги</c:v>
                </c:pt>
              </c:strCache>
            </c:strRef>
          </c:cat>
          <c:val>
            <c:numRef>
              <c:f>Лист1!$B$2:$B$4</c:f>
              <c:numCache>
                <c:formatCode>General</c:formatCode>
                <c:ptCount val="3"/>
                <c:pt idx="0">
                  <c:v>74.849999999999994</c:v>
                </c:pt>
                <c:pt idx="1">
                  <c:v>5.74</c:v>
                </c:pt>
                <c:pt idx="2">
                  <c:v>19.420000000000002</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48506673632621"/>
          <c:y val="2.607076350093112E-2"/>
          <c:w val="0.84775192496672513"/>
          <c:h val="0.44219525525411019"/>
        </c:manualLayout>
      </c:layout>
      <c:barChart>
        <c:barDir val="col"/>
        <c:grouping val="clustered"/>
        <c:varyColors val="0"/>
        <c:ser>
          <c:idx val="0"/>
          <c:order val="0"/>
          <c:tx>
            <c:strRef>
              <c:f>Лист1!$B$1</c:f>
              <c:strCache>
                <c:ptCount val="1"/>
                <c:pt idx="0">
                  <c:v>Звернення громадян у розрізі регіонів</c:v>
                </c:pt>
              </c:strCache>
            </c:strRef>
          </c:tx>
          <c:invertIfNegative val="0"/>
          <c:cat>
            <c:strRef>
              <c:f>Лист1!$A$2:$A$28</c:f>
              <c:strCache>
                <c:ptCount val="27"/>
                <c:pt idx="0">
                  <c:v>Автономна Республіка Крим</c:v>
                </c:pt>
                <c:pt idx="1">
                  <c:v>Вінницька область</c:v>
                </c:pt>
                <c:pt idx="2">
                  <c:v>Волинська область</c:v>
                </c:pt>
                <c:pt idx="3">
                  <c:v>Дніпропетровська область</c:v>
                </c:pt>
                <c:pt idx="4">
                  <c:v>Донецька область</c:v>
                </c:pt>
                <c:pt idx="5">
                  <c:v>Житомирська область</c:v>
                </c:pt>
                <c:pt idx="6">
                  <c:v>Закарпатська область</c:v>
                </c:pt>
                <c:pt idx="7">
                  <c:v>Запорізька область</c:v>
                </c:pt>
                <c:pt idx="8">
                  <c:v>Івано-Франківська область</c:v>
                </c:pt>
                <c:pt idx="9">
                  <c:v>Київська область</c:v>
                </c:pt>
                <c:pt idx="10">
                  <c:v>Кіровоградська область</c:v>
                </c:pt>
                <c:pt idx="11">
                  <c:v>Луганська область</c:v>
                </c:pt>
                <c:pt idx="12">
                  <c:v>Львівська область</c:v>
                </c:pt>
                <c:pt idx="13">
                  <c:v>Миколаївська область</c:v>
                </c:pt>
                <c:pt idx="14">
                  <c:v>Одеська область</c:v>
                </c:pt>
                <c:pt idx="15">
                  <c:v>Полтавська область</c:v>
                </c:pt>
                <c:pt idx="16">
                  <c:v>Рівненська область</c:v>
                </c:pt>
                <c:pt idx="17">
                  <c:v>Сумська область</c:v>
                </c:pt>
                <c:pt idx="18">
                  <c:v>Тернопільська область</c:v>
                </c:pt>
                <c:pt idx="19">
                  <c:v>Харківська область</c:v>
                </c:pt>
                <c:pt idx="20">
                  <c:v>Херсонська область</c:v>
                </c:pt>
                <c:pt idx="21">
                  <c:v>Хмельницька область</c:v>
                </c:pt>
                <c:pt idx="22">
                  <c:v>Черкаська область</c:v>
                </c:pt>
                <c:pt idx="23">
                  <c:v>Чернівецька область</c:v>
                </c:pt>
                <c:pt idx="24">
                  <c:v>Чернігівська область</c:v>
                </c:pt>
                <c:pt idx="25">
                  <c:v>м. Київ</c:v>
                </c:pt>
                <c:pt idx="26">
                  <c:v>Регіон не вказано</c:v>
                </c:pt>
              </c:strCache>
            </c:strRef>
          </c:cat>
          <c:val>
            <c:numRef>
              <c:f>Лист1!$B$2:$B$28</c:f>
              <c:numCache>
                <c:formatCode>General</c:formatCode>
                <c:ptCount val="27"/>
                <c:pt idx="0">
                  <c:v>0</c:v>
                </c:pt>
                <c:pt idx="1">
                  <c:v>50</c:v>
                </c:pt>
                <c:pt idx="2">
                  <c:v>30</c:v>
                </c:pt>
                <c:pt idx="3">
                  <c:v>236</c:v>
                </c:pt>
                <c:pt idx="4">
                  <c:v>5</c:v>
                </c:pt>
                <c:pt idx="5">
                  <c:v>197</c:v>
                </c:pt>
                <c:pt idx="6">
                  <c:v>69</c:v>
                </c:pt>
                <c:pt idx="7">
                  <c:v>88</c:v>
                </c:pt>
                <c:pt idx="8">
                  <c:v>89</c:v>
                </c:pt>
                <c:pt idx="9">
                  <c:v>143</c:v>
                </c:pt>
                <c:pt idx="10">
                  <c:v>29</c:v>
                </c:pt>
                <c:pt idx="11">
                  <c:v>3</c:v>
                </c:pt>
                <c:pt idx="12">
                  <c:v>100</c:v>
                </c:pt>
                <c:pt idx="13">
                  <c:v>15</c:v>
                </c:pt>
                <c:pt idx="14">
                  <c:v>56</c:v>
                </c:pt>
                <c:pt idx="15">
                  <c:v>107</c:v>
                </c:pt>
                <c:pt idx="16">
                  <c:v>36</c:v>
                </c:pt>
                <c:pt idx="17">
                  <c:v>34</c:v>
                </c:pt>
                <c:pt idx="18">
                  <c:v>20</c:v>
                </c:pt>
                <c:pt idx="19">
                  <c:v>81</c:v>
                </c:pt>
                <c:pt idx="20">
                  <c:v>14</c:v>
                </c:pt>
                <c:pt idx="21">
                  <c:v>25</c:v>
                </c:pt>
                <c:pt idx="22">
                  <c:v>40</c:v>
                </c:pt>
                <c:pt idx="23">
                  <c:v>3</c:v>
                </c:pt>
                <c:pt idx="24">
                  <c:v>47</c:v>
                </c:pt>
                <c:pt idx="25">
                  <c:v>352</c:v>
                </c:pt>
                <c:pt idx="26">
                  <c:v>83</c:v>
                </c:pt>
              </c:numCache>
            </c:numRef>
          </c:val>
        </c:ser>
        <c:dLbls>
          <c:showLegendKey val="0"/>
          <c:showVal val="1"/>
          <c:showCatName val="0"/>
          <c:showSerName val="0"/>
          <c:showPercent val="0"/>
          <c:showBubbleSize val="0"/>
        </c:dLbls>
        <c:gapWidth val="150"/>
        <c:overlap val="-25"/>
        <c:axId val="259394560"/>
        <c:axId val="206386816"/>
      </c:barChart>
      <c:catAx>
        <c:axId val="259394560"/>
        <c:scaling>
          <c:orientation val="minMax"/>
        </c:scaling>
        <c:delete val="0"/>
        <c:axPos val="b"/>
        <c:numFmt formatCode="General" sourceLinked="1"/>
        <c:majorTickMark val="none"/>
        <c:minorTickMark val="none"/>
        <c:tickLblPos val="nextTo"/>
        <c:txPr>
          <a:bodyPr/>
          <a:lstStyle/>
          <a:p>
            <a:pPr>
              <a:defRPr sz="800"/>
            </a:pPr>
            <a:endParaRPr lang="uk-UA"/>
          </a:p>
        </c:txPr>
        <c:crossAx val="206386816"/>
        <c:crosses val="autoZero"/>
        <c:auto val="1"/>
        <c:lblAlgn val="ctr"/>
        <c:lblOffset val="100"/>
        <c:noMultiLvlLbl val="0"/>
      </c:catAx>
      <c:valAx>
        <c:axId val="206386816"/>
        <c:scaling>
          <c:orientation val="minMax"/>
        </c:scaling>
        <c:delete val="1"/>
        <c:axPos val="l"/>
        <c:numFmt formatCode="General" sourceLinked="1"/>
        <c:majorTickMark val="out"/>
        <c:minorTickMark val="none"/>
        <c:tickLblPos val="nextTo"/>
        <c:crossAx val="2593945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77</TotalTime>
  <Pages>4</Pages>
  <Words>5190</Words>
  <Characters>2959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Марина Миколаївна</dc:creator>
  <cp:lastModifiedBy>НОСКОВА Марина Миколаївна</cp:lastModifiedBy>
  <cp:revision>12</cp:revision>
  <dcterms:created xsi:type="dcterms:W3CDTF">2024-01-24T08:33:00Z</dcterms:created>
  <dcterms:modified xsi:type="dcterms:W3CDTF">2024-01-31T11:32:00Z</dcterms:modified>
</cp:coreProperties>
</file>