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highlight w:val="white"/>
        </w:rPr>
      </w:pPr>
      <w:r w:rsidDel="00000000" w:rsidR="00000000" w:rsidRPr="00000000">
        <w:rPr>
          <w:b w:val="1"/>
          <w:highlight w:val="white"/>
          <w:rtl w:val="0"/>
        </w:rPr>
        <w:t xml:space="preserve">The Recovery and Reform</w:t>
      </w:r>
      <w:r w:rsidDel="00000000" w:rsidR="00000000" w:rsidRPr="00000000">
        <w:rPr>
          <w:rFonts w:ascii="Calibri" w:cs="Calibri" w:eastAsia="Calibri" w:hAnsi="Calibri"/>
          <w:b w:val="1"/>
          <w:highlight w:val="white"/>
          <w:rtl w:val="0"/>
        </w:rPr>
        <w:t xml:space="preserve"> Support Team at </w:t>
      </w:r>
      <w:r w:rsidDel="00000000" w:rsidR="00000000" w:rsidRPr="00000000">
        <w:rPr>
          <w:b w:val="1"/>
          <w:highlight w:val="white"/>
          <w:rtl w:val="0"/>
        </w:rPr>
        <w:t xml:space="preserve">the Ministry of Environmental Protection and Natural Resources of Ukraine</w:t>
      </w:r>
      <w:r w:rsidDel="00000000" w:rsidR="00000000" w:rsidRPr="00000000">
        <w:rPr>
          <w:rFonts w:ascii="Calibri" w:cs="Calibri" w:eastAsia="Calibri" w:hAnsi="Calibri"/>
          <w:b w:val="1"/>
          <w:highlight w:val="white"/>
          <w:rtl w:val="0"/>
        </w:rPr>
        <w:t xml:space="preserve"> is looking for </w:t>
      </w:r>
      <w:r w:rsidDel="00000000" w:rsidR="00000000" w:rsidRPr="00000000">
        <w:rPr>
          <w:b w:val="1"/>
          <w:highlight w:val="white"/>
          <w:rtl w:val="0"/>
        </w:rPr>
        <w:t xml:space="preserve">the </w:t>
      </w:r>
      <w:r w:rsidDel="00000000" w:rsidR="00000000" w:rsidRPr="00000000">
        <w:rPr>
          <w:b w:val="1"/>
          <w:highlight w:val="white"/>
          <w:rtl w:val="0"/>
        </w:rPr>
        <w:t xml:space="preserve">Expert, Assessment</w:t>
      </w:r>
      <w:r w:rsidDel="00000000" w:rsidR="00000000" w:rsidRPr="00000000">
        <w:rPr>
          <w:b w:val="1"/>
          <w:highlight w:val="white"/>
          <w:rtl w:val="0"/>
        </w:rPr>
        <w:t xml:space="preserve"> of Environmental Damage from the Consequences of War</w:t>
      </w:r>
      <w:r w:rsidDel="00000000" w:rsidR="00000000" w:rsidRPr="00000000">
        <w:rPr>
          <w:rFonts w:ascii="Calibri" w:cs="Calibri" w:eastAsia="Calibri" w:hAnsi="Calibri"/>
          <w:b w:val="1"/>
          <w:highlight w:val="white"/>
          <w:rtl w:val="0"/>
        </w:rPr>
        <w:t xml:space="preserve">.</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The Recovery and Reform Support Team (RST) at the Ministry of Environmental Protection and Natural Resources of Ukraine (MEPNR) provides targeted technical support and assists the MEPNR in the design and implementation of recovery and reform priorities by filling the capacity gaps in the design and implementation of priority reform strategies and programmes, while strengthening links and partnerships between the MEPNR and relevant donor support. RST experts shall assist the MEPNR in ensuring coordination and complementarity between RST and other relevant technical assistance projects.</w:t>
      </w:r>
    </w:p>
    <w:p w:rsidR="00000000" w:rsidDel="00000000" w:rsidP="00000000" w:rsidRDefault="00000000" w:rsidRPr="00000000" w14:paraId="00000003">
      <w:pPr>
        <w:tabs>
          <w:tab w:val="left" w:leader="none" w:pos="1985"/>
        </w:tabs>
        <w:spacing w:after="0" w:line="240" w:lineRule="auto"/>
        <w:jc w:val="both"/>
        <w:rPr/>
      </w:pPr>
      <w:r w:rsidDel="00000000" w:rsidR="00000000" w:rsidRPr="00000000">
        <w:rPr>
          <w:rtl w:val="0"/>
        </w:rPr>
        <w:t xml:space="preserve">Ukraine’s natural environment has suffered significant damage as a result of the ongoing war. Reform of the environmental sector will play a critical role in enabling the recovery of Ukraine’s natural ecosystems. Internationally recognised methodologies for assessing the impact of war on the environment and assessment results will contribute to comprehensive reforms and help ensure expedited, effective and environmentally responsible recovery.</w:t>
      </w:r>
    </w:p>
    <w:p w:rsidR="00000000" w:rsidDel="00000000" w:rsidP="00000000" w:rsidRDefault="00000000" w:rsidRPr="00000000" w14:paraId="00000004">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5">
      <w:pPr>
        <w:spacing w:after="0" w:line="240" w:lineRule="auto"/>
        <w:ind w:left="0" w:firstLine="0"/>
        <w:jc w:val="both"/>
        <w:rPr/>
      </w:pPr>
      <w:bookmarkStart w:colFirst="0" w:colLast="0" w:name="_heading=h.1fob9te" w:id="0"/>
      <w:bookmarkEnd w:id="0"/>
      <w:r w:rsidDel="00000000" w:rsidR="00000000" w:rsidRPr="00000000">
        <w:rPr>
          <w:rtl w:val="0"/>
        </w:rPr>
        <w:t xml:space="preserve">Main duties and responsibilities of the </w:t>
      </w:r>
      <w:r w:rsidDel="00000000" w:rsidR="00000000" w:rsidRPr="00000000">
        <w:rPr>
          <w:highlight w:val="white"/>
          <w:rtl w:val="0"/>
        </w:rPr>
        <w:t xml:space="preserve">Expert, Assessment of Environmental Damage from the Consequences of War</w:t>
      </w:r>
      <w:r w:rsidDel="00000000" w:rsidR="00000000" w:rsidRPr="00000000">
        <w:rPr>
          <w:rtl w:val="0"/>
        </w:rPr>
        <w:t xml:space="preserve"> will be: </w:t>
      </w:r>
    </w:p>
    <w:p w:rsidR="00000000" w:rsidDel="00000000" w:rsidP="00000000" w:rsidRDefault="00000000" w:rsidRPr="00000000" w14:paraId="00000006">
      <w:pPr>
        <w:spacing w:after="0" w:line="240" w:lineRule="auto"/>
        <w:ind w:left="0" w:firstLine="0"/>
        <w:jc w:val="both"/>
        <w:rPr/>
      </w:pPr>
      <w:bookmarkStart w:colFirst="0" w:colLast="0" w:name="_heading=h.rxvjjxwy4m0f" w:id="1"/>
      <w:bookmarkEnd w:id="1"/>
      <w:r w:rsidDel="00000000" w:rsidR="00000000" w:rsidRPr="00000000">
        <w:rPr>
          <w:rtl w:val="0"/>
        </w:rPr>
      </w:r>
    </w:p>
    <w:p w:rsidR="00000000" w:rsidDel="00000000" w:rsidP="00000000" w:rsidRDefault="00000000" w:rsidRPr="00000000" w14:paraId="00000007">
      <w:pPr>
        <w:numPr>
          <w:ilvl w:val="0"/>
          <w:numId w:val="1"/>
        </w:numPr>
        <w:tabs>
          <w:tab w:val="left" w:leader="none" w:pos="1985"/>
        </w:tabs>
        <w:spacing w:after="0" w:line="240" w:lineRule="auto"/>
        <w:ind w:left="720" w:hanging="360"/>
        <w:jc w:val="both"/>
      </w:pPr>
      <w:r w:rsidDel="00000000" w:rsidR="00000000" w:rsidRPr="00000000">
        <w:rPr>
          <w:rtl w:val="0"/>
        </w:rPr>
        <w:t xml:space="preserve">Preparation of analytical materials, recommendations, and amendments to regulatory acts on environmental damage assessment, as well as facilitation of the process of preparing such materials.</w:t>
      </w:r>
    </w:p>
    <w:p w:rsidR="00000000" w:rsidDel="00000000" w:rsidP="00000000" w:rsidRDefault="00000000" w:rsidRPr="00000000" w14:paraId="00000008">
      <w:pPr>
        <w:numPr>
          <w:ilvl w:val="0"/>
          <w:numId w:val="1"/>
        </w:numPr>
        <w:tabs>
          <w:tab w:val="left" w:leader="none" w:pos="1985"/>
        </w:tabs>
        <w:spacing w:after="0" w:line="240" w:lineRule="auto"/>
        <w:ind w:left="720" w:hanging="360"/>
        <w:jc w:val="both"/>
      </w:pPr>
      <w:r w:rsidDel="00000000" w:rsidR="00000000" w:rsidRPr="00000000">
        <w:rPr>
          <w:rtl w:val="0"/>
        </w:rPr>
        <w:t xml:space="preserve">Development of a generalised methodology for collecting and preserving evidence in the context of environmental damage caused by the armed aggression of the Russian Federation, which defines step-by-step interaction between the State Environmental Inspectorate of Ukraine, the Office of the Prosecutor General of Ukraine, the Ministry of Defence of Ukraine, and the Ministry of Justice of Ukraine.</w:t>
      </w:r>
    </w:p>
    <w:p w:rsidR="00000000" w:rsidDel="00000000" w:rsidP="00000000" w:rsidRDefault="00000000" w:rsidRPr="00000000" w14:paraId="00000009">
      <w:pPr>
        <w:numPr>
          <w:ilvl w:val="0"/>
          <w:numId w:val="1"/>
        </w:numPr>
        <w:tabs>
          <w:tab w:val="left" w:leader="none" w:pos="1985"/>
        </w:tabs>
        <w:spacing w:after="0" w:line="240" w:lineRule="auto"/>
        <w:ind w:left="720" w:hanging="360"/>
        <w:jc w:val="both"/>
      </w:pPr>
      <w:r w:rsidDel="00000000" w:rsidR="00000000" w:rsidRPr="00000000">
        <w:rPr>
          <w:rtl w:val="0"/>
        </w:rPr>
        <w:t xml:space="preserve">Supporting and assisting the Ministry in processing the recommendations provided by the International Working Group on the Environmental Consequences of War, as defined by the Environmental Compact for Ukraine.</w:t>
      </w:r>
    </w:p>
    <w:p w:rsidR="00000000" w:rsidDel="00000000" w:rsidP="00000000" w:rsidRDefault="00000000" w:rsidRPr="00000000" w14:paraId="0000000A">
      <w:pPr>
        <w:numPr>
          <w:ilvl w:val="0"/>
          <w:numId w:val="1"/>
        </w:numPr>
        <w:tabs>
          <w:tab w:val="left" w:leader="none" w:pos="1985"/>
        </w:tabs>
        <w:spacing w:after="0" w:line="240" w:lineRule="auto"/>
        <w:ind w:left="720" w:hanging="360"/>
        <w:jc w:val="both"/>
      </w:pPr>
      <w:r w:rsidDel="00000000" w:rsidR="00000000" w:rsidRPr="00000000">
        <w:rPr>
          <w:rtl w:val="0"/>
        </w:rPr>
        <w:t xml:space="preserve">Provide coordination and technical support to national and international stakeholders and partners identified by the Ministry on the assessment of environmental damage caused by the war and identification of environmental restoration needs (conduct and support consultations, workshops, public and training events).</w:t>
      </w:r>
    </w:p>
    <w:p w:rsidR="00000000" w:rsidDel="00000000" w:rsidP="00000000" w:rsidRDefault="00000000" w:rsidRPr="00000000" w14:paraId="0000000B">
      <w:pPr>
        <w:numPr>
          <w:ilvl w:val="0"/>
          <w:numId w:val="1"/>
        </w:numPr>
        <w:tabs>
          <w:tab w:val="left" w:leader="none" w:pos="1985"/>
        </w:tabs>
        <w:spacing w:after="0" w:line="240" w:lineRule="auto"/>
        <w:ind w:left="720" w:hanging="360"/>
        <w:jc w:val="both"/>
      </w:pPr>
      <w:r w:rsidDel="00000000" w:rsidR="00000000" w:rsidRPr="00000000">
        <w:rPr>
          <w:rtl w:val="0"/>
        </w:rPr>
        <w:t xml:space="preserve">Support and facilitate the launch of a global platform for the assessment of environmental damage caused by war, initiated by the Ministry, work on the implementation of the initiative announced by the Ministry of Environment in 2022 at the COP27 and prepare a new initiative for the COP29.</w:t>
      </w:r>
    </w:p>
    <w:p w:rsidR="00000000" w:rsidDel="00000000" w:rsidP="00000000" w:rsidRDefault="00000000" w:rsidRPr="00000000" w14:paraId="0000000C">
      <w:pPr>
        <w:numPr>
          <w:ilvl w:val="0"/>
          <w:numId w:val="1"/>
        </w:numPr>
        <w:tabs>
          <w:tab w:val="left" w:leader="none" w:pos="1985"/>
        </w:tabs>
        <w:spacing w:after="0" w:line="240" w:lineRule="auto"/>
        <w:ind w:left="720" w:hanging="360"/>
        <w:jc w:val="both"/>
      </w:pPr>
      <w:r w:rsidDel="00000000" w:rsidR="00000000" w:rsidRPr="00000000">
        <w:rPr>
          <w:rtl w:val="0"/>
        </w:rPr>
        <w:t xml:space="preserve">Collecting, systematising and updating data on environmental damage caused by the war, preparing analytical materials, infographics, etc.</w:t>
      </w:r>
    </w:p>
    <w:p w:rsidR="00000000" w:rsidDel="00000000" w:rsidP="00000000" w:rsidRDefault="00000000" w:rsidRPr="00000000" w14:paraId="0000000D">
      <w:pPr>
        <w:numPr>
          <w:ilvl w:val="0"/>
          <w:numId w:val="1"/>
        </w:numPr>
        <w:tabs>
          <w:tab w:val="left" w:leader="none" w:pos="1985"/>
        </w:tabs>
        <w:spacing w:after="0" w:line="240" w:lineRule="auto"/>
        <w:ind w:left="720" w:hanging="360"/>
        <w:jc w:val="both"/>
      </w:pPr>
      <w:r w:rsidDel="00000000" w:rsidR="00000000" w:rsidRPr="00000000">
        <w:rPr>
          <w:rtl w:val="0"/>
        </w:rPr>
        <w:t xml:space="preserve">Preparation of timely and high-quality reports and updates on the progress of the environmental damage assessment and compensation, and contribute to international collaboration in this regard.</w:t>
      </w:r>
    </w:p>
    <w:p w:rsidR="00000000" w:rsidDel="00000000" w:rsidP="00000000" w:rsidRDefault="00000000" w:rsidRPr="00000000" w14:paraId="0000000E">
      <w:pPr>
        <w:numPr>
          <w:ilvl w:val="0"/>
          <w:numId w:val="1"/>
        </w:numPr>
        <w:tabs>
          <w:tab w:val="left" w:leader="none" w:pos="1985"/>
        </w:tabs>
        <w:spacing w:after="0" w:line="240" w:lineRule="auto"/>
        <w:ind w:left="720" w:hanging="360"/>
        <w:jc w:val="both"/>
      </w:pPr>
      <w:r w:rsidDel="00000000" w:rsidR="00000000" w:rsidRPr="00000000">
        <w:rPr>
          <w:rtl w:val="0"/>
        </w:rPr>
        <w:t xml:space="preserve">Assist the Ministry with translation of documents related to environmental damage from the consequences of war.</w:t>
      </w:r>
    </w:p>
    <w:p w:rsidR="00000000" w:rsidDel="00000000" w:rsidP="00000000" w:rsidRDefault="00000000" w:rsidRPr="00000000" w14:paraId="0000000F">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spacing w:after="0" w:line="240" w:lineRule="auto"/>
        <w:jc w:val="both"/>
        <w:rPr/>
      </w:pPr>
      <w:bookmarkStart w:colFirst="0" w:colLast="0" w:name="_heading=h.gjdgxs" w:id="2"/>
      <w:bookmarkEnd w:id="2"/>
      <w:r w:rsidDel="00000000" w:rsidR="00000000" w:rsidRPr="00000000">
        <w:rPr>
          <w:rtl w:val="0"/>
        </w:rPr>
        <w:t xml:space="preserve">The initial consultancy assignment is expected to start in April 2024 and has an estimated duration of 17 months. This assignment has an opportunity for extension, subject to the availability of donor funding, consultant’s performance, and the specific needs of the RST. The probation period is two months.</w:t>
      </w:r>
    </w:p>
    <w:p w:rsidR="00000000" w:rsidDel="00000000" w:rsidP="00000000" w:rsidRDefault="00000000" w:rsidRPr="00000000" w14:paraId="00000011">
      <w:pPr>
        <w:spacing w:after="0" w:line="240" w:lineRule="auto"/>
        <w:jc w:val="both"/>
        <w:rPr/>
      </w:pPr>
      <w:bookmarkStart w:colFirst="0" w:colLast="0" w:name="_heading=h.cyhhidmfzj1j" w:id="3"/>
      <w:bookmarkEnd w:id="3"/>
      <w:r w:rsidDel="00000000" w:rsidR="00000000" w:rsidRPr="00000000">
        <w:rPr>
          <w:rtl w:val="0"/>
        </w:rPr>
      </w:r>
    </w:p>
    <w:p w:rsidR="00000000" w:rsidDel="00000000" w:rsidP="00000000" w:rsidRDefault="00000000" w:rsidRPr="00000000" w14:paraId="00000012">
      <w:pPr>
        <w:spacing w:after="96.00000000000001" w:line="240" w:lineRule="auto"/>
        <w:ind w:right="-90"/>
        <w:jc w:val="both"/>
        <w:rPr/>
      </w:pPr>
      <w:r w:rsidDel="00000000" w:rsidR="00000000" w:rsidRPr="00000000">
        <w:rPr>
          <w:rtl w:val="0"/>
        </w:rP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March 20, 2024, 23:59 (Kyiv time) to the following address: </w:t>
      </w:r>
      <w:hyperlink r:id="rId7">
        <w:r w:rsidDel="00000000" w:rsidR="00000000" w:rsidRPr="00000000">
          <w:rPr>
            <w:color w:val="1155cc"/>
            <w:u w:val="single"/>
            <w:rtl w:val="0"/>
          </w:rPr>
          <w:t xml:space="preserve">rst.mepr@gmail.com</w:t>
        </w:r>
      </w:hyperlink>
      <w:r w:rsidDel="00000000" w:rsidR="00000000" w:rsidRPr="00000000">
        <w:rPr>
          <w:rtl w:val="0"/>
        </w:rPr>
        <w:t xml:space="preserve">. Candidates who submit an incomplete package of documents will not be considered. </w:t>
      </w:r>
    </w:p>
    <w:p w:rsidR="00000000" w:rsidDel="00000000" w:rsidP="00000000" w:rsidRDefault="00000000" w:rsidRPr="00000000" w14:paraId="00000013">
      <w:pPr>
        <w:spacing w:after="96.00000000000001" w:line="240" w:lineRule="auto"/>
        <w:ind w:right="-90"/>
        <w:rPr/>
      </w:pPr>
      <w:r w:rsidDel="00000000" w:rsidR="00000000" w:rsidRPr="00000000">
        <w:rPr>
          <w:rtl w:val="0"/>
        </w:rPr>
        <w:t xml:space="preserve">Only short-listed applicants will be invited to the written test and interview. </w:t>
      </w:r>
    </w:p>
    <w:p w:rsidR="00000000" w:rsidDel="00000000" w:rsidP="00000000" w:rsidRDefault="00000000" w:rsidRPr="00000000" w14:paraId="00000014">
      <w:pPr>
        <w:spacing w:after="240" w:before="240" w:lineRule="auto"/>
        <w:ind w:right="-90"/>
        <w:rPr/>
      </w:pPr>
      <w:r w:rsidDel="00000000" w:rsidR="00000000" w:rsidRPr="00000000">
        <w:rPr>
          <w:rtl w:val="0"/>
        </w:rPr>
        <w:t xml:space="preserve">The detailed Terms of Reference can be found below.</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0" w:line="240" w:lineRule="auto"/>
        <w:ind w:right="-90"/>
        <w:rPr/>
      </w:pPr>
      <w:r w:rsidDel="00000000" w:rsidR="00000000" w:rsidRPr="00000000">
        <w:rPr>
          <w:rtl w:val="0"/>
        </w:rPr>
      </w:r>
    </w:p>
    <w:p w:rsidR="00000000" w:rsidDel="00000000" w:rsidP="00000000" w:rsidRDefault="00000000" w:rsidRPr="00000000" w14:paraId="00000019">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t.mep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eGCP8Lt8N9CkSVoHp8ganQsTw==">CgMxLjAyCWguMWZvYjl0ZTIOaC5yeHZqanh3eTRtMGYyCGguZ2pkZ3hzMg5oLmN5aGhpZG1memoxajgAciExZzdiQ3E2YjRPY0tQZkxGZk50cEVmODJRZmJrXzYxSHk=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y fmtid="{D5CDD505-2E9C-101B-9397-08002B2CF9AE}" pid="7" name="bjDocumentLabelXML-0">
    <vt:lpwstr>ames.com/2008/01/sie/internal/label"&gt;&lt;element uid="9c87da95-7b2f-439f-bfd9-321fc51f6870" value="" /&gt;&lt;element uid="214105f6-acd4-485a-afa0-a0b988f7534c" value="" /&gt;&lt;/sisl&gt;</vt:lpwstr>
  </property>
  <property fmtid="{D5CDD505-2E9C-101B-9397-08002B2CF9AE}" pid="8" name="bjDocumentSecurityLabel">
    <vt:lpwstr>NON-BANK USE</vt:lpwstr>
  </property>
  <property fmtid="{D5CDD505-2E9C-101B-9397-08002B2CF9AE}" pid="9" name="docIndexRef">
    <vt:lpwstr>37bbd4c1-49fe-4e95-8bf3-6e3b27f4fd14</vt:lpwstr>
  </property>
  <property fmtid="{D5CDD505-2E9C-101B-9397-08002B2CF9AE}" pid="10" name="bjSaver">
    <vt:lpwstr>jNVazOmbWstbFCE5y2QVOLvhavx6YHsz</vt:lpwstr>
  </property>
  <property fmtid="{D5CDD505-2E9C-101B-9397-08002B2CF9AE}" pid="11"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12" name="bjDocumentLabelXML-0">
    <vt:lpwstr>ames.com/2008/01/sie/internal/label"&gt;&lt;element uid="9c87da95-7b2f-439f-bfd9-321fc51f6870" value="" /&gt;&lt;element uid="214105f6-acd4-485a-afa0-a0b988f7534c" value="" /&gt;&lt;/sisl&gt;</vt:lpwstr>
  </property>
  <property fmtid="{D5CDD505-2E9C-101B-9397-08002B2CF9AE}" pid="13" name="bjDocumentSecurityLabel">
    <vt:lpwstr>NON-BANK USE</vt:lpwstr>
  </property>
  <property fmtid="{D5CDD505-2E9C-101B-9397-08002B2CF9AE}" pid="14" name="docIndexRef">
    <vt:lpwstr>37bbd4c1-49fe-4e95-8bf3-6e3b27f4fd14</vt:lpwstr>
  </property>
  <property fmtid="{D5CDD505-2E9C-101B-9397-08002B2CF9AE}" pid="15" name="bjSaver">
    <vt:lpwstr>jNVazOmbWstbFCE5y2QVOLvhavx6YHsz</vt:lpwstr>
  </property>
  <property fmtid="{D5CDD505-2E9C-101B-9397-08002B2CF9AE}" pid="16" name="bjDocumentLabelXML">
    <vt:lpwstr>&lt;?xml version="1.0" encoding="us-ascii"?&gt;&lt;sisl xmlns:xsi="http://www.w3.org/2001/XMLSchema-instance" xmlns:xsd="http://www.w3.org/2001/XMLSchema" sislVersion="0" policy="1d45786f-a737-4735-8af6-df12fb6939a2" origin="userSelected" xmlns="http://www.boldonj</vt:lpwstr>
  </property>
</Properties>
</file>