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rPr>
          <w:rFonts w:ascii="Calibri" w:cs="Calibri" w:eastAsia="Calibri" w:hAnsi="Calibri"/>
          <w:highlight w:val="white"/>
        </w:rPr>
      </w:pPr>
      <w:r w:rsidDel="00000000" w:rsidR="00000000" w:rsidRPr="00000000">
        <w:rPr>
          <w:b w:val="1"/>
          <w:highlight w:val="white"/>
          <w:rtl w:val="0"/>
        </w:rPr>
        <w:t xml:space="preserve">The Recovery and Reform</w:t>
      </w:r>
      <w:r w:rsidDel="00000000" w:rsidR="00000000" w:rsidRPr="00000000">
        <w:rPr>
          <w:rFonts w:ascii="Calibri" w:cs="Calibri" w:eastAsia="Calibri" w:hAnsi="Calibri"/>
          <w:b w:val="1"/>
          <w:highlight w:val="white"/>
          <w:rtl w:val="0"/>
        </w:rPr>
        <w:t xml:space="preserve"> Support Team at </w:t>
      </w:r>
      <w:r w:rsidDel="00000000" w:rsidR="00000000" w:rsidRPr="00000000">
        <w:rPr>
          <w:b w:val="1"/>
          <w:highlight w:val="white"/>
          <w:rtl w:val="0"/>
        </w:rPr>
        <w:t xml:space="preserve">the Ministry of Environmental Protection and Natural Resources of Ukraine</w:t>
      </w:r>
      <w:r w:rsidDel="00000000" w:rsidR="00000000" w:rsidRPr="00000000">
        <w:rPr>
          <w:rFonts w:ascii="Calibri" w:cs="Calibri" w:eastAsia="Calibri" w:hAnsi="Calibri"/>
          <w:b w:val="1"/>
          <w:highlight w:val="white"/>
          <w:rtl w:val="0"/>
        </w:rPr>
        <w:t xml:space="preserve"> is looking for </w:t>
      </w:r>
      <w:r w:rsidDel="00000000" w:rsidR="00000000" w:rsidRPr="00000000">
        <w:rPr>
          <w:b w:val="1"/>
          <w:highlight w:val="white"/>
          <w:rtl w:val="0"/>
        </w:rPr>
        <w:t xml:space="preserve">the Expert, Green Recovery</w:t>
      </w:r>
      <w:r w:rsidDel="00000000" w:rsidR="00000000" w:rsidRPr="00000000">
        <w:rPr>
          <w:rFonts w:ascii="Calibri" w:cs="Calibri" w:eastAsia="Calibri" w:hAnsi="Calibri"/>
          <w:b w:val="1"/>
          <w:highlight w:val="white"/>
          <w:rtl w:val="0"/>
        </w:rPr>
        <w:t xml:space="preserve">.</w:t>
      </w:r>
      <w:r w:rsidDel="00000000" w:rsidR="00000000" w:rsidRPr="00000000">
        <w:rPr>
          <w:rtl w:val="0"/>
        </w:rPr>
      </w:r>
    </w:p>
    <w:p w:rsidR="00000000" w:rsidDel="00000000" w:rsidP="00000000" w:rsidRDefault="00000000" w:rsidRPr="00000000" w14:paraId="00000002">
      <w:pPr>
        <w:jc w:val="both"/>
        <w:rPr/>
      </w:pPr>
      <w:r w:rsidDel="00000000" w:rsidR="00000000" w:rsidRPr="00000000">
        <w:rPr>
          <w:rtl w:val="0"/>
        </w:rPr>
        <w:t xml:space="preserve">The Recovery and Reform Support Team (RST) at the Ministry of Environmental Protection and Natural Resources of Ukraine (MEPNR) provides targeted technical support and assists the MEPNR in the design and implementation of recovery and reform priorities by filling the capacity gaps in the design and implementation of priority reform strategies and programmes, while strengthening links and partnerships between the MEPNR and relevant donor support. RST experts shall assist the MEPNR in ensuring coordination and complementarity between RST and other relevant technical assistance projects.</w:t>
      </w:r>
    </w:p>
    <w:p w:rsidR="00000000" w:rsidDel="00000000" w:rsidP="00000000" w:rsidRDefault="00000000" w:rsidRPr="00000000" w14:paraId="00000003">
      <w:pPr>
        <w:tabs>
          <w:tab w:val="left" w:leader="none" w:pos="1985"/>
        </w:tabs>
        <w:spacing w:after="0" w:line="240" w:lineRule="auto"/>
        <w:jc w:val="both"/>
        <w:rPr/>
      </w:pPr>
      <w:r w:rsidDel="00000000" w:rsidR="00000000" w:rsidRPr="00000000">
        <w:rPr>
          <w:rtl w:val="0"/>
        </w:rPr>
        <w:t xml:space="preserve">Ukraine’s natural environment has suffered significant damage as a result of the ongoing war. The </w:t>
      </w:r>
      <w:r w:rsidDel="00000000" w:rsidR="00000000" w:rsidRPr="00000000">
        <w:rPr>
          <w:rtl w:val="0"/>
        </w:rPr>
        <w:t xml:space="preserve">Expert, Green</w:t>
      </w:r>
      <w:r w:rsidDel="00000000" w:rsidR="00000000" w:rsidRPr="00000000">
        <w:rPr>
          <w:rtl w:val="0"/>
        </w:rPr>
        <w:t xml:space="preserve"> Recovery will support environmental recovery processes, ensure that green principles are incorporated into Ukraine's recovery plans and their implementation, and support expedited alignment with the European Green Deal.</w:t>
      </w:r>
    </w:p>
    <w:p w:rsidR="00000000" w:rsidDel="00000000" w:rsidP="00000000" w:rsidRDefault="00000000" w:rsidRPr="00000000" w14:paraId="00000004">
      <w:pPr>
        <w:spacing w:after="0" w:lineRule="auto"/>
        <w:jc w:val="both"/>
        <w:rPr>
          <w:rFonts w:ascii="Calibri" w:cs="Calibri" w:eastAsia="Calibri" w:hAnsi="Calibri"/>
          <w:i w:val="1"/>
        </w:rPr>
      </w:pPr>
      <w:r w:rsidDel="00000000" w:rsidR="00000000" w:rsidRPr="00000000">
        <w:rPr>
          <w:rtl w:val="0"/>
        </w:rPr>
      </w:r>
    </w:p>
    <w:p w:rsidR="00000000" w:rsidDel="00000000" w:rsidP="00000000" w:rsidRDefault="00000000" w:rsidRPr="00000000" w14:paraId="00000005">
      <w:pPr>
        <w:spacing w:after="0" w:line="240" w:lineRule="auto"/>
        <w:ind w:left="0" w:firstLine="0"/>
        <w:jc w:val="both"/>
        <w:rPr/>
      </w:pPr>
      <w:bookmarkStart w:colFirst="0" w:colLast="0" w:name="_heading=h.1fob9te" w:id="0"/>
      <w:bookmarkEnd w:id="0"/>
      <w:r w:rsidDel="00000000" w:rsidR="00000000" w:rsidRPr="00000000">
        <w:rPr>
          <w:rtl w:val="0"/>
        </w:rPr>
        <w:t xml:space="preserve">Main duties and responsibilities of the </w:t>
      </w:r>
      <w:r w:rsidDel="00000000" w:rsidR="00000000" w:rsidRPr="00000000">
        <w:rPr>
          <w:highlight w:val="white"/>
          <w:rtl w:val="0"/>
        </w:rPr>
        <w:t xml:space="preserve">Expert, Green Recovery</w:t>
      </w:r>
      <w:r w:rsidDel="00000000" w:rsidR="00000000" w:rsidRPr="00000000">
        <w:rPr>
          <w:rtl w:val="0"/>
        </w:rPr>
        <w:t xml:space="preserve"> will be: </w:t>
      </w:r>
    </w:p>
    <w:p w:rsidR="00000000" w:rsidDel="00000000" w:rsidP="00000000" w:rsidRDefault="00000000" w:rsidRPr="00000000" w14:paraId="00000006">
      <w:pPr>
        <w:spacing w:after="0" w:line="240" w:lineRule="auto"/>
        <w:ind w:left="0" w:firstLine="0"/>
        <w:jc w:val="both"/>
        <w:rPr/>
      </w:pPr>
      <w:bookmarkStart w:colFirst="0" w:colLast="0" w:name="_heading=h.rxvjjxwy4m0f" w:id="1"/>
      <w:bookmarkEnd w:id="1"/>
      <w:r w:rsidDel="00000000" w:rsidR="00000000" w:rsidRPr="00000000">
        <w:rPr>
          <w:rtl w:val="0"/>
        </w:rPr>
      </w:r>
    </w:p>
    <w:p w:rsidR="00000000" w:rsidDel="00000000" w:rsidP="00000000" w:rsidRDefault="00000000" w:rsidRPr="00000000" w14:paraId="00000007">
      <w:pPr>
        <w:numPr>
          <w:ilvl w:val="0"/>
          <w:numId w:val="1"/>
        </w:numPr>
        <w:tabs>
          <w:tab w:val="left" w:leader="none" w:pos="1985"/>
        </w:tabs>
        <w:spacing w:after="0" w:line="240" w:lineRule="auto"/>
        <w:ind w:left="720" w:hanging="360"/>
        <w:jc w:val="both"/>
      </w:pPr>
      <w:r w:rsidDel="00000000" w:rsidR="00000000" w:rsidRPr="00000000">
        <w:rPr>
          <w:rtl w:val="0"/>
        </w:rPr>
        <w:t xml:space="preserve">Development and support in the implementation of reform components that are necessary for green recovery and green transition, i.e. support in the development/implementation of the Ukraine Facility within the authority of the MEPNR, facilitate the inclusion of green criteria in recovery plans, recommendations for restoration of territories and ecosystems, etc;</w:t>
      </w:r>
    </w:p>
    <w:p w:rsidR="00000000" w:rsidDel="00000000" w:rsidP="00000000" w:rsidRDefault="00000000" w:rsidRPr="00000000" w14:paraId="00000008">
      <w:pPr>
        <w:numPr>
          <w:ilvl w:val="0"/>
          <w:numId w:val="1"/>
        </w:numPr>
        <w:tabs>
          <w:tab w:val="left" w:leader="none" w:pos="1985"/>
        </w:tabs>
        <w:spacing w:after="0" w:line="240" w:lineRule="auto"/>
        <w:ind w:left="720" w:hanging="360"/>
        <w:jc w:val="both"/>
      </w:pPr>
      <w:r w:rsidDel="00000000" w:rsidR="00000000" w:rsidRPr="00000000">
        <w:rPr>
          <w:rtl w:val="0"/>
        </w:rPr>
        <w:t xml:space="preserve">Development of methodological recommendations for including the climate component in comprehensive recovery programmes and other state and/or local planning documents;</w:t>
      </w:r>
    </w:p>
    <w:p w:rsidR="00000000" w:rsidDel="00000000" w:rsidP="00000000" w:rsidRDefault="00000000" w:rsidRPr="00000000" w14:paraId="00000009">
      <w:pPr>
        <w:numPr>
          <w:ilvl w:val="0"/>
          <w:numId w:val="1"/>
        </w:numPr>
        <w:tabs>
          <w:tab w:val="left" w:leader="none" w:pos="1985"/>
        </w:tabs>
        <w:spacing w:after="0" w:line="240" w:lineRule="auto"/>
        <w:ind w:left="720" w:hanging="360"/>
        <w:jc w:val="both"/>
      </w:pPr>
      <w:r w:rsidDel="00000000" w:rsidR="00000000" w:rsidRPr="00000000">
        <w:rPr>
          <w:rtl w:val="0"/>
        </w:rPr>
        <w:t xml:space="preserve">Consulting, analytical and expert support to the Ministry to ensure environmental recovery documents (strategies, plans, components, legal acts, etc.) and activities contribute to the EU accession process and comply with the fundamentals of European Green Deal; </w:t>
      </w:r>
    </w:p>
    <w:p w:rsidR="00000000" w:rsidDel="00000000" w:rsidP="00000000" w:rsidRDefault="00000000" w:rsidRPr="00000000" w14:paraId="0000000A">
      <w:pPr>
        <w:numPr>
          <w:ilvl w:val="0"/>
          <w:numId w:val="1"/>
        </w:numPr>
        <w:tabs>
          <w:tab w:val="left" w:leader="none" w:pos="1985"/>
        </w:tabs>
        <w:spacing w:after="0" w:line="240" w:lineRule="auto"/>
        <w:ind w:left="720" w:hanging="360"/>
        <w:jc w:val="both"/>
      </w:pPr>
      <w:r w:rsidDel="00000000" w:rsidR="00000000" w:rsidRPr="00000000">
        <w:rPr>
          <w:rtl w:val="0"/>
        </w:rPr>
        <w:t xml:space="preserve">Provide support to stakeholder engagement activities (e.g. public events, workshops, trainings etc) to facilitate and advance  discussions on key topics and policy proposals, and raise awareness of the importance, objectives, challenges, policies related to green recovery/green transition;</w:t>
      </w:r>
    </w:p>
    <w:p w:rsidR="00000000" w:rsidDel="00000000" w:rsidP="00000000" w:rsidRDefault="00000000" w:rsidRPr="00000000" w14:paraId="0000000B">
      <w:pPr>
        <w:numPr>
          <w:ilvl w:val="0"/>
          <w:numId w:val="1"/>
        </w:numPr>
        <w:tabs>
          <w:tab w:val="left" w:leader="none" w:pos="1985"/>
        </w:tabs>
        <w:spacing w:after="0" w:line="240" w:lineRule="auto"/>
        <w:ind w:left="720" w:hanging="360"/>
        <w:jc w:val="both"/>
      </w:pPr>
      <w:r w:rsidDel="00000000" w:rsidR="00000000" w:rsidRPr="00000000">
        <w:rPr>
          <w:rtl w:val="0"/>
        </w:rPr>
        <w:t xml:space="preserve">Provide support to the Ministry in coordination of working groups related to green recovery and green transition;</w:t>
      </w:r>
    </w:p>
    <w:p w:rsidR="00000000" w:rsidDel="00000000" w:rsidP="00000000" w:rsidRDefault="00000000" w:rsidRPr="00000000" w14:paraId="0000000C">
      <w:pPr>
        <w:numPr>
          <w:ilvl w:val="0"/>
          <w:numId w:val="1"/>
        </w:numPr>
        <w:tabs>
          <w:tab w:val="left" w:leader="none" w:pos="1985"/>
        </w:tabs>
        <w:spacing w:after="0" w:line="240" w:lineRule="auto"/>
        <w:ind w:left="720" w:hanging="360"/>
        <w:jc w:val="both"/>
      </w:pPr>
      <w:r w:rsidDel="00000000" w:rsidR="00000000" w:rsidRPr="00000000">
        <w:rPr>
          <w:rtl w:val="0"/>
        </w:rPr>
        <w:t xml:space="preserve">Preparation, systematisation and updating of the information regarding green recovery projects;</w:t>
      </w:r>
    </w:p>
    <w:p w:rsidR="00000000" w:rsidDel="00000000" w:rsidP="00000000" w:rsidRDefault="00000000" w:rsidRPr="00000000" w14:paraId="0000000D">
      <w:pPr>
        <w:numPr>
          <w:ilvl w:val="0"/>
          <w:numId w:val="1"/>
        </w:numPr>
        <w:tabs>
          <w:tab w:val="left" w:leader="none" w:pos="1985"/>
        </w:tabs>
        <w:spacing w:after="0" w:line="240" w:lineRule="auto"/>
        <w:ind w:left="720" w:hanging="360"/>
        <w:jc w:val="both"/>
      </w:pPr>
      <w:r w:rsidDel="00000000" w:rsidR="00000000" w:rsidRPr="00000000">
        <w:rPr>
          <w:rtl w:val="0"/>
        </w:rPr>
        <w:t xml:space="preserve">Preparation of timely and high-quality reports and updates on the progress of green recovery/green transition issues;</w:t>
      </w:r>
    </w:p>
    <w:p w:rsidR="00000000" w:rsidDel="00000000" w:rsidP="00000000" w:rsidRDefault="00000000" w:rsidRPr="00000000" w14:paraId="0000000E">
      <w:pPr>
        <w:numPr>
          <w:ilvl w:val="0"/>
          <w:numId w:val="1"/>
        </w:numPr>
        <w:tabs>
          <w:tab w:val="left" w:leader="none" w:pos="1985"/>
        </w:tabs>
        <w:spacing w:after="0" w:line="240" w:lineRule="auto"/>
        <w:ind w:left="720" w:hanging="360"/>
        <w:jc w:val="both"/>
      </w:pPr>
      <w:r w:rsidDel="00000000" w:rsidR="00000000" w:rsidRPr="00000000">
        <w:rPr>
          <w:rtl w:val="0"/>
        </w:rPr>
        <w:t xml:space="preserve">Supporting the Ministry in the translation of recovery related documents.</w:t>
      </w:r>
    </w:p>
    <w:p w:rsidR="00000000" w:rsidDel="00000000" w:rsidP="00000000" w:rsidRDefault="00000000" w:rsidRPr="00000000" w14:paraId="0000000F">
      <w:pPr>
        <w:spacing w:after="0" w:line="259" w:lineRule="auto"/>
        <w:ind w:left="720" w:firstLine="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10">
      <w:pPr>
        <w:spacing w:after="0" w:line="240" w:lineRule="auto"/>
        <w:jc w:val="both"/>
        <w:rPr/>
      </w:pPr>
      <w:bookmarkStart w:colFirst="0" w:colLast="0" w:name="_heading=h.gjdgxs" w:id="2"/>
      <w:bookmarkEnd w:id="2"/>
      <w:r w:rsidDel="00000000" w:rsidR="00000000" w:rsidRPr="00000000">
        <w:rPr>
          <w:rtl w:val="0"/>
        </w:rPr>
        <w:t xml:space="preserve">The initial consultancy assignment is expected to start in April 2024 and has an estimated duration of 17 months. This assignment has an opportunity for extension, subject to the availability of donor funding, consultant’s performance, and the specific needs of the RST. The probation period is two months.</w:t>
      </w:r>
    </w:p>
    <w:p w:rsidR="00000000" w:rsidDel="00000000" w:rsidP="00000000" w:rsidRDefault="00000000" w:rsidRPr="00000000" w14:paraId="00000011">
      <w:pPr>
        <w:spacing w:after="0" w:line="240" w:lineRule="auto"/>
        <w:jc w:val="both"/>
        <w:rPr/>
      </w:pPr>
      <w:bookmarkStart w:colFirst="0" w:colLast="0" w:name="_heading=h.cyhhidmfzj1j" w:id="3"/>
      <w:bookmarkEnd w:id="3"/>
      <w:r w:rsidDel="00000000" w:rsidR="00000000" w:rsidRPr="00000000">
        <w:rPr>
          <w:rtl w:val="0"/>
        </w:rPr>
      </w:r>
    </w:p>
    <w:p w:rsidR="00000000" w:rsidDel="00000000" w:rsidP="00000000" w:rsidRDefault="00000000" w:rsidRPr="00000000" w14:paraId="00000012">
      <w:pPr>
        <w:spacing w:after="96.00000000000001" w:line="240" w:lineRule="auto"/>
        <w:ind w:right="-90"/>
        <w:jc w:val="both"/>
        <w:rPr/>
      </w:pPr>
      <w:r w:rsidDel="00000000" w:rsidR="00000000" w:rsidRPr="00000000">
        <w:rPr>
          <w:rtl w:val="0"/>
        </w:rPr>
        <w:t xml:space="preserve">Potential candidates should send a full package of documents prepared in English (Application Form, NDA Form, the candidate’s Curriculum Vitae and Reference Letter from a recent supervisor (original in English, or Ukrainian with English translation) together with the contact details for two further referees who, if contacted, can attest to the professional and/or educational background of the candidate) by March 20, 2024, 23:59 (Kyiv time) to the following address: </w:t>
      </w:r>
      <w:hyperlink r:id="rId7">
        <w:r w:rsidDel="00000000" w:rsidR="00000000" w:rsidRPr="00000000">
          <w:rPr>
            <w:color w:val="1155cc"/>
            <w:u w:val="single"/>
            <w:rtl w:val="0"/>
          </w:rPr>
          <w:t xml:space="preserve">rst.mepr@gmail.com</w:t>
        </w:r>
      </w:hyperlink>
      <w:r w:rsidDel="00000000" w:rsidR="00000000" w:rsidRPr="00000000">
        <w:rPr>
          <w:rtl w:val="0"/>
        </w:rPr>
        <w:t xml:space="preserve">. Candidates who submit an incomplete package of documents will not be considered. </w:t>
      </w:r>
    </w:p>
    <w:p w:rsidR="00000000" w:rsidDel="00000000" w:rsidP="00000000" w:rsidRDefault="00000000" w:rsidRPr="00000000" w14:paraId="00000013">
      <w:pPr>
        <w:spacing w:after="96.00000000000001" w:line="240" w:lineRule="auto"/>
        <w:ind w:right="-90"/>
        <w:rPr/>
      </w:pPr>
      <w:r w:rsidDel="00000000" w:rsidR="00000000" w:rsidRPr="00000000">
        <w:rPr>
          <w:rtl w:val="0"/>
        </w:rPr>
        <w:t xml:space="preserve">Only short-listed applicants will be invited to the written test and interview. </w:t>
      </w:r>
    </w:p>
    <w:p w:rsidR="00000000" w:rsidDel="00000000" w:rsidP="00000000" w:rsidRDefault="00000000" w:rsidRPr="00000000" w14:paraId="00000014">
      <w:pPr>
        <w:spacing w:after="240" w:before="240" w:lineRule="auto"/>
        <w:ind w:right="-90"/>
        <w:rPr/>
      </w:pPr>
      <w:r w:rsidDel="00000000" w:rsidR="00000000" w:rsidRPr="00000000">
        <w:rPr>
          <w:rtl w:val="0"/>
        </w:rPr>
        <w:t xml:space="preserve">The detailed Terms of Reference can be found below.</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spacing w:after="0" w:line="240" w:lineRule="auto"/>
        <w:ind w:right="-90"/>
        <w:rPr/>
      </w:pPr>
      <w:r w:rsidDel="00000000" w:rsidR="00000000" w:rsidRPr="00000000">
        <w:rPr>
          <w:rtl w:val="0"/>
        </w:rPr>
      </w:r>
    </w:p>
    <w:p w:rsidR="00000000" w:rsidDel="00000000" w:rsidP="00000000" w:rsidRDefault="00000000" w:rsidRPr="00000000" w14:paraId="00000019">
      <w:pPr>
        <w:tabs>
          <w:tab w:val="left" w:leader="none" w:pos="709"/>
        </w:tabs>
        <w:spacing w:after="0" w:line="240" w:lineRule="auto"/>
        <w:rPr>
          <w:b w:val="1"/>
          <w:color w:val="000000"/>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sectPr>
      <w:pgSz w:h="16838" w:w="11906" w:orient="portrait"/>
      <w:pgMar w:bottom="1411" w:top="1411" w:left="1411" w:right="1411" w:header="706" w:footer="70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_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5F637C"/>
    <w:pPr>
      <w:spacing w:after="200" w:line="276" w:lineRule="auto"/>
    </w:pPr>
    <w:rPr>
      <w:rFonts w:eastAsiaTheme="minorEastAsia"/>
      <w:lang w:eastAsia="uk-UA" w:val="uk-UA"/>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5F637C"/>
    <w:pPr>
      <w:tabs>
        <w:tab w:val="center" w:pos="4680"/>
        <w:tab w:val="right" w:pos="9360"/>
      </w:tabs>
      <w:spacing w:after="0" w:line="240" w:lineRule="auto"/>
    </w:pPr>
  </w:style>
  <w:style w:type="character" w:styleId="HeaderChar" w:customStyle="1">
    <w:name w:val="Header Char"/>
    <w:basedOn w:val="DefaultParagraphFont"/>
    <w:link w:val="Header"/>
    <w:uiPriority w:val="99"/>
    <w:rsid w:val="005F637C"/>
  </w:style>
  <w:style w:type="paragraph" w:styleId="Footer">
    <w:name w:val="footer"/>
    <w:basedOn w:val="Normal"/>
    <w:link w:val="FooterChar"/>
    <w:uiPriority w:val="99"/>
    <w:unhideWhenUsed w:val="1"/>
    <w:rsid w:val="005F637C"/>
    <w:pPr>
      <w:tabs>
        <w:tab w:val="center" w:pos="4680"/>
        <w:tab w:val="right" w:pos="9360"/>
      </w:tabs>
      <w:spacing w:after="0" w:line="240" w:lineRule="auto"/>
    </w:pPr>
  </w:style>
  <w:style w:type="character" w:styleId="FooterChar" w:customStyle="1">
    <w:name w:val="Footer Char"/>
    <w:basedOn w:val="DefaultParagraphFont"/>
    <w:link w:val="Footer"/>
    <w:uiPriority w:val="99"/>
    <w:rsid w:val="005F637C"/>
  </w:style>
  <w:style w:type="paragraph" w:styleId="ListParagraph">
    <w:name w:val="List Paragraph"/>
    <w:aliases w:val="Bullet Points,Liste Paragraf,Llista Nivell1,Lista de nivel 1,Paragraphe de liste PBLH,Normal bullet 2,Graph &amp; Table tite,Table of contents numbered,Bullet list,Bullet List Paragraph,Level 1 Bullet,numbered,Bullet List,FooterText,列出段落"/>
    <w:basedOn w:val="Normal"/>
    <w:link w:val="ListParagraphChar"/>
    <w:uiPriority w:val="34"/>
    <w:qFormat w:val="1"/>
    <w:rsid w:val="005F637C"/>
    <w:pPr>
      <w:spacing w:after="160" w:line="259" w:lineRule="auto"/>
      <w:ind w:left="720"/>
      <w:contextualSpacing w:val="1"/>
    </w:pPr>
    <w:rPr>
      <w:lang w:val="en-US"/>
    </w:rPr>
  </w:style>
  <w:style w:type="character" w:styleId="ListParagraphChar" w:customStyle="1">
    <w:name w:val="List Paragraph Char"/>
    <w:aliases w:val="Bullet Points Char,Liste Paragraf Char,Llista Nivell1 Char,Lista de nivel 1 Char,Paragraphe de liste PBLH Char,Normal bullet 2 Char,Graph &amp; Table tite Char,Table of contents numbered Char,Bullet list Char1,Bullet List Paragraph Char"/>
    <w:link w:val="ListParagraph"/>
    <w:uiPriority w:val="34"/>
    <w:locked w:val="1"/>
    <w:rsid w:val="005F637C"/>
    <w:rPr>
      <w:rFonts w:eastAsiaTheme="minorEastAsia"/>
      <w:lang w:eastAsia="uk-UA"/>
    </w:rPr>
  </w:style>
  <w:style w:type="paragraph" w:styleId="Normale-n-ind" w:customStyle="1">
    <w:name w:val="Normale-n-ind"/>
    <w:rsid w:val="005F637C"/>
    <w:pPr>
      <w:pBdr>
        <w:top w:space="0" w:sz="0" w:val="nil"/>
        <w:left w:space="0" w:sz="0" w:val="nil"/>
        <w:bottom w:space="0" w:sz="0" w:val="nil"/>
        <w:right w:space="0" w:sz="0" w:val="nil"/>
        <w:between w:space="0" w:sz="0" w:val="nil"/>
        <w:bar w:space="0" w:sz="0" w:val="nil"/>
      </w:pBdr>
      <w:spacing w:after="120" w:line="180" w:lineRule="atLeast"/>
      <w:jc w:val="both"/>
    </w:pPr>
    <w:rPr>
      <w:rFonts w:ascii="Times New Roman" w:cs="Times New Roman" w:eastAsia="Times New Roman" w:hAnsi="Times New Roman"/>
      <w:color w:val="000000"/>
      <w:sz w:val="24"/>
      <w:szCs w:val="24"/>
      <w:u w:color="000000"/>
      <w:bdr w:space="0" w:sz="0" w:val="nil"/>
      <w:lang w:eastAsia="en-GB" w:val="it-IT"/>
    </w:rPr>
  </w:style>
  <w:style w:type="paragraph" w:styleId="normaltableau" w:customStyle="1">
    <w:name w:val="normal_tableau"/>
    <w:basedOn w:val="Normal"/>
    <w:rsid w:val="002F0B01"/>
    <w:pPr>
      <w:spacing w:after="0" w:line="240" w:lineRule="auto"/>
      <w:jc w:val="both"/>
    </w:pPr>
    <w:rPr>
      <w:rFonts w:ascii="Arial" w:cs="Times New Roman" w:eastAsia="Times New Roman" w:hAnsi="Arial"/>
      <w:sz w:val="20"/>
      <w:szCs w:val="20"/>
      <w:lang w:eastAsia="de-DE"/>
    </w:rPr>
  </w:style>
  <w:style w:type="paragraph" w:styleId="CVNormal" w:customStyle="1">
    <w:name w:val="CV Normal"/>
    <w:basedOn w:val="Normal"/>
    <w:uiPriority w:val="99"/>
    <w:rsid w:val="002F0B01"/>
    <w:pPr>
      <w:suppressAutoHyphens w:val="1"/>
      <w:spacing w:after="0" w:line="240" w:lineRule="auto"/>
      <w:ind w:left="113" w:right="113"/>
    </w:pPr>
    <w:rPr>
      <w:rFonts w:ascii="Arial Narrow" w:cs="Times New Roman" w:eastAsia="Times New Roman" w:hAnsi="Arial Narrow"/>
      <w:sz w:val="20"/>
      <w:szCs w:val="20"/>
      <w:lang w:eastAsia="ar-SA" w:val="en-US"/>
    </w:rPr>
  </w:style>
  <w:style w:type="paragraph" w:styleId="PuceGrise" w:customStyle="1">
    <w:name w:val="Puce Grise"/>
    <w:basedOn w:val="Normal"/>
    <w:next w:val="Normal"/>
    <w:rsid w:val="002F0B01"/>
    <w:pPr>
      <w:numPr>
        <w:numId w:val="6"/>
      </w:numPr>
      <w:tabs>
        <w:tab w:val="clear" w:pos="360"/>
        <w:tab w:val="left" w:pos="216"/>
      </w:tabs>
      <w:spacing w:after="20" w:before="20" w:line="240" w:lineRule="auto"/>
    </w:pPr>
    <w:rPr>
      <w:rFonts w:ascii="Arial" w:cs="Times New Roman" w:eastAsia="Times New Roman" w:hAnsi="Arial"/>
      <w:sz w:val="18"/>
      <w:szCs w:val="20"/>
      <w:lang w:eastAsia="fr-FR" w:val="en-US"/>
    </w:rPr>
  </w:style>
  <w:style w:type="table" w:styleId="TableGrid">
    <w:name w:val="Table Grid"/>
    <w:basedOn w:val="TableNormal"/>
    <w:uiPriority w:val="39"/>
    <w:rsid w:val="00C92833"/>
    <w:pPr>
      <w:spacing w:after="0" w:line="240" w:lineRule="auto"/>
    </w:pPr>
    <w:rPr>
      <w:rFonts w:eastAsiaTheme="minorEastAsia"/>
      <w:lang w:eastAsia="uk-UA"/>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CommentText">
    <w:name w:val="annotation text"/>
    <w:basedOn w:val="Normal"/>
    <w:link w:val="CommentTextChar"/>
    <w:uiPriority w:val="99"/>
    <w:unhideWhenUsed w:val="1"/>
    <w:rsid w:val="00D96CBB"/>
    <w:pPr>
      <w:spacing w:line="240" w:lineRule="auto"/>
    </w:pPr>
    <w:rPr>
      <w:sz w:val="20"/>
      <w:szCs w:val="20"/>
    </w:rPr>
  </w:style>
  <w:style w:type="character" w:styleId="CommentTextChar" w:customStyle="1">
    <w:name w:val="Comment Text Char"/>
    <w:basedOn w:val="DefaultParagraphFont"/>
    <w:link w:val="CommentText"/>
    <w:uiPriority w:val="99"/>
    <w:rsid w:val="00D96CBB"/>
    <w:rPr>
      <w:rFonts w:eastAsiaTheme="minorEastAsia"/>
      <w:sz w:val="20"/>
      <w:szCs w:val="20"/>
      <w:lang w:eastAsia="uk-UA" w:val="uk-UA"/>
    </w:rPr>
  </w:style>
  <w:style w:type="character" w:styleId="FootnoteReference">
    <w:name w:val="footnote reference"/>
    <w:basedOn w:val="DefaultParagraphFont"/>
    <w:uiPriority w:val="99"/>
    <w:semiHidden w:val="1"/>
    <w:unhideWhenUsed w:val="1"/>
    <w:rsid w:val="00F1662D"/>
    <w:rPr>
      <w:vertAlign w:val="superscript"/>
    </w:rPr>
  </w:style>
  <w:style w:type="paragraph" w:styleId="Default" w:customStyle="1">
    <w:name w:val="Default"/>
    <w:rsid w:val="00F1662D"/>
    <w:pPr>
      <w:autoSpaceDE w:val="0"/>
      <w:autoSpaceDN w:val="0"/>
      <w:adjustRightInd w:val="0"/>
      <w:spacing w:after="0" w:line="240" w:lineRule="auto"/>
    </w:pPr>
    <w:rPr>
      <w:rFonts w:ascii="Times New Roman" w:cs="Times New Roman" w:hAnsi="Times New Roman" w:eastAsiaTheme="minorEastAsia"/>
      <w:color w:val="000000"/>
      <w:sz w:val="24"/>
      <w:szCs w:val="24"/>
      <w:lang w:eastAsia="uk-UA"/>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rst.mepr@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9JJAoIcjvr97LQjAh0LYNd0xGQ==">CgMxLjAyCWguMWZvYjl0ZTIOaC5yeHZqanh3eTRtMGYyCGguZ2pkZ3hzMg5oLmN5aGhpZG1memoxajgAciExbWVrNmdlTFRoTEd2UGdSdXVOZ0Q3cnZ3S2VFME9fNnE=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2023-05-04T05:51:00Z</dcterms:created>
  <dc:creator>Anikeeva, Yuliya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37bbd4c1-49fe-4e95-8bf3-6e3b27f4fd14</vt:lpwstr>
  </property>
  <property fmtid="{D5CDD505-2E9C-101B-9397-08002B2CF9AE}" pid="3" name="bjSaver">
    <vt:lpwstr>jNVazOmbWstbFCE5y2QVOLvhavx6YHsz</vt:lpwstr>
  </property>
  <property fmtid="{D5CDD505-2E9C-101B-9397-08002B2CF9AE}" pid="4" name="bjDocumentLabelXML">
    <vt:lpwstr>&lt;?xml version="1.0" encoding="us-ascii"?&gt;&lt;sisl xmlns:xsi="http://www.w3.org/2001/XMLSchema-instance" xmlns:xsd="http://www.w3.org/2001/XMLSchema" sislVersion="0" policy="1d45786f-a737-4735-8af6-df12fb6939a2" origin="userSelected" xmlns="http://www.boldonj</vt:lpwstr>
  </property>
  <property fmtid="{D5CDD505-2E9C-101B-9397-08002B2CF9AE}" pid="5" name="bjDocumentLabelXML-0">
    <vt:lpwstr>ames.com/2008/01/sie/internal/label"&gt;&lt;element uid="9c87da95-7b2f-439f-bfd9-321fc51f6870" value="" /&gt;&lt;element uid="214105f6-acd4-485a-afa0-a0b988f7534c" value="" /&gt;&lt;/sisl&gt;</vt:lpwstr>
  </property>
  <property fmtid="{D5CDD505-2E9C-101B-9397-08002B2CF9AE}" pid="6" name="bjDocumentSecurityLabel">
    <vt:lpwstr>NON-BANK USE</vt:lpwstr>
  </property>
  <property fmtid="{D5CDD505-2E9C-101B-9397-08002B2CF9AE}" pid="7" name="bjDocumentLabelXML-0">
    <vt:lpwstr>ames.com/2008/01/sie/internal/label"&gt;&lt;element uid="9c87da95-7b2f-439f-bfd9-321fc51f6870" value="" /&gt;&lt;element uid="214105f6-acd4-485a-afa0-a0b988f7534c" value="" /&gt;&lt;/sisl&gt;</vt:lpwstr>
  </property>
  <property fmtid="{D5CDD505-2E9C-101B-9397-08002B2CF9AE}" pid="8" name="bjDocumentSecurityLabel">
    <vt:lpwstr>NON-BANK USE</vt:lpwstr>
  </property>
  <property fmtid="{D5CDD505-2E9C-101B-9397-08002B2CF9AE}" pid="9" name="docIndexRef">
    <vt:lpwstr>37bbd4c1-49fe-4e95-8bf3-6e3b27f4fd14</vt:lpwstr>
  </property>
  <property fmtid="{D5CDD505-2E9C-101B-9397-08002B2CF9AE}" pid="10" name="bjSaver">
    <vt:lpwstr>jNVazOmbWstbFCE5y2QVOLvhavx6YHsz</vt:lpwstr>
  </property>
  <property fmtid="{D5CDD505-2E9C-101B-9397-08002B2CF9AE}" pid="11" name="bjDocumentLabelXML">
    <vt:lpwstr>&lt;?xml version="1.0" encoding="us-ascii"?&gt;&lt;sisl xmlns:xsi="http://www.w3.org/2001/XMLSchema-instance" xmlns:xsd="http://www.w3.org/2001/XMLSchema" sislVersion="0" policy="1d45786f-a737-4735-8af6-df12fb6939a2" origin="userSelected" xmlns="http://www.boldonj</vt:lpwstr>
  </property>
  <property fmtid="{D5CDD505-2E9C-101B-9397-08002B2CF9AE}" pid="12" name="bjDocumentLabelXML-0">
    <vt:lpwstr>ames.com/2008/01/sie/internal/label"&gt;&lt;element uid="9c87da95-7b2f-439f-bfd9-321fc51f6870" value="" /&gt;&lt;element uid="214105f6-acd4-485a-afa0-a0b988f7534c" value="" /&gt;&lt;/sisl&gt;</vt:lpwstr>
  </property>
  <property fmtid="{D5CDD505-2E9C-101B-9397-08002B2CF9AE}" pid="13" name="bjDocumentSecurityLabel">
    <vt:lpwstr>NON-BANK USE</vt:lpwstr>
  </property>
  <property fmtid="{D5CDD505-2E9C-101B-9397-08002B2CF9AE}" pid="14" name="docIndexRef">
    <vt:lpwstr>37bbd4c1-49fe-4e95-8bf3-6e3b27f4fd14</vt:lpwstr>
  </property>
  <property fmtid="{D5CDD505-2E9C-101B-9397-08002B2CF9AE}" pid="15" name="bjSaver">
    <vt:lpwstr>jNVazOmbWstbFCE5y2QVOLvhavx6YHsz</vt:lpwstr>
  </property>
  <property fmtid="{D5CDD505-2E9C-101B-9397-08002B2CF9AE}" pid="16" name="bjDocumentLabelXML">
    <vt:lpwstr>&lt;?xml version="1.0" encoding="us-ascii"?&gt;&lt;sisl xmlns:xsi="http://www.w3.org/2001/XMLSchema-instance" xmlns:xsd="http://www.w3.org/2001/XMLSchema" sislVersion="0" policy="1d45786f-a737-4735-8af6-df12fb6939a2" origin="userSelected" xmlns="http://www.boldonj</vt:lpwstr>
  </property>
</Properties>
</file>