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902EB" w14:textId="77777777" w:rsidR="00CA499D" w:rsidRDefault="00FA4607">
      <w:pPr>
        <w:pStyle w:val="a3"/>
        <w:ind w:right="0"/>
        <w:rPr>
          <w:sz w:val="28"/>
          <w:szCs w:val="28"/>
        </w:rPr>
      </w:pPr>
      <w:r>
        <w:rPr>
          <w:sz w:val="28"/>
          <w:szCs w:val="28"/>
        </w:rPr>
        <w:t xml:space="preserve">ПОЯСНЮВАЛЬНА ЗАПИСКА </w:t>
      </w:r>
    </w:p>
    <w:p w14:paraId="6241D8D8" w14:textId="77777777" w:rsidR="00CA499D" w:rsidRDefault="001F55A5" w:rsidP="008D784F">
      <w:pPr>
        <w:pBdr>
          <w:top w:val="nil"/>
          <w:left w:val="nil"/>
          <w:bottom w:val="nil"/>
          <w:right w:val="nil"/>
          <w:between w:val="nil"/>
        </w:pBdr>
        <w:ind w:left="450" w:right="450"/>
        <w:jc w:val="center"/>
        <w:rPr>
          <w:b/>
        </w:rPr>
      </w:pPr>
      <w:r w:rsidRPr="008D784F">
        <w:rPr>
          <w:b/>
        </w:rPr>
        <w:t>до</w:t>
      </w:r>
      <w:r w:rsidR="008D784F" w:rsidRPr="008D784F">
        <w:rPr>
          <w:b/>
        </w:rPr>
        <w:t xml:space="preserve"> проєкту постанови Кабінету Міністрів України «Про внесення зміни до пункту 4 переліку центральних органів виконавчої влади, інших державних органів, відповідальних за виконання зобов’язань, що випливають із членства України в міжнародних організаціях</w:t>
      </w:r>
      <w:r w:rsidR="00FA4607">
        <w:rPr>
          <w:b/>
        </w:rPr>
        <w:t xml:space="preserve">» </w:t>
      </w:r>
    </w:p>
    <w:p w14:paraId="1328D0C1" w14:textId="77777777" w:rsidR="00CA499D" w:rsidRDefault="00CA499D">
      <w:pPr>
        <w:pBdr>
          <w:top w:val="nil"/>
          <w:left w:val="nil"/>
          <w:bottom w:val="nil"/>
          <w:right w:val="nil"/>
          <w:between w:val="nil"/>
        </w:pBdr>
        <w:rPr>
          <w:b/>
        </w:rPr>
      </w:pPr>
    </w:p>
    <w:p w14:paraId="1FDD4060" w14:textId="77777777" w:rsidR="00CA499D" w:rsidRPr="002554DE" w:rsidRDefault="00FA4607" w:rsidP="002554DE">
      <w:pPr>
        <w:pStyle w:val="ab"/>
        <w:numPr>
          <w:ilvl w:val="0"/>
          <w:numId w:val="1"/>
        </w:numPr>
        <w:pBdr>
          <w:top w:val="nil"/>
          <w:left w:val="nil"/>
          <w:bottom w:val="nil"/>
          <w:right w:val="nil"/>
          <w:between w:val="nil"/>
        </w:pBdr>
        <w:jc w:val="both"/>
        <w:rPr>
          <w:b/>
        </w:rPr>
      </w:pPr>
      <w:r w:rsidRPr="002554DE">
        <w:rPr>
          <w:b/>
        </w:rPr>
        <w:t>Мета</w:t>
      </w:r>
    </w:p>
    <w:p w14:paraId="05FB6890" w14:textId="1943D430" w:rsidR="00CA499D" w:rsidRPr="002E3F92" w:rsidRDefault="00FA4607" w:rsidP="00372DC1">
      <w:pPr>
        <w:pBdr>
          <w:top w:val="nil"/>
          <w:left w:val="nil"/>
          <w:bottom w:val="nil"/>
          <w:right w:val="nil"/>
          <w:between w:val="nil"/>
        </w:pBdr>
        <w:tabs>
          <w:tab w:val="left" w:pos="1701"/>
        </w:tabs>
        <w:ind w:firstLine="567"/>
        <w:jc w:val="both"/>
      </w:pPr>
      <w:r w:rsidRPr="002E3F92">
        <w:t xml:space="preserve">Метою </w:t>
      </w:r>
      <w:r w:rsidR="001F55A5">
        <w:t xml:space="preserve">розроблення </w:t>
      </w:r>
      <w:r w:rsidRPr="002E3F92">
        <w:t xml:space="preserve">проєкту </w:t>
      </w:r>
      <w:r w:rsidR="008D784F">
        <w:t xml:space="preserve">постанови </w:t>
      </w:r>
      <w:r w:rsidRPr="002E3F92">
        <w:t xml:space="preserve"> Кабінету Міністрів України</w:t>
      </w:r>
      <w:r w:rsidR="008D784F">
        <w:t xml:space="preserve"> </w:t>
      </w:r>
      <w:r w:rsidR="008D784F" w:rsidRPr="008D784F">
        <w:t>«Про внесення зміни до пункту 4 переліку центральних органів виконавчої влади, інших державних органів, відповідальних за виконання зобов’язань, що випливають із членства України в міжнародних організаціях»</w:t>
      </w:r>
      <w:r w:rsidR="00372DC1">
        <w:t xml:space="preserve"> (далі – проєкт акта) </w:t>
      </w:r>
      <w:r w:rsidR="00D67016">
        <w:t xml:space="preserve">є </w:t>
      </w:r>
      <w:r w:rsidR="00372DC1">
        <w:t>визначення центральних органів виконавчої влади, відповідальних за виконання зобов’язань, передбачених Мінаматською</w:t>
      </w:r>
      <w:r w:rsidR="00372DC1" w:rsidRPr="00372DC1">
        <w:t xml:space="preserve"> конвенції про ртуть</w:t>
      </w:r>
      <w:r w:rsidR="00916D57">
        <w:t xml:space="preserve">.             </w:t>
      </w:r>
    </w:p>
    <w:p w14:paraId="18E70CF2" w14:textId="77777777" w:rsidR="00372DC1" w:rsidRDefault="00372DC1" w:rsidP="002E3F92">
      <w:pPr>
        <w:pBdr>
          <w:top w:val="nil"/>
          <w:left w:val="nil"/>
          <w:bottom w:val="nil"/>
          <w:right w:val="nil"/>
          <w:between w:val="nil"/>
        </w:pBdr>
        <w:ind w:firstLine="567"/>
        <w:jc w:val="both"/>
        <w:rPr>
          <w:b/>
        </w:rPr>
      </w:pPr>
    </w:p>
    <w:p w14:paraId="72E84EF7" w14:textId="77777777" w:rsidR="00CA499D" w:rsidRDefault="00FA4607" w:rsidP="002E3F92">
      <w:pPr>
        <w:pBdr>
          <w:top w:val="nil"/>
          <w:left w:val="nil"/>
          <w:bottom w:val="nil"/>
          <w:right w:val="nil"/>
          <w:between w:val="nil"/>
        </w:pBdr>
        <w:ind w:firstLine="567"/>
        <w:jc w:val="both"/>
        <w:rPr>
          <w:b/>
        </w:rPr>
      </w:pPr>
      <w:r w:rsidRPr="002E3F92">
        <w:rPr>
          <w:b/>
        </w:rPr>
        <w:t>2. Обґрунтування необхідності прийняття акта</w:t>
      </w:r>
    </w:p>
    <w:p w14:paraId="76DC8769" w14:textId="564E3BCF" w:rsidR="00096FE0" w:rsidRDefault="007D0126" w:rsidP="002E3F92">
      <w:pPr>
        <w:pBdr>
          <w:top w:val="nil"/>
          <w:left w:val="nil"/>
          <w:bottom w:val="nil"/>
          <w:right w:val="nil"/>
          <w:between w:val="nil"/>
        </w:pBdr>
        <w:ind w:firstLine="567"/>
        <w:jc w:val="both"/>
      </w:pPr>
      <w:r>
        <w:t>Проєкт акта розро</w:t>
      </w:r>
      <w:r w:rsidR="00D67016">
        <w:t>блено</w:t>
      </w:r>
      <w:r w:rsidR="00916D57">
        <w:t xml:space="preserve"> з огляду на те, що Мінаматську конвенцію</w:t>
      </w:r>
      <w:r w:rsidR="00916D57" w:rsidRPr="00916D57">
        <w:t xml:space="preserve"> про ртуть</w:t>
      </w:r>
      <w:r w:rsidR="000C20AB">
        <w:t xml:space="preserve"> (далі – Конвенція) </w:t>
      </w:r>
      <w:bookmarkStart w:id="0" w:name="_GoBack"/>
      <w:bookmarkEnd w:id="0"/>
      <w:r w:rsidR="00614F17">
        <w:t>ратифіковано Законом У</w:t>
      </w:r>
      <w:r w:rsidR="00537F06">
        <w:t xml:space="preserve">країни </w:t>
      </w:r>
      <w:r w:rsidR="00614F17" w:rsidRPr="00614F17">
        <w:t>«Про приєднання України до Мінаматської конвенції про ртуть</w:t>
      </w:r>
      <w:r w:rsidR="00537F06">
        <w:t>»</w:t>
      </w:r>
      <w:r w:rsidR="00096FE0">
        <w:t>.</w:t>
      </w:r>
    </w:p>
    <w:p w14:paraId="553072EA" w14:textId="5D7342A2" w:rsidR="00CA499D" w:rsidRPr="002E3F92" w:rsidRDefault="00096FE0" w:rsidP="002E3F92">
      <w:pPr>
        <w:pBdr>
          <w:top w:val="nil"/>
          <w:left w:val="nil"/>
          <w:bottom w:val="nil"/>
          <w:right w:val="nil"/>
          <w:between w:val="nil"/>
        </w:pBdr>
        <w:ind w:firstLine="567"/>
        <w:jc w:val="both"/>
      </w:pPr>
      <w:r>
        <w:t>Конвенція</w:t>
      </w:r>
      <w:r w:rsidR="00537F06">
        <w:t xml:space="preserve"> набрала чинності</w:t>
      </w:r>
      <w:r w:rsidR="007D0126">
        <w:t xml:space="preserve"> для У</w:t>
      </w:r>
      <w:r>
        <w:t xml:space="preserve">країни </w:t>
      </w:r>
      <w:r w:rsidR="00501907">
        <w:t xml:space="preserve">16 листопада </w:t>
      </w:r>
      <w:r w:rsidR="00501907" w:rsidRPr="00501907">
        <w:t>2023</w:t>
      </w:r>
      <w:r w:rsidR="00501907">
        <w:t xml:space="preserve"> року.</w:t>
      </w:r>
    </w:p>
    <w:p w14:paraId="3EB56076" w14:textId="6237A112" w:rsidR="00D71536" w:rsidRPr="00485741" w:rsidRDefault="00DD3F4F" w:rsidP="002E3F92">
      <w:pPr>
        <w:pBdr>
          <w:top w:val="nil"/>
          <w:left w:val="nil"/>
          <w:bottom w:val="nil"/>
          <w:right w:val="nil"/>
          <w:between w:val="nil"/>
        </w:pBdr>
        <w:ind w:firstLine="567"/>
        <w:jc w:val="both"/>
      </w:pPr>
      <w:r>
        <w:t>Водночас, П</w:t>
      </w:r>
      <w:r w:rsidR="00501907">
        <w:t>ереліком центральних органів виконавчої влади, інших державних органів, відповідальних за виконання зобов’язань, що випливають із членства України в міжнародних організаціях, затверджени</w:t>
      </w:r>
      <w:r>
        <w:t>м</w:t>
      </w:r>
      <w:r w:rsidR="00501907">
        <w:t xml:space="preserve"> постановою Кабінету Міністрів України </w:t>
      </w:r>
      <w:r w:rsidR="00275842">
        <w:t>від 13 вересня 2002 року № 1371</w:t>
      </w:r>
      <w:r>
        <w:t>,</w:t>
      </w:r>
      <w:r w:rsidR="00501907">
        <w:t xml:space="preserve"> не визначено центральні органи виконавчої влади, відповідальні за виконання зобов’язань</w:t>
      </w:r>
      <w:r w:rsidR="00D8029C" w:rsidRPr="000B4632">
        <w:t>,</w:t>
      </w:r>
      <w:r w:rsidR="00501907">
        <w:t xml:space="preserve"> передбачених </w:t>
      </w:r>
      <w:r w:rsidR="00916D57">
        <w:t xml:space="preserve">цією </w:t>
      </w:r>
      <w:r w:rsidR="00501907" w:rsidRPr="00485741">
        <w:t>Конвенціє</w:t>
      </w:r>
      <w:r w:rsidR="00D8029C" w:rsidRPr="000B4632">
        <w:t>ю</w:t>
      </w:r>
      <w:r w:rsidR="00501907" w:rsidRPr="00485741">
        <w:t>.</w:t>
      </w:r>
      <w:r w:rsidR="00501907">
        <w:t xml:space="preserve"> </w:t>
      </w:r>
    </w:p>
    <w:p w14:paraId="4F426675" w14:textId="77777777" w:rsidR="00501907" w:rsidRPr="002E3F92" w:rsidRDefault="00501907" w:rsidP="002E3F92">
      <w:pPr>
        <w:pBdr>
          <w:top w:val="nil"/>
          <w:left w:val="nil"/>
          <w:bottom w:val="nil"/>
          <w:right w:val="nil"/>
          <w:between w:val="nil"/>
        </w:pBdr>
        <w:ind w:firstLine="567"/>
        <w:jc w:val="both"/>
      </w:pPr>
    </w:p>
    <w:p w14:paraId="41617D4E" w14:textId="77777777" w:rsidR="00CA499D" w:rsidRDefault="00FA4607" w:rsidP="002E3F92">
      <w:pPr>
        <w:pBdr>
          <w:top w:val="nil"/>
          <w:left w:val="nil"/>
          <w:bottom w:val="nil"/>
          <w:right w:val="nil"/>
          <w:between w:val="nil"/>
        </w:pBdr>
        <w:ind w:firstLine="567"/>
        <w:jc w:val="both"/>
        <w:rPr>
          <w:b/>
        </w:rPr>
      </w:pPr>
      <w:r w:rsidRPr="002E3F92">
        <w:rPr>
          <w:b/>
        </w:rPr>
        <w:t xml:space="preserve">3. Основні положення проєкту акта </w:t>
      </w:r>
    </w:p>
    <w:p w14:paraId="5410FB44" w14:textId="77777777" w:rsidR="00CA499D" w:rsidRDefault="00FA4607" w:rsidP="00501907">
      <w:pPr>
        <w:pBdr>
          <w:top w:val="nil"/>
          <w:left w:val="nil"/>
          <w:bottom w:val="nil"/>
          <w:right w:val="nil"/>
          <w:between w:val="nil"/>
        </w:pBdr>
        <w:ind w:firstLine="567"/>
        <w:jc w:val="both"/>
      </w:pPr>
      <w:r w:rsidRPr="002E3F92">
        <w:t xml:space="preserve">Проєктом акта передбачено </w:t>
      </w:r>
      <w:r w:rsidR="00501907">
        <w:t>внести зміну</w:t>
      </w:r>
      <w:r w:rsidR="00501907" w:rsidRPr="00501907">
        <w:t xml:space="preserve"> до пункту 4 переліку центральних органів виконавчої влади, інших державних органів, відповідальних за виконання зобов’язань, що випливають із членства Укр</w:t>
      </w:r>
      <w:r w:rsidR="00501907">
        <w:t xml:space="preserve">аїни в міжнародних організаціях, затвердженого постановою Кабінету Міністрів України </w:t>
      </w:r>
      <w:r w:rsidR="00275842">
        <w:t xml:space="preserve">від 13 вересня </w:t>
      </w:r>
      <w:r w:rsidR="00501907">
        <w:t xml:space="preserve">№ 1371, шляхом доповнення його позицією </w:t>
      </w:r>
      <w:r w:rsidR="00501907" w:rsidRPr="00501907">
        <w:t>«Конференція Сторін Мінаматської Конвенції про ртуть</w:t>
      </w:r>
      <w:r w:rsidR="00501907">
        <w:t>».</w:t>
      </w:r>
    </w:p>
    <w:p w14:paraId="2A84490E" w14:textId="1AF3BCFC" w:rsidR="00275842" w:rsidRDefault="00BE3D32" w:rsidP="00501907">
      <w:pPr>
        <w:pBdr>
          <w:top w:val="nil"/>
          <w:left w:val="nil"/>
          <w:bottom w:val="nil"/>
          <w:right w:val="nil"/>
          <w:between w:val="nil"/>
        </w:pBdr>
        <w:ind w:firstLine="567"/>
        <w:jc w:val="both"/>
      </w:pPr>
      <w:r>
        <w:t>Відповідальними за</w:t>
      </w:r>
      <w:r w:rsidRPr="00BE3D32">
        <w:t xml:space="preserve"> виконання зобов’язань, </w:t>
      </w:r>
      <w:r w:rsidR="00224CF9">
        <w:t xml:space="preserve">передбачених </w:t>
      </w:r>
      <w:r w:rsidR="000C20AB">
        <w:t xml:space="preserve">цією </w:t>
      </w:r>
      <w:r>
        <w:t>Конвенцією</w:t>
      </w:r>
      <w:r w:rsidR="00D8029C" w:rsidRPr="000B4632">
        <w:t>,</w:t>
      </w:r>
      <w:r>
        <w:t xml:space="preserve"> пропонуєт</w:t>
      </w:r>
      <w:r w:rsidR="00275842">
        <w:t>ься визначити:</w:t>
      </w:r>
    </w:p>
    <w:p w14:paraId="2FF36066" w14:textId="77777777" w:rsidR="00501907" w:rsidRPr="00D8029C" w:rsidRDefault="00BE3D32" w:rsidP="00501907">
      <w:pPr>
        <w:pBdr>
          <w:top w:val="nil"/>
          <w:left w:val="nil"/>
          <w:bottom w:val="nil"/>
          <w:right w:val="nil"/>
          <w:between w:val="nil"/>
        </w:pBdr>
        <w:ind w:firstLine="567"/>
        <w:jc w:val="both"/>
      </w:pPr>
      <w:r>
        <w:t>Міндовкілля з урахуванням</w:t>
      </w:r>
      <w:r w:rsidR="00224CF9">
        <w:t xml:space="preserve"> </w:t>
      </w:r>
      <w:r w:rsidR="00275842">
        <w:t>підпункт</w:t>
      </w:r>
      <w:r w:rsidR="00430DEA">
        <w:t>у</w:t>
      </w:r>
      <w:r w:rsidR="00275842">
        <w:t xml:space="preserve"> 2 </w:t>
      </w:r>
      <w:r w:rsidR="00B63E1E">
        <w:t xml:space="preserve">пункту </w:t>
      </w:r>
      <w:r w:rsidR="00275842">
        <w:t>1</w:t>
      </w:r>
      <w:r w:rsidR="00224CF9">
        <w:t xml:space="preserve"> Закону України «Про </w:t>
      </w:r>
      <w:r w:rsidR="00224CF9" w:rsidRPr="00224CF9">
        <w:t>приєднання України до Мінаматської конвенції про ртуть</w:t>
      </w:r>
      <w:r w:rsidR="00224CF9">
        <w:t>»</w:t>
      </w:r>
      <w:r w:rsidR="00224CF9" w:rsidRPr="00224CF9">
        <w:t xml:space="preserve">, </w:t>
      </w:r>
      <w:r w:rsidR="00430DEA">
        <w:t>відповідно до якого</w:t>
      </w:r>
      <w:r w:rsidR="00224CF9" w:rsidRPr="00224CF9">
        <w:t xml:space="preserve"> національним координаційним центром для обміну інформацією відповідно до положень Конвенції, </w:t>
      </w:r>
      <w:r w:rsidR="00D8029C" w:rsidRPr="00485741">
        <w:t>у</w:t>
      </w:r>
      <w:r w:rsidR="00224CF9" w:rsidRPr="00224CF9">
        <w:t xml:space="preserve"> тому числі щодо наявності згоди Сторін, що імпортують, висловленої відповідно до статті 3 Конвенції, є Міністерство захисту довкілля та природних ресурсів України</w:t>
      </w:r>
      <w:r w:rsidR="00D8029C" w:rsidRPr="00485741">
        <w:t>.</w:t>
      </w:r>
    </w:p>
    <w:p w14:paraId="26C5F961" w14:textId="77777777" w:rsidR="001D5CC0" w:rsidRDefault="00F6347F" w:rsidP="00501907">
      <w:pPr>
        <w:pBdr>
          <w:top w:val="nil"/>
          <w:left w:val="nil"/>
          <w:bottom w:val="nil"/>
          <w:right w:val="nil"/>
          <w:between w:val="nil"/>
        </w:pBdr>
        <w:ind w:firstLine="567"/>
        <w:jc w:val="both"/>
      </w:pPr>
      <w:r>
        <w:t>Мінекономіки з урахуванням підпункту 172 пункту</w:t>
      </w:r>
      <w:r w:rsidR="003120E0">
        <w:t xml:space="preserve"> 4 Положення про М</w:t>
      </w:r>
      <w:r w:rsidR="00E852CB">
        <w:t>іністерство економіки України, затвердженого постановою Кабінету Міністрів України</w:t>
      </w:r>
      <w:r w:rsidR="00B63E1E">
        <w:t xml:space="preserve"> від</w:t>
      </w:r>
      <w:r w:rsidR="00B63E1E" w:rsidRPr="00B63E1E">
        <w:t xml:space="preserve"> 20 серпня 2014 р</w:t>
      </w:r>
      <w:r w:rsidR="00B63E1E">
        <w:t>оку</w:t>
      </w:r>
      <w:r w:rsidR="00B63E1E" w:rsidRPr="00B63E1E">
        <w:t xml:space="preserve"> № 459</w:t>
      </w:r>
      <w:r w:rsidR="003120E0">
        <w:t>, відповідно до якого</w:t>
      </w:r>
      <w:r w:rsidR="00E852CB">
        <w:t xml:space="preserve"> на міністерство покладено завдання щодо участі</w:t>
      </w:r>
      <w:r w:rsidRPr="00F6347F">
        <w:t xml:space="preserve"> у роботі відповідних </w:t>
      </w:r>
      <w:r w:rsidRPr="00F6347F">
        <w:lastRenderedPageBreak/>
        <w:t>міжнародних, регіональних організацій із захисту прав споживачів, стандартизації, м</w:t>
      </w:r>
      <w:r w:rsidR="00E852CB">
        <w:t>етрології, оцінки відповідності.</w:t>
      </w:r>
    </w:p>
    <w:p w14:paraId="13FCCD4A" w14:textId="6D58EB5B" w:rsidR="00BE3D32" w:rsidRDefault="00BE3D32" w:rsidP="00501907">
      <w:pPr>
        <w:pBdr>
          <w:top w:val="nil"/>
          <w:left w:val="nil"/>
          <w:bottom w:val="nil"/>
          <w:right w:val="nil"/>
          <w:between w:val="nil"/>
        </w:pBdr>
        <w:ind w:firstLine="567"/>
        <w:jc w:val="both"/>
      </w:pPr>
      <w:r>
        <w:t>МЗС</w:t>
      </w:r>
      <w:r w:rsidR="00674080">
        <w:t xml:space="preserve"> з</w:t>
      </w:r>
      <w:r>
        <w:t xml:space="preserve"> урахуванням пункту 2 Порядку участі центральних органів виконавчої влади у діяльності міжнародних організацій, членом яких є </w:t>
      </w:r>
      <w:r w:rsidR="00D1446F">
        <w:t>Україна,</w:t>
      </w:r>
      <w:r>
        <w:t xml:space="preserve"> затвердженого постановою Кабінету Міністрів України </w:t>
      </w:r>
      <w:r w:rsidR="003120E0">
        <w:t xml:space="preserve">від </w:t>
      </w:r>
      <w:r w:rsidR="00430DEA">
        <w:t>13 вересня</w:t>
      </w:r>
      <w:r w:rsidR="00430DEA">
        <w:br/>
      </w:r>
      <w:r w:rsidR="003120E0" w:rsidRPr="003120E0">
        <w:t xml:space="preserve">2002 року </w:t>
      </w:r>
      <w:r>
        <w:t xml:space="preserve">№ 1371, відповідно до якого загальне забезпечення та координація діяльності, пов’язаної з участю центральних органів виконавчої влади у діяльності міжнародних організацій, здійснюється МЗС. </w:t>
      </w:r>
    </w:p>
    <w:p w14:paraId="645C5B8F" w14:textId="77777777" w:rsidR="00FC6DF8" w:rsidRDefault="00FC6DF8" w:rsidP="002E3F92">
      <w:pPr>
        <w:pBdr>
          <w:top w:val="nil"/>
          <w:left w:val="nil"/>
          <w:bottom w:val="nil"/>
          <w:right w:val="nil"/>
          <w:between w:val="nil"/>
        </w:pBdr>
        <w:ind w:firstLine="567"/>
        <w:jc w:val="both"/>
        <w:rPr>
          <w:b/>
        </w:rPr>
      </w:pPr>
    </w:p>
    <w:p w14:paraId="46316852" w14:textId="77777777" w:rsidR="00CA499D" w:rsidRDefault="00FA4607" w:rsidP="002E3F92">
      <w:pPr>
        <w:pBdr>
          <w:top w:val="nil"/>
          <w:left w:val="nil"/>
          <w:bottom w:val="nil"/>
          <w:right w:val="nil"/>
          <w:between w:val="nil"/>
        </w:pBdr>
        <w:ind w:firstLine="567"/>
        <w:jc w:val="both"/>
        <w:rPr>
          <w:b/>
        </w:rPr>
      </w:pPr>
      <w:r w:rsidRPr="002E3F92">
        <w:rPr>
          <w:b/>
        </w:rPr>
        <w:t>4. Правові аспекти</w:t>
      </w:r>
    </w:p>
    <w:p w14:paraId="707BF6CA" w14:textId="77777777" w:rsidR="00CA499D" w:rsidRPr="002E3F92" w:rsidRDefault="001F55A5" w:rsidP="002E3F92">
      <w:pPr>
        <w:pBdr>
          <w:top w:val="nil"/>
          <w:left w:val="nil"/>
          <w:bottom w:val="nil"/>
          <w:right w:val="nil"/>
          <w:between w:val="nil"/>
        </w:pBdr>
        <w:ind w:firstLine="567"/>
        <w:jc w:val="both"/>
      </w:pPr>
      <w:r>
        <w:t>У цій сфері правового регулювання діють</w:t>
      </w:r>
      <w:r w:rsidR="00FA4607" w:rsidRPr="002E3F92">
        <w:t>:</w:t>
      </w:r>
    </w:p>
    <w:p w14:paraId="5EB79DE4" w14:textId="77777777" w:rsidR="00CA499D" w:rsidRDefault="00FC6DF8" w:rsidP="002E3F92">
      <w:pPr>
        <w:pBdr>
          <w:top w:val="nil"/>
          <w:left w:val="nil"/>
          <w:bottom w:val="nil"/>
          <w:right w:val="nil"/>
          <w:between w:val="nil"/>
        </w:pBdr>
        <w:ind w:firstLine="567"/>
        <w:jc w:val="both"/>
      </w:pPr>
      <w:r>
        <w:t>Закон України «Про міжнародні договори України»</w:t>
      </w:r>
      <w:r w:rsidR="00FA4607" w:rsidRPr="002E3F92">
        <w:t>;</w:t>
      </w:r>
    </w:p>
    <w:p w14:paraId="45310D11" w14:textId="6EE57501" w:rsidR="00FC6DF8" w:rsidRPr="002E3F92" w:rsidRDefault="00ED3C5F" w:rsidP="002E3F92">
      <w:pPr>
        <w:pBdr>
          <w:top w:val="nil"/>
          <w:left w:val="nil"/>
          <w:bottom w:val="nil"/>
          <w:right w:val="nil"/>
          <w:between w:val="nil"/>
        </w:pBdr>
        <w:ind w:firstLine="567"/>
        <w:jc w:val="both"/>
      </w:pPr>
      <w:r>
        <w:t xml:space="preserve">Закон України </w:t>
      </w:r>
      <w:r w:rsidRPr="00ED3C5F">
        <w:t>«Про приєднання України до Мі</w:t>
      </w:r>
      <w:r w:rsidR="00066F8E">
        <w:t>наматської конвенції про ртуть»</w:t>
      </w:r>
      <w:r w:rsidR="00D44A84">
        <w:t>;</w:t>
      </w:r>
    </w:p>
    <w:p w14:paraId="05CF2BD5" w14:textId="77777777" w:rsidR="00CA499D" w:rsidRDefault="00ED3C5F" w:rsidP="002E3F92">
      <w:pPr>
        <w:pBdr>
          <w:top w:val="nil"/>
          <w:left w:val="nil"/>
          <w:bottom w:val="nil"/>
          <w:right w:val="nil"/>
          <w:between w:val="nil"/>
        </w:pBdr>
        <w:ind w:firstLine="567"/>
        <w:jc w:val="both"/>
      </w:pPr>
      <w:r w:rsidRPr="00ED3C5F">
        <w:t>постанова</w:t>
      </w:r>
      <w:r>
        <w:t xml:space="preserve"> Кабінету Міністрів України від 13 вересня 2002 року № 1371 «Про порядок участі центральних органів виконавчої влади у діяльності міжнародних організацій, членом яких є Україна».</w:t>
      </w:r>
    </w:p>
    <w:p w14:paraId="77D13802" w14:textId="77777777" w:rsidR="00ED3C5F" w:rsidRPr="00ED3C5F" w:rsidRDefault="00ED3C5F" w:rsidP="002E3F92">
      <w:pPr>
        <w:pBdr>
          <w:top w:val="nil"/>
          <w:left w:val="nil"/>
          <w:bottom w:val="nil"/>
          <w:right w:val="nil"/>
          <w:between w:val="nil"/>
        </w:pBdr>
        <w:ind w:firstLine="567"/>
        <w:jc w:val="both"/>
      </w:pPr>
    </w:p>
    <w:p w14:paraId="305E9652" w14:textId="77777777" w:rsidR="00CA499D" w:rsidRDefault="00FA4607" w:rsidP="002E3F92">
      <w:pPr>
        <w:pBdr>
          <w:top w:val="nil"/>
          <w:left w:val="nil"/>
          <w:bottom w:val="nil"/>
          <w:right w:val="nil"/>
          <w:between w:val="nil"/>
        </w:pBdr>
        <w:ind w:firstLine="567"/>
        <w:jc w:val="both"/>
        <w:rPr>
          <w:b/>
          <w:color w:val="000000"/>
        </w:rPr>
      </w:pPr>
      <w:r w:rsidRPr="002E3F92">
        <w:rPr>
          <w:b/>
          <w:color w:val="000000"/>
        </w:rPr>
        <w:t xml:space="preserve">5. Фінансово-економічне обґрунтування </w:t>
      </w:r>
    </w:p>
    <w:p w14:paraId="37B9895A" w14:textId="77777777" w:rsidR="00CA499D" w:rsidRDefault="00ED3C5F" w:rsidP="002E3F92">
      <w:pPr>
        <w:pBdr>
          <w:top w:val="nil"/>
          <w:left w:val="nil"/>
          <w:bottom w:val="nil"/>
          <w:right w:val="nil"/>
          <w:between w:val="nil"/>
        </w:pBdr>
        <w:ind w:firstLine="567"/>
        <w:jc w:val="both"/>
      </w:pPr>
      <w:r w:rsidRPr="006B2BDE">
        <w:t>Реалізація проєкту акта не потребує фінансування з Державного чи місцевих бюджетів України.</w:t>
      </w:r>
    </w:p>
    <w:p w14:paraId="63D7190F" w14:textId="77777777" w:rsidR="006B2BDE" w:rsidRPr="006B2BDE" w:rsidRDefault="006B2BDE" w:rsidP="002E3F92">
      <w:pPr>
        <w:pBdr>
          <w:top w:val="nil"/>
          <w:left w:val="nil"/>
          <w:bottom w:val="nil"/>
          <w:right w:val="nil"/>
          <w:between w:val="nil"/>
        </w:pBdr>
        <w:ind w:firstLine="567"/>
        <w:jc w:val="both"/>
      </w:pPr>
    </w:p>
    <w:p w14:paraId="4DE94CB5" w14:textId="77777777" w:rsidR="00172ED7" w:rsidRDefault="00FA4607" w:rsidP="00172ED7">
      <w:pPr>
        <w:pBdr>
          <w:top w:val="nil"/>
          <w:left w:val="nil"/>
          <w:bottom w:val="nil"/>
          <w:right w:val="nil"/>
          <w:between w:val="nil"/>
        </w:pBdr>
        <w:ind w:firstLine="567"/>
        <w:jc w:val="both"/>
        <w:rPr>
          <w:b/>
          <w:color w:val="000000"/>
        </w:rPr>
      </w:pPr>
      <w:r w:rsidRPr="002E3F92">
        <w:rPr>
          <w:b/>
          <w:color w:val="000000"/>
        </w:rPr>
        <w:t>6. Позиція заінтересованих сторін</w:t>
      </w:r>
    </w:p>
    <w:p w14:paraId="0A30AA0D" w14:textId="77777777" w:rsidR="003120E0" w:rsidRDefault="003120E0" w:rsidP="00172ED7">
      <w:pPr>
        <w:pBdr>
          <w:top w:val="nil"/>
          <w:left w:val="nil"/>
          <w:bottom w:val="nil"/>
          <w:right w:val="nil"/>
          <w:between w:val="nil"/>
        </w:pBdr>
        <w:ind w:firstLine="567"/>
        <w:jc w:val="both"/>
        <w:rPr>
          <w:color w:val="000000"/>
        </w:rPr>
      </w:pPr>
      <w:r w:rsidRPr="003120E0">
        <w:rPr>
          <w:color w:val="000000"/>
        </w:rPr>
        <w:t>Проєт акта з метою проведення громадських обговорень опублікований на офіційному вебсайті Міндовкілля (https://mepr.gov.ua/).</w:t>
      </w:r>
    </w:p>
    <w:p w14:paraId="61EA255E" w14:textId="77777777" w:rsidR="00341257" w:rsidRPr="00735AAF" w:rsidRDefault="00341257" w:rsidP="00341257">
      <w:pPr>
        <w:pStyle w:val="aa"/>
        <w:spacing w:before="0" w:line="240" w:lineRule="auto"/>
        <w:jc w:val="both"/>
        <w:rPr>
          <w:rFonts w:ascii="Times New Roman" w:hAnsi="Times New Roman" w:cs="Times New Roman"/>
          <w:sz w:val="28"/>
          <w:szCs w:val="28"/>
        </w:rPr>
      </w:pPr>
      <w:r w:rsidRPr="00735AAF">
        <w:rPr>
          <w:rFonts w:ascii="Times New Roman" w:hAnsi="Times New Roman" w:cs="Times New Roman"/>
          <w:sz w:val="28"/>
          <w:szCs w:val="28"/>
        </w:rPr>
        <w:t>Проєкт акта не стосується сфери наукової та науково-технічної діяльності та не потребує розгляду Науковим комітетом Національної ради з питань розвитку науки і технологій.</w:t>
      </w:r>
    </w:p>
    <w:p w14:paraId="6EA86EEC" w14:textId="77777777" w:rsidR="00341257" w:rsidRDefault="00341257" w:rsidP="00341257">
      <w:pPr>
        <w:pStyle w:val="aa"/>
        <w:spacing w:before="0" w:line="240" w:lineRule="auto"/>
        <w:jc w:val="both"/>
        <w:rPr>
          <w:rFonts w:ascii="Times New Roman" w:hAnsi="Times New Roman" w:cs="Times New Roman"/>
          <w:sz w:val="28"/>
          <w:szCs w:val="28"/>
        </w:rPr>
      </w:pPr>
      <w:r w:rsidRPr="00735AAF">
        <w:rPr>
          <w:rFonts w:ascii="Times New Roman" w:hAnsi="Times New Roman" w:cs="Times New Roman"/>
          <w:sz w:val="28"/>
          <w:szCs w:val="28"/>
        </w:rPr>
        <w:t xml:space="preserve">Проєкт акта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w:t>
      </w:r>
      <w:r w:rsidRPr="00735AAF">
        <w:rPr>
          <w:rFonts w:ascii="Times New Roman" w:hAnsi="Times New Roman" w:cs="Times New Roman"/>
          <w:sz w:val="28"/>
          <w:szCs w:val="28"/>
          <w:shd w:val="clear" w:color="auto" w:fill="FFFFFF"/>
        </w:rPr>
        <w:t>функціонування і застосування української мови як державної, тому не зазначається позиція уповноважених представників всеукраїнських асоціацій органів місцевого самоврядування чи відповідних органів місцевого самоврядування, уповноважених представників всеукраїнських профспілок, їх об’єднань та всеукраїнських об’єднань організацій роботодавців, Урядового</w:t>
      </w:r>
      <w:r w:rsidRPr="00735AAF">
        <w:rPr>
          <w:rFonts w:ascii="Times New Roman" w:hAnsi="Times New Roman" w:cs="Times New Roman"/>
          <w:sz w:val="28"/>
          <w:szCs w:val="28"/>
        </w:rPr>
        <w:t xml:space="preserve"> уповноваженого з прав осіб з інвалідністю та всеукраїнських громадських організацій осіб з інвалідністю, їх спілок, Уповноваженого із захисту державної мови.</w:t>
      </w:r>
    </w:p>
    <w:p w14:paraId="2FB1F455" w14:textId="77777777" w:rsidR="000730F7" w:rsidRDefault="000730F7" w:rsidP="002E3F92">
      <w:pPr>
        <w:pBdr>
          <w:top w:val="nil"/>
          <w:left w:val="nil"/>
          <w:bottom w:val="nil"/>
          <w:right w:val="nil"/>
          <w:between w:val="nil"/>
        </w:pBdr>
        <w:ind w:firstLine="567"/>
        <w:jc w:val="both"/>
        <w:rPr>
          <w:b/>
          <w:color w:val="000000"/>
        </w:rPr>
      </w:pPr>
    </w:p>
    <w:p w14:paraId="4EB44387" w14:textId="77777777" w:rsidR="00D71536" w:rsidRDefault="00FA4607" w:rsidP="002E3F92">
      <w:pPr>
        <w:pBdr>
          <w:top w:val="nil"/>
          <w:left w:val="nil"/>
          <w:bottom w:val="nil"/>
          <w:right w:val="nil"/>
          <w:between w:val="nil"/>
        </w:pBdr>
        <w:ind w:firstLine="567"/>
        <w:jc w:val="both"/>
        <w:rPr>
          <w:b/>
          <w:color w:val="000000"/>
        </w:rPr>
      </w:pPr>
      <w:r w:rsidRPr="002E3F92">
        <w:rPr>
          <w:b/>
          <w:color w:val="000000"/>
        </w:rPr>
        <w:t>7. Оцінка відповідності</w:t>
      </w:r>
    </w:p>
    <w:p w14:paraId="748F6C2E" w14:textId="77777777" w:rsidR="0056569A" w:rsidRPr="00735AAF" w:rsidRDefault="0056569A" w:rsidP="0056569A">
      <w:pPr>
        <w:widowControl w:val="0"/>
        <w:tabs>
          <w:tab w:val="left" w:pos="1134"/>
        </w:tabs>
        <w:ind w:firstLine="567"/>
        <w:jc w:val="both"/>
      </w:pPr>
      <w:r w:rsidRPr="00735AAF">
        <w:t>Положення проєкту акта не стосуються прав та свобод, гарантованих Конвенцією про захист прав людини і основоположних свобод.</w:t>
      </w:r>
    </w:p>
    <w:p w14:paraId="3D360E42" w14:textId="77777777" w:rsidR="0056569A" w:rsidRPr="00735AAF" w:rsidRDefault="0056569A" w:rsidP="0056569A">
      <w:pPr>
        <w:widowControl w:val="0"/>
        <w:tabs>
          <w:tab w:val="left" w:pos="1134"/>
        </w:tabs>
        <w:ind w:firstLine="567"/>
        <w:jc w:val="both"/>
      </w:pPr>
      <w:r w:rsidRPr="00735AAF">
        <w:t xml:space="preserve">У проєкті акта відсутні положення, які порушують принцип забезпечення рівних прав та можливостей жінок і чоловіків. </w:t>
      </w:r>
    </w:p>
    <w:p w14:paraId="5DCDC308" w14:textId="77777777" w:rsidR="0056569A" w:rsidRPr="00735AAF" w:rsidRDefault="0056569A" w:rsidP="0056569A">
      <w:pPr>
        <w:widowControl w:val="0"/>
        <w:tabs>
          <w:tab w:val="left" w:pos="1134"/>
        </w:tabs>
        <w:ind w:firstLine="567"/>
        <w:jc w:val="both"/>
      </w:pPr>
      <w:r w:rsidRPr="00735AAF">
        <w:t xml:space="preserve">У проєкті акта відсутні правила і процедури, які можуть містити ризики </w:t>
      </w:r>
      <w:r w:rsidRPr="00735AAF">
        <w:lastRenderedPageBreak/>
        <w:t xml:space="preserve">вчинення корупційних правопорушень та правопорушень, пов’язаних з корупцією. </w:t>
      </w:r>
    </w:p>
    <w:p w14:paraId="39BFE791" w14:textId="77777777" w:rsidR="0056569A" w:rsidRPr="00735AAF" w:rsidRDefault="0056569A" w:rsidP="0056569A">
      <w:pPr>
        <w:widowControl w:val="0"/>
        <w:tabs>
          <w:tab w:val="left" w:pos="1134"/>
        </w:tabs>
        <w:ind w:firstLine="567"/>
        <w:jc w:val="both"/>
      </w:pPr>
      <w:r w:rsidRPr="00735AAF">
        <w:t xml:space="preserve">У зв’язку із цим громадська антикорупційна експертиза не передбачається. </w:t>
      </w:r>
    </w:p>
    <w:p w14:paraId="12238177" w14:textId="77777777" w:rsidR="0056569A" w:rsidRPr="00735AAF" w:rsidRDefault="0056569A" w:rsidP="0056569A">
      <w:pPr>
        <w:widowControl w:val="0"/>
        <w:tabs>
          <w:tab w:val="left" w:pos="1134"/>
        </w:tabs>
        <w:ind w:firstLine="567"/>
        <w:jc w:val="both"/>
      </w:pPr>
      <w:r w:rsidRPr="00735AAF">
        <w:t>У проєкті акта відсутні положення, які містять ознаки дискримінації, інші ризики та обмеження, які можуть виникнути під час реалізації акта. У зв’язку із цим, громадська антидискримінаційна та громадська гендерно-правова експертизи не плануються.</w:t>
      </w:r>
    </w:p>
    <w:p w14:paraId="772A7942" w14:textId="77777777" w:rsidR="00474D4E" w:rsidRPr="00735AAF" w:rsidRDefault="00474D4E" w:rsidP="00474D4E">
      <w:pPr>
        <w:pStyle w:val="aa"/>
        <w:spacing w:before="0" w:line="240" w:lineRule="auto"/>
        <w:jc w:val="both"/>
        <w:rPr>
          <w:rFonts w:ascii="Times New Roman" w:hAnsi="Times New Roman" w:cs="Times New Roman"/>
          <w:sz w:val="28"/>
          <w:szCs w:val="28"/>
        </w:rPr>
      </w:pPr>
      <w:r>
        <w:rPr>
          <w:rFonts w:ascii="Times New Roman" w:hAnsi="Times New Roman" w:cs="Times New Roman"/>
          <w:sz w:val="28"/>
          <w:szCs w:val="28"/>
        </w:rPr>
        <w:t>Проєк акта буде надіслано до Національного агенства з питань запобігання корупції для визначення необхідності проведення антикорупційної експертизи.</w:t>
      </w:r>
    </w:p>
    <w:p w14:paraId="337AE0AC" w14:textId="77777777" w:rsidR="007A6930" w:rsidRDefault="007A6930" w:rsidP="002E3F92">
      <w:pPr>
        <w:pBdr>
          <w:top w:val="nil"/>
          <w:left w:val="nil"/>
          <w:bottom w:val="nil"/>
          <w:right w:val="nil"/>
          <w:between w:val="nil"/>
        </w:pBdr>
        <w:ind w:firstLine="567"/>
        <w:jc w:val="both"/>
        <w:rPr>
          <w:b/>
          <w:color w:val="000000"/>
        </w:rPr>
      </w:pPr>
    </w:p>
    <w:p w14:paraId="0C09FE87" w14:textId="77777777" w:rsidR="00CA499D" w:rsidRDefault="00FA4607" w:rsidP="002E3F92">
      <w:pPr>
        <w:pBdr>
          <w:top w:val="nil"/>
          <w:left w:val="nil"/>
          <w:bottom w:val="nil"/>
          <w:right w:val="nil"/>
          <w:between w:val="nil"/>
        </w:pBdr>
        <w:ind w:firstLine="567"/>
        <w:jc w:val="both"/>
        <w:rPr>
          <w:b/>
          <w:color w:val="000000"/>
        </w:rPr>
      </w:pPr>
      <w:r w:rsidRPr="002E3F92">
        <w:rPr>
          <w:b/>
          <w:color w:val="000000"/>
        </w:rPr>
        <w:t>8. Прогноз результатів</w:t>
      </w:r>
    </w:p>
    <w:p w14:paraId="767644ED" w14:textId="77777777" w:rsidR="0007390E" w:rsidRDefault="0007390E" w:rsidP="002E3F92">
      <w:pPr>
        <w:pBdr>
          <w:top w:val="nil"/>
          <w:left w:val="nil"/>
          <w:bottom w:val="nil"/>
          <w:right w:val="nil"/>
          <w:between w:val="nil"/>
        </w:pBdr>
        <w:ind w:firstLine="567"/>
        <w:jc w:val="both"/>
        <w:rPr>
          <w:color w:val="000000"/>
        </w:rPr>
      </w:pPr>
      <w:r w:rsidRPr="0007390E">
        <w:rPr>
          <w:color w:val="000000"/>
        </w:rPr>
        <w:t xml:space="preserve">Прийняття проєкту </w:t>
      </w:r>
      <w:r>
        <w:rPr>
          <w:color w:val="000000"/>
        </w:rPr>
        <w:t>акта сприятиме виконанню зобов’язань за Конвенцією.</w:t>
      </w:r>
    </w:p>
    <w:p w14:paraId="323F27AB" w14:textId="77777777" w:rsidR="00DB0BFD" w:rsidRDefault="00DB0BFD" w:rsidP="002E3F92">
      <w:pPr>
        <w:pBdr>
          <w:top w:val="nil"/>
          <w:left w:val="nil"/>
          <w:bottom w:val="nil"/>
          <w:right w:val="nil"/>
          <w:between w:val="nil"/>
        </w:pBdr>
        <w:ind w:firstLine="567"/>
        <w:jc w:val="both"/>
        <w:rPr>
          <w:lang w:val="ru-RU"/>
        </w:rPr>
      </w:pPr>
      <w:r>
        <w:t>Реалізація проє</w:t>
      </w:r>
      <w:r w:rsidRPr="006E47F6">
        <w:t xml:space="preserve">кту </w:t>
      </w:r>
      <w:r>
        <w:t>акта</w:t>
      </w:r>
      <w:r w:rsidRPr="006E47F6">
        <w:t xml:space="preserve"> </w:t>
      </w:r>
      <w:r w:rsidR="0007390E">
        <w:t>за пр</w:t>
      </w:r>
      <w:r w:rsidR="00031241">
        <w:t xml:space="preserve">едметом правового регулювання </w:t>
      </w:r>
      <w:r w:rsidR="0007390E">
        <w:t xml:space="preserve">матиме </w:t>
      </w:r>
      <w:r w:rsidR="00031241">
        <w:t>позитивний вплив</w:t>
      </w:r>
      <w:r w:rsidR="0007390E">
        <w:t xml:space="preserve"> </w:t>
      </w:r>
      <w:r w:rsidRPr="006E47F6">
        <w:t xml:space="preserve">на </w:t>
      </w:r>
      <w:r w:rsidR="00994659">
        <w:t>довкілля</w:t>
      </w:r>
      <w:r>
        <w:t>.</w:t>
      </w:r>
    </w:p>
    <w:p w14:paraId="3BE1906E" w14:textId="77777777" w:rsidR="00D03424" w:rsidRPr="00D03424" w:rsidRDefault="00D03424" w:rsidP="002E3F92">
      <w:pPr>
        <w:pBdr>
          <w:top w:val="nil"/>
          <w:left w:val="nil"/>
          <w:bottom w:val="nil"/>
          <w:right w:val="nil"/>
          <w:between w:val="nil"/>
        </w:pBdr>
        <w:ind w:firstLine="567"/>
        <w:jc w:val="both"/>
        <w:rPr>
          <w:b/>
          <w:color w:val="000000"/>
          <w:lang w:val="ru-RU"/>
        </w:rPr>
      </w:pPr>
    </w:p>
    <w:p w14:paraId="576EA679" w14:textId="77777777" w:rsidR="00964E58" w:rsidRPr="00994659" w:rsidRDefault="00964E58" w:rsidP="00C85167">
      <w:pPr>
        <w:pBdr>
          <w:top w:val="nil"/>
          <w:left w:val="nil"/>
          <w:bottom w:val="nil"/>
          <w:right w:val="nil"/>
          <w:between w:val="nil"/>
        </w:pBdr>
        <w:rPr>
          <w:b/>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51"/>
      </w:tblGrid>
      <w:tr w:rsidR="00D03424" w14:paraId="1A26B862" w14:textId="77777777" w:rsidTr="00D03424">
        <w:tc>
          <w:tcPr>
            <w:tcW w:w="4503" w:type="dxa"/>
          </w:tcPr>
          <w:p w14:paraId="4AF559FB" w14:textId="77777777" w:rsidR="00D03424" w:rsidRPr="00C85167" w:rsidRDefault="00D03424" w:rsidP="00D03424">
            <w:pPr>
              <w:pBdr>
                <w:top w:val="nil"/>
                <w:left w:val="nil"/>
                <w:bottom w:val="nil"/>
                <w:right w:val="nil"/>
                <w:between w:val="nil"/>
              </w:pBdr>
              <w:rPr>
                <w:b/>
              </w:rPr>
            </w:pPr>
            <w:r w:rsidRPr="00C85167">
              <w:rPr>
                <w:b/>
              </w:rPr>
              <w:t xml:space="preserve">Міністр захисту довкілля </w:t>
            </w:r>
          </w:p>
          <w:p w14:paraId="4189CCD9" w14:textId="77777777" w:rsidR="00D03424" w:rsidRDefault="00D03424" w:rsidP="00D03424">
            <w:pPr>
              <w:rPr>
                <w:b/>
              </w:rPr>
            </w:pPr>
            <w:r w:rsidRPr="00C85167">
              <w:rPr>
                <w:b/>
              </w:rPr>
              <w:t>та природних ресурсів</w:t>
            </w:r>
            <w:r w:rsidR="003120E0">
              <w:rPr>
                <w:b/>
              </w:rPr>
              <w:t xml:space="preserve"> України</w:t>
            </w:r>
          </w:p>
        </w:tc>
        <w:tc>
          <w:tcPr>
            <w:tcW w:w="5351" w:type="dxa"/>
          </w:tcPr>
          <w:p w14:paraId="5E84726D" w14:textId="77777777" w:rsidR="00D03424" w:rsidRDefault="00D03424" w:rsidP="00D03424">
            <w:pPr>
              <w:jc w:val="right"/>
              <w:rPr>
                <w:b/>
              </w:rPr>
            </w:pPr>
            <w:r w:rsidRPr="00C85167">
              <w:rPr>
                <w:b/>
              </w:rPr>
              <w:t>Руслан СТРІЛЕЦЬ</w:t>
            </w:r>
          </w:p>
        </w:tc>
      </w:tr>
    </w:tbl>
    <w:p w14:paraId="5A7C59F2" w14:textId="77777777" w:rsidR="0000108E" w:rsidRDefault="0000108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F938AA7" w14:textId="77777777" w:rsidR="00964E58" w:rsidRDefault="00964E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A3B1E89" w14:textId="77777777" w:rsidR="00CA499D" w:rsidRDefault="00964E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__ » ______________ 2024</w:t>
      </w:r>
      <w:r w:rsidR="00FA4607">
        <w:t xml:space="preserve"> року </w:t>
      </w:r>
    </w:p>
    <w:sectPr w:rsidR="00CA499D" w:rsidSect="002554DE">
      <w:headerReference w:type="default" r:id="rId8"/>
      <w:headerReference w:type="first" r:id="rId9"/>
      <w:pgSz w:w="11906" w:h="16838"/>
      <w:pgMar w:top="851" w:right="567" w:bottom="1134" w:left="1701" w:header="170" w:footer="62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F2C4E" w14:textId="77777777" w:rsidR="00D36E97" w:rsidRDefault="00D36E97">
      <w:r>
        <w:separator/>
      </w:r>
    </w:p>
  </w:endnote>
  <w:endnote w:type="continuationSeparator" w:id="0">
    <w:p w14:paraId="7759FAA7" w14:textId="77777777" w:rsidR="00D36E97" w:rsidRDefault="00D3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738B4" w14:textId="77777777" w:rsidR="00D36E97" w:rsidRDefault="00D36E97">
      <w:r>
        <w:separator/>
      </w:r>
    </w:p>
  </w:footnote>
  <w:footnote w:type="continuationSeparator" w:id="0">
    <w:p w14:paraId="376DC797" w14:textId="77777777" w:rsidR="00D36E97" w:rsidRDefault="00D36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956601"/>
      <w:docPartObj>
        <w:docPartGallery w:val="Page Numbers (Top of Page)"/>
        <w:docPartUnique/>
      </w:docPartObj>
    </w:sdtPr>
    <w:sdtEndPr/>
    <w:sdtContent>
      <w:p w14:paraId="6961A0A8" w14:textId="77777777" w:rsidR="00D71536" w:rsidRDefault="00EE6BDB" w:rsidP="00D71536">
        <w:pPr>
          <w:pStyle w:val="a6"/>
          <w:jc w:val="center"/>
        </w:pPr>
        <w:r>
          <w:fldChar w:fldCharType="begin"/>
        </w:r>
        <w:r w:rsidR="00D71536">
          <w:instrText>PAGE   \* MERGEFORMAT</w:instrText>
        </w:r>
        <w:r>
          <w:fldChar w:fldCharType="separate"/>
        </w:r>
        <w:r w:rsidR="000C20AB">
          <w:rPr>
            <w:noProof/>
          </w:rPr>
          <w:t>2</w:t>
        </w:r>
        <w:r>
          <w:fldChar w:fldCharType="end"/>
        </w:r>
      </w:p>
    </w:sdtContent>
  </w:sdt>
  <w:p w14:paraId="615D4D15" w14:textId="77777777" w:rsidR="00CA499D" w:rsidRDefault="00CA499D">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2A934" w14:textId="77777777" w:rsidR="00D71536" w:rsidRPr="00D71536" w:rsidRDefault="00D71536" w:rsidP="00D71536">
    <w:pPr>
      <w:pStyle w:val="a6"/>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B4347"/>
    <w:multiLevelType w:val="hybridMultilevel"/>
    <w:tmpl w:val="E278D6E0"/>
    <w:lvl w:ilvl="0" w:tplc="3F24986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9D"/>
    <w:rsid w:val="0000108E"/>
    <w:rsid w:val="00031241"/>
    <w:rsid w:val="00037F26"/>
    <w:rsid w:val="00057205"/>
    <w:rsid w:val="00063525"/>
    <w:rsid w:val="00066F8E"/>
    <w:rsid w:val="000730F7"/>
    <w:rsid w:val="0007390E"/>
    <w:rsid w:val="00096FE0"/>
    <w:rsid w:val="000B4632"/>
    <w:rsid w:val="000C20AB"/>
    <w:rsid w:val="000E66E6"/>
    <w:rsid w:val="000F410A"/>
    <w:rsid w:val="00111CF3"/>
    <w:rsid w:val="00113E8B"/>
    <w:rsid w:val="00115896"/>
    <w:rsid w:val="00172ED7"/>
    <w:rsid w:val="00177408"/>
    <w:rsid w:val="00196081"/>
    <w:rsid w:val="001A1D04"/>
    <w:rsid w:val="001D5CC0"/>
    <w:rsid w:val="001F55A5"/>
    <w:rsid w:val="00211BF2"/>
    <w:rsid w:val="00224CF9"/>
    <w:rsid w:val="002554DE"/>
    <w:rsid w:val="00275842"/>
    <w:rsid w:val="00284E26"/>
    <w:rsid w:val="002A215D"/>
    <w:rsid w:val="002C4A83"/>
    <w:rsid w:val="002E3F92"/>
    <w:rsid w:val="002F7ED1"/>
    <w:rsid w:val="00305DE1"/>
    <w:rsid w:val="003120E0"/>
    <w:rsid w:val="00341257"/>
    <w:rsid w:val="00372DC1"/>
    <w:rsid w:val="003D0450"/>
    <w:rsid w:val="003D2063"/>
    <w:rsid w:val="003E5E24"/>
    <w:rsid w:val="003E77DE"/>
    <w:rsid w:val="00422277"/>
    <w:rsid w:val="00425A73"/>
    <w:rsid w:val="00430DEA"/>
    <w:rsid w:val="00436953"/>
    <w:rsid w:val="00456809"/>
    <w:rsid w:val="00474D4E"/>
    <w:rsid w:val="00485741"/>
    <w:rsid w:val="004A307E"/>
    <w:rsid w:val="004C32F6"/>
    <w:rsid w:val="004C66DB"/>
    <w:rsid w:val="00501907"/>
    <w:rsid w:val="00537F06"/>
    <w:rsid w:val="0056569A"/>
    <w:rsid w:val="00585FD0"/>
    <w:rsid w:val="005A757F"/>
    <w:rsid w:val="005A7942"/>
    <w:rsid w:val="00614F17"/>
    <w:rsid w:val="006210B1"/>
    <w:rsid w:val="00634751"/>
    <w:rsid w:val="0067102E"/>
    <w:rsid w:val="006715E8"/>
    <w:rsid w:val="00674080"/>
    <w:rsid w:val="006B2BDE"/>
    <w:rsid w:val="006B74D4"/>
    <w:rsid w:val="006C3A4F"/>
    <w:rsid w:val="006D62A0"/>
    <w:rsid w:val="006F4140"/>
    <w:rsid w:val="00715F63"/>
    <w:rsid w:val="00740E36"/>
    <w:rsid w:val="007A6930"/>
    <w:rsid w:val="007D0126"/>
    <w:rsid w:val="008078FF"/>
    <w:rsid w:val="00844D02"/>
    <w:rsid w:val="00854547"/>
    <w:rsid w:val="008C6A08"/>
    <w:rsid w:val="008D784F"/>
    <w:rsid w:val="009032E8"/>
    <w:rsid w:val="00916D57"/>
    <w:rsid w:val="009433ED"/>
    <w:rsid w:val="00952DF5"/>
    <w:rsid w:val="009578FD"/>
    <w:rsid w:val="00964E58"/>
    <w:rsid w:val="00994659"/>
    <w:rsid w:val="009C10EE"/>
    <w:rsid w:val="009F7F18"/>
    <w:rsid w:val="00A01E53"/>
    <w:rsid w:val="00A36246"/>
    <w:rsid w:val="00A37D74"/>
    <w:rsid w:val="00A51808"/>
    <w:rsid w:val="00AE6546"/>
    <w:rsid w:val="00B63E1E"/>
    <w:rsid w:val="00B82430"/>
    <w:rsid w:val="00BA5093"/>
    <w:rsid w:val="00BC0C5B"/>
    <w:rsid w:val="00BE3D32"/>
    <w:rsid w:val="00C10046"/>
    <w:rsid w:val="00C30CBF"/>
    <w:rsid w:val="00C42178"/>
    <w:rsid w:val="00C55F51"/>
    <w:rsid w:val="00C7198D"/>
    <w:rsid w:val="00C85167"/>
    <w:rsid w:val="00C87374"/>
    <w:rsid w:val="00CA499D"/>
    <w:rsid w:val="00CF796B"/>
    <w:rsid w:val="00D03424"/>
    <w:rsid w:val="00D1446F"/>
    <w:rsid w:val="00D163BC"/>
    <w:rsid w:val="00D36E97"/>
    <w:rsid w:val="00D44A84"/>
    <w:rsid w:val="00D67016"/>
    <w:rsid w:val="00D71536"/>
    <w:rsid w:val="00D8029C"/>
    <w:rsid w:val="00D90C86"/>
    <w:rsid w:val="00DB0BFD"/>
    <w:rsid w:val="00DD3F4F"/>
    <w:rsid w:val="00E852CB"/>
    <w:rsid w:val="00ED3C5F"/>
    <w:rsid w:val="00EE6BDB"/>
    <w:rsid w:val="00F47B7E"/>
    <w:rsid w:val="00F6347F"/>
    <w:rsid w:val="00F72D79"/>
    <w:rsid w:val="00FA21CE"/>
    <w:rsid w:val="00FA4607"/>
    <w:rsid w:val="00FC6DF8"/>
    <w:rsid w:val="00FD05E0"/>
    <w:rsid w:val="00FF48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2D2CB"/>
  <w15:docId w15:val="{16DE6218-78E1-4199-8C03-B4DA5AEC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54547"/>
  </w:style>
  <w:style w:type="paragraph" w:styleId="1">
    <w:name w:val="heading 1"/>
    <w:basedOn w:val="a"/>
    <w:next w:val="a"/>
    <w:rsid w:val="0067102E"/>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rsid w:val="0067102E"/>
    <w:pPr>
      <w:keepNext/>
      <w:pBdr>
        <w:top w:val="nil"/>
        <w:left w:val="nil"/>
        <w:bottom w:val="nil"/>
        <w:right w:val="nil"/>
        <w:between w:val="nil"/>
      </w:pBdr>
      <w:spacing w:before="240" w:after="60"/>
      <w:outlineLvl w:val="1"/>
    </w:pPr>
    <w:rPr>
      <w:rFonts w:ascii="Cambria" w:eastAsia="Cambria" w:hAnsi="Cambria" w:cs="Cambria"/>
      <w:b/>
      <w:i/>
    </w:rPr>
  </w:style>
  <w:style w:type="paragraph" w:styleId="3">
    <w:name w:val="heading 3"/>
    <w:basedOn w:val="a"/>
    <w:next w:val="a"/>
    <w:rsid w:val="0067102E"/>
    <w:pPr>
      <w:pBdr>
        <w:top w:val="nil"/>
        <w:left w:val="nil"/>
        <w:bottom w:val="nil"/>
        <w:right w:val="nil"/>
        <w:between w:val="nil"/>
      </w:pBdr>
      <w:spacing w:before="100" w:after="100"/>
      <w:outlineLvl w:val="2"/>
    </w:pPr>
    <w:rPr>
      <w:b/>
      <w:sz w:val="27"/>
      <w:szCs w:val="27"/>
    </w:rPr>
  </w:style>
  <w:style w:type="paragraph" w:styleId="4">
    <w:name w:val="heading 4"/>
    <w:basedOn w:val="a"/>
    <w:next w:val="a"/>
    <w:rsid w:val="0067102E"/>
    <w:pPr>
      <w:keepNext/>
      <w:pBdr>
        <w:top w:val="nil"/>
        <w:left w:val="nil"/>
        <w:bottom w:val="nil"/>
        <w:right w:val="nil"/>
        <w:between w:val="nil"/>
      </w:pBdr>
      <w:spacing w:before="240" w:after="60"/>
      <w:outlineLvl w:val="3"/>
    </w:pPr>
    <w:rPr>
      <w:b/>
    </w:rPr>
  </w:style>
  <w:style w:type="paragraph" w:styleId="5">
    <w:name w:val="heading 5"/>
    <w:basedOn w:val="a"/>
    <w:next w:val="a"/>
    <w:rsid w:val="0067102E"/>
    <w:pPr>
      <w:pBdr>
        <w:top w:val="nil"/>
        <w:left w:val="nil"/>
        <w:bottom w:val="nil"/>
        <w:right w:val="nil"/>
        <w:between w:val="nil"/>
      </w:pBdr>
      <w:spacing w:before="240" w:after="60"/>
      <w:outlineLvl w:val="4"/>
    </w:pPr>
    <w:rPr>
      <w:b/>
      <w:i/>
      <w:sz w:val="26"/>
      <w:szCs w:val="26"/>
    </w:rPr>
  </w:style>
  <w:style w:type="paragraph" w:styleId="6">
    <w:name w:val="heading 6"/>
    <w:basedOn w:val="a"/>
    <w:next w:val="a"/>
    <w:rsid w:val="0067102E"/>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7102E"/>
    <w:tblPr>
      <w:tblCellMar>
        <w:top w:w="0" w:type="dxa"/>
        <w:left w:w="0" w:type="dxa"/>
        <w:bottom w:w="0" w:type="dxa"/>
        <w:right w:w="0" w:type="dxa"/>
      </w:tblCellMar>
    </w:tblPr>
  </w:style>
  <w:style w:type="paragraph" w:styleId="a3">
    <w:name w:val="Title"/>
    <w:basedOn w:val="a"/>
    <w:next w:val="a"/>
    <w:rsid w:val="0067102E"/>
    <w:pPr>
      <w:pBdr>
        <w:top w:val="nil"/>
        <w:left w:val="nil"/>
        <w:bottom w:val="nil"/>
        <w:right w:val="nil"/>
        <w:between w:val="nil"/>
      </w:pBdr>
      <w:ind w:right="-1050"/>
      <w:jc w:val="center"/>
    </w:pPr>
    <w:rPr>
      <w:b/>
      <w:sz w:val="24"/>
      <w:szCs w:val="24"/>
    </w:rPr>
  </w:style>
  <w:style w:type="paragraph" w:styleId="a4">
    <w:name w:val="Subtitle"/>
    <w:basedOn w:val="a"/>
    <w:next w:val="a"/>
    <w:rsid w:val="0067102E"/>
    <w:pPr>
      <w:pBdr>
        <w:top w:val="nil"/>
        <w:left w:val="nil"/>
        <w:bottom w:val="nil"/>
        <w:right w:val="nil"/>
        <w:between w:val="nil"/>
      </w:pBdr>
      <w:spacing w:after="60"/>
      <w:jc w:val="center"/>
    </w:pPr>
    <w:rPr>
      <w:rFonts w:ascii="Arial" w:eastAsia="Arial" w:hAnsi="Arial" w:cs="Arial"/>
    </w:rPr>
  </w:style>
  <w:style w:type="table" w:customStyle="1" w:styleId="a5">
    <w:basedOn w:val="TableNormal"/>
    <w:rsid w:val="0067102E"/>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D71536"/>
    <w:pPr>
      <w:tabs>
        <w:tab w:val="center" w:pos="4819"/>
        <w:tab w:val="right" w:pos="9639"/>
      </w:tabs>
    </w:pPr>
  </w:style>
  <w:style w:type="character" w:customStyle="1" w:styleId="a7">
    <w:name w:val="Верхній колонтитул Знак"/>
    <w:basedOn w:val="a0"/>
    <w:link w:val="a6"/>
    <w:uiPriority w:val="99"/>
    <w:rsid w:val="00D71536"/>
  </w:style>
  <w:style w:type="paragraph" w:styleId="a8">
    <w:name w:val="footer"/>
    <w:basedOn w:val="a"/>
    <w:link w:val="a9"/>
    <w:uiPriority w:val="99"/>
    <w:unhideWhenUsed/>
    <w:rsid w:val="00D71536"/>
    <w:pPr>
      <w:tabs>
        <w:tab w:val="center" w:pos="4819"/>
        <w:tab w:val="right" w:pos="9639"/>
      </w:tabs>
    </w:pPr>
  </w:style>
  <w:style w:type="character" w:customStyle="1" w:styleId="a9">
    <w:name w:val="Нижній колонтитул Знак"/>
    <w:basedOn w:val="a0"/>
    <w:link w:val="a8"/>
    <w:uiPriority w:val="99"/>
    <w:rsid w:val="00D71536"/>
  </w:style>
  <w:style w:type="paragraph" w:customStyle="1" w:styleId="aa">
    <w:name w:val="Нормальний текст"/>
    <w:basedOn w:val="a"/>
    <w:uiPriority w:val="99"/>
    <w:rsid w:val="00C42178"/>
    <w:pPr>
      <w:suppressAutoHyphens/>
      <w:spacing w:before="120" w:line="100" w:lineRule="atLeast"/>
      <w:ind w:firstLine="567"/>
    </w:pPr>
    <w:rPr>
      <w:rFonts w:ascii="Antiqua" w:hAnsi="Antiqua" w:cs="Antiqua"/>
      <w:sz w:val="26"/>
      <w:szCs w:val="26"/>
      <w:lang w:eastAsia="ar-SA"/>
    </w:rPr>
  </w:style>
  <w:style w:type="paragraph" w:styleId="ab">
    <w:name w:val="List Paragraph"/>
    <w:basedOn w:val="a"/>
    <w:uiPriority w:val="34"/>
    <w:qFormat/>
    <w:rsid w:val="002554DE"/>
    <w:pPr>
      <w:ind w:left="720"/>
      <w:contextualSpacing/>
    </w:pPr>
  </w:style>
  <w:style w:type="paragraph" w:styleId="ac">
    <w:name w:val="Balloon Text"/>
    <w:basedOn w:val="a"/>
    <w:link w:val="ad"/>
    <w:uiPriority w:val="99"/>
    <w:semiHidden/>
    <w:unhideWhenUsed/>
    <w:rsid w:val="00D8029C"/>
    <w:rPr>
      <w:rFonts w:ascii="Tahoma" w:hAnsi="Tahoma" w:cs="Tahoma"/>
      <w:sz w:val="16"/>
      <w:szCs w:val="16"/>
    </w:rPr>
  </w:style>
  <w:style w:type="character" w:customStyle="1" w:styleId="ad">
    <w:name w:val="Текст у виносці Знак"/>
    <w:basedOn w:val="a0"/>
    <w:link w:val="ac"/>
    <w:uiPriority w:val="99"/>
    <w:semiHidden/>
    <w:rsid w:val="00D8029C"/>
    <w:rPr>
      <w:rFonts w:ascii="Tahoma" w:hAnsi="Tahoma" w:cs="Tahoma"/>
      <w:sz w:val="16"/>
      <w:szCs w:val="16"/>
    </w:rPr>
  </w:style>
  <w:style w:type="table" w:styleId="ae">
    <w:name w:val="Table Grid"/>
    <w:basedOn w:val="a1"/>
    <w:uiPriority w:val="39"/>
    <w:rsid w:val="00D03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D67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78D3B-06A7-4D38-A43F-193AFDA3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3738</Words>
  <Characters>2131</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МінПрироди</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Юрій Володимирович</dc:creator>
  <cp:lastModifiedBy>Зайцева Юлія Павлівна</cp:lastModifiedBy>
  <cp:revision>15</cp:revision>
  <cp:lastPrinted>2024-02-09T08:24:00Z</cp:lastPrinted>
  <dcterms:created xsi:type="dcterms:W3CDTF">2024-02-09T07:55:00Z</dcterms:created>
  <dcterms:modified xsi:type="dcterms:W3CDTF">2024-02-12T12:12:00Z</dcterms:modified>
</cp:coreProperties>
</file>