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Команда підтримки відновлення та реформ при Міністерстві захисту довкілля та природних  ресурсів України шукає Експерта/ку з оцінки шкоди довкіллю від наслідків війни.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Команда підтримки відновлення та реформ (КПР) при Міністерстві захисту довкілля та природних ресурсів України (Міндовкілля) надає цільову технічну підтримку та допомагає Міндовкілля у розробці та впровадженні пріоритетів відновлення та реформ, заповнюючи прогалини у спроможності розробляти та впроваджувати пріоритетні стратегії та програми реформ, зміцнюючи зв'язки та партнерство між Міндовкілля та відповідною донорською підтримкою. Експерти КПР допомагають Міндовкілля у забезпеченні координації та взаємодоповнюваності між КПР та іншими відповідними проєктами технічної допомоги.</w:t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  <w:t xml:space="preserve">Українське довкілля зазнало значної шкоди в результаті війни, що триває. Реформа сектору захисту довкілля відіграватиме вирішальну роль у відновленні природних екосистем України. Міжнародно визнані методології оцінки впливу війни на довкілля та результати оцінки сприятимуть комплексним реформам і допоможуть забезпечити прискорене, ефективне та екологічно відповідальне відновлення.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1985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Основними обов'язками та відповідальністю </w:t>
      </w:r>
      <w:r w:rsidDel="00000000" w:rsidR="00000000" w:rsidRPr="00000000">
        <w:rPr>
          <w:highlight w:val="white"/>
          <w:rtl w:val="0"/>
        </w:rPr>
        <w:t xml:space="preserve">Експерта з оцінки шкоди довкіллю від наслідків війни будуть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1985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tabs>
          <w:tab w:val="left" w:leader="none" w:pos="1985"/>
        </w:tabs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Підготовка аналітичних матеріалів, рекомендацій та змін до нормативно-правових актів з питань оцінки шкоди довкіллю, а також фасилітація процесу підготовки таких матеріалів.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tabs>
          <w:tab w:val="left" w:leader="none" w:pos="1985"/>
        </w:tabs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Розробка узагальненої методики збору та збереження доказів у контексті екологічної шкоди, завданої збройною агресією Російської Федерації, яка визначає покрокову взаємодію між Державною екологічною інспекцією України, Офісом Генерального прокурора, Міністерством оборони України та Міністерством юстиції України.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tabs>
          <w:tab w:val="left" w:leader="none" w:pos="1985"/>
        </w:tabs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Підтримка та допомога Міністерству в опрацюванні рекомендацій, наданих Міжнародною робочою групою щодо екологічних наслідків війни, як це визначено Екологічним договором для України.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tabs>
          <w:tab w:val="left" w:leader="none" w:pos="1985"/>
        </w:tabs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Забезпечення координації та технічної підтримки національним та міжнародним зацікавленим сторонам і партнерам, які будуть визначені Міністерством, щодо оцінки шкоди, завданої довкіллю війною, та визначення потреб у відновленні довкілля (проведення та підтримка консультацій, семінарів, публічних та навчальних заходів).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tabs>
          <w:tab w:val="left" w:leader="none" w:pos="1985"/>
        </w:tabs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Підтримка та сприяння запуску глобальної платформи з оцінки шкоди, завданої довкіллю війною, ініційованої Міністерством, робота над реалізацією ініціативи, оголошеної Міндовкілля у 2022 році на COP27, та підготовка нової ініціативи до COP29.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tabs>
          <w:tab w:val="left" w:leader="none" w:pos="1985"/>
        </w:tabs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Збір, систематизація та актуалізація даних про шкоду, завдану довкіллю війною, підготовка аналітичних матеріалів, інфографіки тощо.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tabs>
          <w:tab w:val="left" w:leader="none" w:pos="1985"/>
        </w:tabs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Підготовка своєчасних та якісних звітів та оновлень про хід оцінки та компенсації шкоди довкіллю, а також сприяння міжнародному співробітництву у цій сфері.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tabs>
          <w:tab w:val="left" w:leader="none" w:pos="1985"/>
        </w:tabs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Допомагати Міністерству з перекладом документів, пов'язаних з екологічною шкодою від наслідків війни.</w:t>
      </w:r>
    </w:p>
    <w:p w:rsidR="00000000" w:rsidDel="00000000" w:rsidP="00000000" w:rsidRDefault="00000000" w:rsidRPr="00000000" w14:paraId="0000000E">
      <w:pPr>
        <w:spacing w:after="0"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1985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Зацікавлені фахівці запрошуються до подачі заявок.</w:t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1985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Очікується, що консультаційні контракти розпочнуться у квітні 2024 року та триватимуть 17 місяців. Продовження тривалості контракту залежатиме від наявності фінансування, потреб програми URA та результатів роботи обраного консультанта. Випробувальний термін становить два місяці.</w:t>
      </w:r>
    </w:p>
    <w:p w:rsidR="00000000" w:rsidDel="00000000" w:rsidP="00000000" w:rsidRDefault="00000000" w:rsidRPr="00000000" w14:paraId="00000012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Потенційні кандидати повинні надіслати повний пакет документів, підготовлений англійською мовою (аплікаційна форма, форма NDA, резюме кандидата та рекомендаційний лист від нещодавнього керівника (оригінал англійською мовою або українською мовою з перекладом на англійську) разом з контактними даними двох інших референтів, які, у разі необхідності, можуть підтвердити професійний та/або освітній рівень кандидата) до 20 березня 2024 року, 23:59 (за київським часом) на електронну адресу: rst.mepr@gmail.com. Кандидати, які подадуть неповний пакет документів, не будуть розглянуті. </w:t>
      </w:r>
    </w:p>
    <w:p w:rsidR="00000000" w:rsidDel="00000000" w:rsidP="00000000" w:rsidRDefault="00000000" w:rsidRPr="00000000" w14:paraId="00000013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Кандидати, які пройдуть відбір, будуть запрошені на письмовий тест та співбесіду. </w:t>
      </w:r>
    </w:p>
    <w:p w:rsidR="00000000" w:rsidDel="00000000" w:rsidP="00000000" w:rsidRDefault="00000000" w:rsidRPr="00000000" w14:paraId="00000014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З детальним технічним завданням можна ознайомитися нижче.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right="-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9"/>
        </w:tabs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1" w:top="1411" w:left="1411" w:right="1411" w:header="706" w:footer="70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F637C"/>
    <w:pPr>
      <w:spacing w:after="200" w:line="276" w:lineRule="auto"/>
    </w:pPr>
    <w:rPr>
      <w:rFonts w:eastAsiaTheme="minorEastAsia"/>
      <w:lang w:eastAsia="uk-UA" w:val="uk-U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F637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F637C"/>
  </w:style>
  <w:style w:type="paragraph" w:styleId="Footer">
    <w:name w:val="footer"/>
    <w:basedOn w:val="Normal"/>
    <w:link w:val="FooterChar"/>
    <w:uiPriority w:val="99"/>
    <w:unhideWhenUsed w:val="1"/>
    <w:rsid w:val="005F637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F637C"/>
  </w:style>
  <w:style w:type="paragraph" w:styleId="ListParagraph">
    <w:name w:val="List Paragraph"/>
    <w:aliases w:val="Bullet Points,Liste Paragraf,Llista Nivell1,Lista de nivel 1,Paragraphe de liste PBLH,Normal bullet 2,Graph &amp; Table tite,Table of contents numbered,Bullet list,Bullet List Paragraph,Level 1 Bullet,numbered,Bullet List,FooterText,列出段落"/>
    <w:basedOn w:val="Normal"/>
    <w:link w:val="ListParagraphChar"/>
    <w:uiPriority w:val="34"/>
    <w:qFormat w:val="1"/>
    <w:rsid w:val="005F637C"/>
    <w:pPr>
      <w:spacing w:after="160" w:line="259" w:lineRule="auto"/>
      <w:ind w:left="720"/>
      <w:contextualSpacing w:val="1"/>
    </w:pPr>
    <w:rPr>
      <w:lang w:val="en-US"/>
    </w:rPr>
  </w:style>
  <w:style w:type="character" w:styleId="ListParagraphChar" w:customStyle="1">
    <w:name w:val="List Paragraph Char"/>
    <w:aliases w:val="Bullet Points Char,Liste Paragraf Char,Llista Nivell1 Char,Lista de nivel 1 Char,Paragraphe de liste PBLH Char,Normal bullet 2 Char,Graph &amp; Table tite Char,Table of contents numbered Char,Bullet list Char1,Bullet List Paragraph Char"/>
    <w:link w:val="ListParagraph"/>
    <w:uiPriority w:val="34"/>
    <w:locked w:val="1"/>
    <w:rsid w:val="005F637C"/>
    <w:rPr>
      <w:rFonts w:eastAsiaTheme="minorEastAsia"/>
      <w:lang w:eastAsia="uk-UA"/>
    </w:rPr>
  </w:style>
  <w:style w:type="paragraph" w:styleId="Normale-n-ind" w:customStyle="1">
    <w:name w:val="Normale-n-ind"/>
    <w:rsid w:val="005F637C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120" w:line="180" w:lineRule="atLeast"/>
      <w:jc w:val="both"/>
    </w:pPr>
    <w:rPr>
      <w:rFonts w:ascii="Times New Roman" w:cs="Times New Roman" w:eastAsia="Times New Roman" w:hAnsi="Times New Roman"/>
      <w:color w:val="000000"/>
      <w:sz w:val="24"/>
      <w:szCs w:val="24"/>
      <w:u w:color="000000"/>
      <w:bdr w:space="0" w:sz="0" w:val="nil"/>
      <w:lang w:eastAsia="en-GB" w:val="it-IT"/>
    </w:rPr>
  </w:style>
  <w:style w:type="paragraph" w:styleId="normaltableau" w:customStyle="1">
    <w:name w:val="normal_tableau"/>
    <w:basedOn w:val="Normal"/>
    <w:rsid w:val="002F0B01"/>
    <w:pPr>
      <w:spacing w:after="0" w:line="240" w:lineRule="auto"/>
      <w:jc w:val="both"/>
    </w:pPr>
    <w:rPr>
      <w:rFonts w:ascii="Arial" w:cs="Times New Roman" w:eastAsia="Times New Roman" w:hAnsi="Arial"/>
      <w:sz w:val="20"/>
      <w:szCs w:val="20"/>
      <w:lang w:eastAsia="de-DE"/>
    </w:rPr>
  </w:style>
  <w:style w:type="paragraph" w:styleId="CVNormal" w:customStyle="1">
    <w:name w:val="CV Normal"/>
    <w:basedOn w:val="Normal"/>
    <w:uiPriority w:val="99"/>
    <w:rsid w:val="002F0B01"/>
    <w:pPr>
      <w:suppressAutoHyphens w:val="1"/>
      <w:spacing w:after="0" w:line="240" w:lineRule="auto"/>
      <w:ind w:left="113" w:right="113"/>
    </w:pPr>
    <w:rPr>
      <w:rFonts w:ascii="Arial Narrow" w:cs="Times New Roman" w:eastAsia="Times New Roman" w:hAnsi="Arial Narrow"/>
      <w:sz w:val="20"/>
      <w:szCs w:val="20"/>
      <w:lang w:eastAsia="ar-SA" w:val="en-US"/>
    </w:rPr>
  </w:style>
  <w:style w:type="paragraph" w:styleId="PuceGrise" w:customStyle="1">
    <w:name w:val="Puce Grise"/>
    <w:basedOn w:val="Normal"/>
    <w:next w:val="Normal"/>
    <w:rsid w:val="002F0B01"/>
    <w:pPr>
      <w:numPr>
        <w:numId w:val="6"/>
      </w:numPr>
      <w:tabs>
        <w:tab w:val="clear" w:pos="360"/>
        <w:tab w:val="left" w:pos="216"/>
      </w:tabs>
      <w:spacing w:after="20" w:before="20" w:line="240" w:lineRule="auto"/>
    </w:pPr>
    <w:rPr>
      <w:rFonts w:ascii="Arial" w:cs="Times New Roman" w:eastAsia="Times New Roman" w:hAnsi="Arial"/>
      <w:sz w:val="18"/>
      <w:szCs w:val="20"/>
      <w:lang w:eastAsia="fr-FR" w:val="en-US"/>
    </w:rPr>
  </w:style>
  <w:style w:type="table" w:styleId="TableGrid">
    <w:name w:val="Table Grid"/>
    <w:basedOn w:val="TableNormal"/>
    <w:uiPriority w:val="39"/>
    <w:rsid w:val="00C92833"/>
    <w:pPr>
      <w:spacing w:after="0" w:line="240" w:lineRule="auto"/>
    </w:pPr>
    <w:rPr>
      <w:rFonts w:eastAsiaTheme="minorEastAsia"/>
      <w:lang w:eastAsia="uk-U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mmentText">
    <w:name w:val="annotation text"/>
    <w:basedOn w:val="Normal"/>
    <w:link w:val="CommentTextChar"/>
    <w:uiPriority w:val="99"/>
    <w:unhideWhenUsed w:val="1"/>
    <w:rsid w:val="00D96CB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96CBB"/>
    <w:rPr>
      <w:rFonts w:eastAsiaTheme="minorEastAsia"/>
      <w:sz w:val="20"/>
      <w:szCs w:val="20"/>
      <w:lang w:eastAsia="uk-UA" w:val="uk-UA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F1662D"/>
    <w:rPr>
      <w:vertAlign w:val="superscript"/>
    </w:rPr>
  </w:style>
  <w:style w:type="paragraph" w:styleId="Default" w:customStyle="1">
    <w:name w:val="Default"/>
    <w:rsid w:val="00F1662D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 w:eastAsiaTheme="minorEastAsia"/>
      <w:color w:val="000000"/>
      <w:sz w:val="24"/>
      <w:szCs w:val="24"/>
      <w:lang w:eastAsia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sE3oyfYtDLW1UeHUjsWwJCtmdg==">CgMxLjA4AHIhMS1UMmF4b3VGVDlqbTdOVzZfbGVIQ1d6cU1JNUJWZ0xz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2023-05-04T05:51:00Z</dcterms:created>
  <dc:creator>Anikeeva, Yuliya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37bbd4c1-49fe-4e95-8bf3-6e3b27f4fd14</vt:lpwstr>
  </property>
  <property fmtid="{D5CDD505-2E9C-101B-9397-08002B2CF9AE}" pid="3" name="bjSaver">
    <vt:lpwstr>jNVazOmbWstbFCE5y2QVOLvhavx6YHsz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policy="1d45786f-a737-4735-8af6-df12fb6939a2" origin="userSelected" xmlns="http://www.boldonj</vt:lpwstr>
  </property>
  <property fmtid="{D5CDD505-2E9C-101B-9397-08002B2CF9AE}" pid="5" name="bjDocumentLabelXML-0">
    <vt:lpwstr>ames.com/2008/01/sie/internal/label"&gt;&lt;element uid="9c87da95-7b2f-439f-bfd9-321fc51f6870" value="" /&gt;&lt;element uid="214105f6-acd4-485a-afa0-a0b988f7534c" value="" /&gt;&lt;/sisl&gt;</vt:lpwstr>
  </property>
  <property fmtid="{D5CDD505-2E9C-101B-9397-08002B2CF9AE}" pid="6" name="bjDocumentSecurityLabel">
    <vt:lpwstr>NON-BANK USE</vt:lpwstr>
  </property>
  <property fmtid="{D5CDD505-2E9C-101B-9397-08002B2CF9AE}" pid="7" name="bjDocumentLabelXML-0">
    <vt:lpwstr>ames.com/2008/01/sie/internal/label"&gt;&lt;element uid="9c87da95-7b2f-439f-bfd9-321fc51f6870" value="" /&gt;&lt;element uid="214105f6-acd4-485a-afa0-a0b988f7534c" value="" /&gt;&lt;/sisl&gt;</vt:lpwstr>
  </property>
  <property fmtid="{D5CDD505-2E9C-101B-9397-08002B2CF9AE}" pid="8" name="bjDocumentSecurityLabel">
    <vt:lpwstr>NON-BANK USE</vt:lpwstr>
  </property>
  <property fmtid="{D5CDD505-2E9C-101B-9397-08002B2CF9AE}" pid="9" name="docIndexRef">
    <vt:lpwstr>37bbd4c1-49fe-4e95-8bf3-6e3b27f4fd14</vt:lpwstr>
  </property>
  <property fmtid="{D5CDD505-2E9C-101B-9397-08002B2CF9AE}" pid="10" name="bjSaver">
    <vt:lpwstr>jNVazOmbWstbFCE5y2QVOLvhavx6YHsz</vt:lpwstr>
  </property>
  <property fmtid="{D5CDD505-2E9C-101B-9397-08002B2CF9AE}" pid="11" name="bjDocumentLabelXML">
    <vt:lpwstr>&lt;?xml version="1.0" encoding="us-ascii"?&gt;&lt;sisl xmlns:xsi="http://www.w3.org/2001/XMLSchema-instance" xmlns:xsd="http://www.w3.org/2001/XMLSchema" sislVersion="0" policy="1d45786f-a737-4735-8af6-df12fb6939a2" origin="userSelected" xmlns="http://www.boldonj</vt:lpwstr>
  </property>
  <property fmtid="{D5CDD505-2E9C-101B-9397-08002B2CF9AE}" pid="12" name="bjDocumentLabelXML-0">
    <vt:lpwstr>ames.com/2008/01/sie/internal/label"&gt;&lt;element uid="9c87da95-7b2f-439f-bfd9-321fc51f6870" value="" /&gt;&lt;element uid="214105f6-acd4-485a-afa0-a0b988f7534c" value="" /&gt;&lt;/sisl&gt;</vt:lpwstr>
  </property>
  <property fmtid="{D5CDD505-2E9C-101B-9397-08002B2CF9AE}" pid="13" name="bjDocumentSecurityLabel">
    <vt:lpwstr>NON-BANK USE</vt:lpwstr>
  </property>
  <property fmtid="{D5CDD505-2E9C-101B-9397-08002B2CF9AE}" pid="14" name="docIndexRef">
    <vt:lpwstr>37bbd4c1-49fe-4e95-8bf3-6e3b27f4fd14</vt:lpwstr>
  </property>
  <property fmtid="{D5CDD505-2E9C-101B-9397-08002B2CF9AE}" pid="15" name="bjSaver">
    <vt:lpwstr>jNVazOmbWstbFCE5y2QVOLvhavx6YHsz</vt:lpwstr>
  </property>
  <property fmtid="{D5CDD505-2E9C-101B-9397-08002B2CF9AE}" pid="16" name="bjDocumentLabelXML">
    <vt:lpwstr>&lt;?xml version="1.0" encoding="us-ascii"?&gt;&lt;sisl xmlns:xsi="http://www.w3.org/2001/XMLSchema-instance" xmlns:xsd="http://www.w3.org/2001/XMLSchema" sislVersion="0" policy="1d45786f-a737-4735-8af6-df12fb6939a2" origin="userSelected" xmlns="http://www.boldonj</vt:lpwstr>
  </property>
</Properties>
</file>