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Команда підтримки відновлення та реформ при Міністерстві захисту довкілля та природних  ресурсів України шукає Експерта/ку з зеленого відновлення.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Команда підтримки відновлення та реформ (КПР) при Міністерстві захисту довкілля та природних ресурсів України (Міндовкілля) надає цільову технічну підтримку та допомагає Міндовкілля у розробці та впровадженні пріоритетів відновлення та реформ, заповнюючи прогалини у спроможності розробляти та впроваджувати пріоритетні стратегії та програми реформ, зміцнюючи зв'язки та партнерство між Міндовкілля та відповідною донорською підтримкою. Експерти КПР допомагають Міндовкілля у забезпеченні координації та взаємодоповнюваності між КПР та іншими відповідними проєктами технічної допомоги.</w:t>
      </w:r>
    </w:p>
    <w:p w:rsidR="00000000" w:rsidDel="00000000" w:rsidP="00000000" w:rsidRDefault="00000000" w:rsidRPr="00000000" w14:paraId="0000000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Природне середовище України зазнало значної шкоди внаслідок війни, що триває. Експерт з зеленого відновлення підтримуватиме процеси відновлення довкілля, забезпечуватиме включення зелених принципів у плани відновлення України та їхню реалізацію, а також сприятиме прискоренню узгодження з Європейським зеленим курсом.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1985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Основними обов'язками та відповідальністю </w:t>
      </w:r>
      <w:r w:rsidDel="00000000" w:rsidR="00000000" w:rsidRPr="00000000">
        <w:rPr>
          <w:highlight w:val="white"/>
          <w:rtl w:val="0"/>
        </w:rPr>
        <w:t xml:space="preserve">Експерта з зеленого відновлення будуть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1985"/>
        </w:tabs>
        <w:spacing w:after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Розробка та підтримка у впровадженні компонентів реформ, необхідних для "зеленого" відновлення та "зеленого" переходу, тобто підтримка у розробці/реалізації Ukraine Facility в межах повноважень Міндовкілля, сприяння включенню "зелених" критеріїв до планів відновлення, рекомендацій щодо відновлення територій та екосистем, тощо;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Розробка методичних рекомендацій щодо включення кліматичної складової до програм комплексного відновлення та інших документів державного та/або місцевого планування;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Консультаційна, аналітична та експертна підтримка Міністерства з метою забезпечення відповідності документів (стратегій, планів, компонентів, нормативно-правових актів тощо) та заходів з відновлення довкілля процесу вступу до ЄС та принципам Європейського зеленого курсу;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Підтримка заходів із залучення зацікавлених сторін (наприклад, публічних заходів, семінарів, тренінгів тощо) з метою сприяння та просування дискусій з ключових тем та пропозицій політик, а також підвищення обізнаності щодо важливості, цілей, викликів, політик, пов'язаних із зеленим відновленням/зеленим переходом;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Надання підтримки Міністерству в координації робочих груп, пов'язаних із зеленим відновленням та зеленим переходом;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Підготовка, систематизація та оновлення інформації щодо проектів зеленого відновлення;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Підготовка своєчасних та якісних звітів та оновлень щодо прогресу в питаннях зеленого відновлення/зеленого переходу;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tabs>
          <w:tab w:val="left" w:leader="none" w:pos="1985"/>
        </w:tabs>
        <w:spacing w:after="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Підтримка Міністерства у перекладі документів, пов'язаних з відновленням.</w:t>
      </w:r>
    </w:p>
    <w:p w:rsidR="00000000" w:rsidDel="00000000" w:rsidP="00000000" w:rsidRDefault="00000000" w:rsidRPr="00000000" w14:paraId="0000000F">
      <w:pPr>
        <w:spacing w:after="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1985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Зацікавлені фахівці запрошуються до подачі заявок.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1985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Очікується, що консультаційні контракти розпочнуться у квітні 2024 року та триватимуть 17 місяців. Продовження тривалості контракту залежатиме від наявності фінансування, потреб програми URA та результатів роботи обраного консультанта. Випробувальний термін становить два місяці.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Потенційні кандидати повинні надіслати повний пакет документів, підготовлений англійською мовою (аплікаційна форма, форма NDA, резюме кандидата та рекомендаційний лист від нещодавнього керівника (оригінал англійською мовою або українською мовою з перекладом на англійську) разом з контактними даними двох інших референтів, які, у разі необхідності, можуть підтвердити професійний та/або освітній рівень кандидата) до 20 березня 2024 року, 23:59 (за київським часом) на електронну адресу: rst.mepr@gmail.com. Кандидати, які подадуть неповний пакет документів, не будуть розглянуті.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Кандидати, які пройдуть відбір, будуть запрошені на письмовий тест та співбесіду. </w:t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З детальним технічним завданням можна ознайомитися нижче.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-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1" w:top="1411" w:left="1411" w:right="1411" w:header="706" w:footer="7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F637C"/>
    <w:pPr>
      <w:spacing w:after="200" w:line="276" w:lineRule="auto"/>
    </w:pPr>
    <w:rPr>
      <w:rFonts w:eastAsiaTheme="minorEastAsia"/>
      <w:lang w:eastAsia="uk-UA" w:val="uk-U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637C"/>
  </w:style>
  <w:style w:type="paragraph" w:styleId="Footer">
    <w:name w:val="footer"/>
    <w:basedOn w:val="Normal"/>
    <w:link w:val="FooterChar"/>
    <w:uiPriority w:val="99"/>
    <w:unhideWhenUsed w:val="1"/>
    <w:rsid w:val="005F63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637C"/>
  </w:style>
  <w:style w:type="paragraph" w:styleId="ListParagraph">
    <w:name w:val="List Paragraph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Normal"/>
    <w:link w:val="ListParagraphChar"/>
    <w:uiPriority w:val="34"/>
    <w:qFormat w:val="1"/>
    <w:rsid w:val="005F637C"/>
    <w:pPr>
      <w:spacing w:after="160" w:line="259" w:lineRule="auto"/>
      <w:ind w:left="720"/>
      <w:contextualSpacing w:val="1"/>
    </w:pPr>
    <w:rPr>
      <w:lang w:val="en-US"/>
    </w:rPr>
  </w:style>
  <w:style w:type="character" w:styleId="ListParagraphChar" w:customStyle="1">
    <w:name w:val="List Paragraph Char"/>
    <w:aliases w:val="Bullet Points Char,Liste Paragraf Char,Llista Nivell1 Char,Lista de nivel 1 Char,Paragraphe de liste PBLH Char,Normal bullet 2 Char,Graph &amp; Table tite Char,Table of contents numbered Char,Bullet list Char1,Bullet List Paragraph Char"/>
    <w:link w:val="ListParagraph"/>
    <w:uiPriority w:val="34"/>
    <w:locked w:val="1"/>
    <w:rsid w:val="005F637C"/>
    <w:rPr>
      <w:rFonts w:eastAsiaTheme="minorEastAsia"/>
      <w:lang w:eastAsia="uk-UA"/>
    </w:rPr>
  </w:style>
  <w:style w:type="paragraph" w:styleId="Normale-n-ind" w:customStyle="1">
    <w:name w:val="Normale-n-ind"/>
    <w:rsid w:val="005F637C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120" w:line="180" w:lineRule="atLeast"/>
      <w:jc w:val="both"/>
    </w:pPr>
    <w:rPr>
      <w:rFonts w:ascii="Times New Roman" w:cs="Times New Roman" w:eastAsia="Times New Roman" w:hAnsi="Times New Roman"/>
      <w:color w:val="000000"/>
      <w:sz w:val="24"/>
      <w:szCs w:val="24"/>
      <w:u w:color="000000"/>
      <w:bdr w:space="0" w:sz="0" w:val="nil"/>
      <w:lang w:eastAsia="en-GB" w:val="it-IT"/>
    </w:rPr>
  </w:style>
  <w:style w:type="paragraph" w:styleId="normaltableau" w:customStyle="1">
    <w:name w:val="normal_tableau"/>
    <w:basedOn w:val="Normal"/>
    <w:rsid w:val="002F0B01"/>
    <w:pPr>
      <w:spacing w:after="0" w:line="240" w:lineRule="auto"/>
      <w:jc w:val="both"/>
    </w:pPr>
    <w:rPr>
      <w:rFonts w:ascii="Arial" w:cs="Times New Roman" w:eastAsia="Times New Roman" w:hAnsi="Arial"/>
      <w:sz w:val="20"/>
      <w:szCs w:val="20"/>
      <w:lang w:eastAsia="de-DE"/>
    </w:rPr>
  </w:style>
  <w:style w:type="paragraph" w:styleId="CVNormal" w:customStyle="1">
    <w:name w:val="CV Normal"/>
    <w:basedOn w:val="Normal"/>
    <w:uiPriority w:val="99"/>
    <w:rsid w:val="002F0B01"/>
    <w:pPr>
      <w:suppressAutoHyphens w:val="1"/>
      <w:spacing w:after="0" w:line="240" w:lineRule="auto"/>
      <w:ind w:left="113" w:right="113"/>
    </w:pPr>
    <w:rPr>
      <w:rFonts w:ascii="Arial Narrow" w:cs="Times New Roman" w:eastAsia="Times New Roman" w:hAnsi="Arial Narrow"/>
      <w:sz w:val="20"/>
      <w:szCs w:val="20"/>
      <w:lang w:eastAsia="ar-SA" w:val="en-US"/>
    </w:rPr>
  </w:style>
  <w:style w:type="paragraph" w:styleId="PuceGrise" w:customStyle="1">
    <w:name w:val="Puce Grise"/>
    <w:basedOn w:val="Normal"/>
    <w:next w:val="Normal"/>
    <w:rsid w:val="002F0B01"/>
    <w:pPr>
      <w:numPr>
        <w:numId w:val="6"/>
      </w:numPr>
      <w:tabs>
        <w:tab w:val="clear" w:pos="360"/>
        <w:tab w:val="left" w:pos="216"/>
      </w:tabs>
      <w:spacing w:after="20" w:before="20" w:line="240" w:lineRule="auto"/>
    </w:pPr>
    <w:rPr>
      <w:rFonts w:ascii="Arial" w:cs="Times New Roman" w:eastAsia="Times New Roman" w:hAnsi="Arial"/>
      <w:sz w:val="18"/>
      <w:szCs w:val="20"/>
      <w:lang w:eastAsia="fr-FR" w:val="en-US"/>
    </w:rPr>
  </w:style>
  <w:style w:type="table" w:styleId="TableGrid">
    <w:name w:val="Table Grid"/>
    <w:basedOn w:val="TableNormal"/>
    <w:uiPriority w:val="39"/>
    <w:rsid w:val="00C92833"/>
    <w:pPr>
      <w:spacing w:after="0" w:line="240" w:lineRule="auto"/>
    </w:pPr>
    <w:rPr>
      <w:rFonts w:eastAsiaTheme="minorEastAsia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unhideWhenUsed w:val="1"/>
    <w:rsid w:val="00D96CB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6CBB"/>
    <w:rPr>
      <w:rFonts w:eastAsiaTheme="minorEastAsia"/>
      <w:sz w:val="20"/>
      <w:szCs w:val="20"/>
      <w:lang w:eastAsia="uk-UA" w:val="uk-UA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F1662D"/>
    <w:rPr>
      <w:vertAlign w:val="superscript"/>
    </w:rPr>
  </w:style>
  <w:style w:type="paragraph" w:styleId="Default" w:customStyle="1">
    <w:name w:val="Default"/>
    <w:rsid w:val="00F1662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 w:eastAsiaTheme="minorEastAsia"/>
      <w:color w:val="000000"/>
      <w:sz w:val="24"/>
      <w:szCs w:val="24"/>
      <w:lang w:eastAsia="uk-U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1+dPfB2ZpNRZ9vD3y6mKo03iQ==">CgMxLjA4AHIhMWM5R3doZzFURFdJWFVWOEtvNmdBUG11Mk82SjBLUFRO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2023-05-04T05:51:00Z</dcterms:created>
  <dc:creator>Anikeeva, Yuliya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37bbd4c1-49fe-4e95-8bf3-6e3b27f4fd14</vt:lpwstr>
  </property>
  <property fmtid="{D5CDD505-2E9C-101B-9397-08002B2CF9AE}" pid="3" name="bjSaver">
    <vt:lpwstr>jNVazOmbWstbFCE5y2QVOLvhavx6YHsz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6" name="bjDocumentSecurityLabel">
    <vt:lpwstr>NON-BANK USE</vt:lpwstr>
  </property>
  <property fmtid="{D5CDD505-2E9C-101B-9397-08002B2CF9AE}" pid="7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8" name="bjDocumentSecurityLabel">
    <vt:lpwstr>NON-BANK USE</vt:lpwstr>
  </property>
  <property fmtid="{D5CDD505-2E9C-101B-9397-08002B2CF9AE}" pid="9" name="docIndexRef">
    <vt:lpwstr>37bbd4c1-49fe-4e95-8bf3-6e3b27f4fd14</vt:lpwstr>
  </property>
  <property fmtid="{D5CDD505-2E9C-101B-9397-08002B2CF9AE}" pid="10" name="bjSaver">
    <vt:lpwstr>jNVazOmbWstbFCE5y2QVOLvhavx6YHsz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12" name="bjDocumentLabelXML-0">
    <vt:lpwstr>ames.com/2008/01/sie/internal/label"&gt;&lt;element uid="9c87da95-7b2f-439f-bfd9-321fc51f6870" value="" /&gt;&lt;element uid="214105f6-acd4-485a-afa0-a0b988f7534c" value="" /&gt;&lt;/sisl&gt;</vt:lpwstr>
  </property>
  <property fmtid="{D5CDD505-2E9C-101B-9397-08002B2CF9AE}" pid="13" name="bjDocumentSecurityLabel">
    <vt:lpwstr>NON-BANK USE</vt:lpwstr>
  </property>
  <property fmtid="{D5CDD505-2E9C-101B-9397-08002B2CF9AE}" pid="14" name="docIndexRef">
    <vt:lpwstr>37bbd4c1-49fe-4e95-8bf3-6e3b27f4fd14</vt:lpwstr>
  </property>
  <property fmtid="{D5CDD505-2E9C-101B-9397-08002B2CF9AE}" pid="15" name="bjSaver">
    <vt:lpwstr>jNVazOmbWstbFCE5y2QVOLvhavx6YHsz</vt:lpwstr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</Properties>
</file>