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30155" w:rsidRDefault="00000000">
      <w:pPr>
        <w:shd w:val="clear" w:color="auto" w:fill="FFFFFF"/>
        <w:rPr>
          <w:rFonts w:eastAsia="Calibri"/>
          <w:highlight w:val="white"/>
        </w:rPr>
      </w:pPr>
      <w:r>
        <w:rPr>
          <w:b/>
          <w:highlight w:val="white"/>
        </w:rPr>
        <w:t>The Recovery and Reform</w:t>
      </w:r>
      <w:r>
        <w:rPr>
          <w:rFonts w:eastAsia="Calibri"/>
          <w:b/>
          <w:highlight w:val="white"/>
        </w:rPr>
        <w:t xml:space="preserve"> Support Team at </w:t>
      </w:r>
      <w:r>
        <w:rPr>
          <w:b/>
          <w:highlight w:val="white"/>
        </w:rPr>
        <w:t>the Ministry of Environmental Protection and Natural Resources of Ukraine</w:t>
      </w:r>
      <w:r>
        <w:rPr>
          <w:rFonts w:eastAsia="Calibri"/>
          <w:b/>
          <w:highlight w:val="white"/>
        </w:rPr>
        <w:t xml:space="preserve"> is looking for </w:t>
      </w:r>
      <w:r>
        <w:rPr>
          <w:b/>
          <w:highlight w:val="white"/>
        </w:rPr>
        <w:t>the Expert, Green Recovery</w:t>
      </w:r>
      <w:r>
        <w:rPr>
          <w:rFonts w:eastAsia="Calibri"/>
          <w:b/>
          <w:highlight w:val="white"/>
        </w:rPr>
        <w:t>.</w:t>
      </w:r>
    </w:p>
    <w:p w14:paraId="00000002" w14:textId="77777777" w:rsidR="00B30155" w:rsidRDefault="00000000">
      <w:pPr>
        <w:jc w:val="both"/>
      </w:pPr>
      <w:r>
        <w:t>The Recovery and Reform Support Team (RST) at the Ministry of Environmental Protection and Natural Resources of Ukraine (MEPNR) provides targeted technical support and assists the MEPNR in the design and implementation of recovery and reform priorities by filling the capacity gaps in the design and implementation of priority reform strategies and programmes, while strengthening links and partnerships between the MEPNR and relevant donor support. RST experts shall assist the MEPNR in ensuring coordination and complementarity between RST and other relevant technical assistance projects.</w:t>
      </w:r>
    </w:p>
    <w:p w14:paraId="00000003" w14:textId="77777777" w:rsidR="00B30155" w:rsidRDefault="00000000">
      <w:pPr>
        <w:tabs>
          <w:tab w:val="left" w:pos="1985"/>
        </w:tabs>
        <w:spacing w:after="0" w:line="240" w:lineRule="auto"/>
        <w:jc w:val="both"/>
      </w:pPr>
      <w:r>
        <w:t>Ukraine’s natural environment has suffered significant damage as a result of the ongoing war. The Expert, Green Recovery will support environmental recovery processes, ensure that green principles are incorporated into Ukraine's recovery plans and their implementation, and support expedited alignment with the European Green Deal.</w:t>
      </w:r>
    </w:p>
    <w:p w14:paraId="00000004" w14:textId="77777777" w:rsidR="00B30155" w:rsidRDefault="00B30155">
      <w:pPr>
        <w:spacing w:after="0"/>
        <w:jc w:val="both"/>
        <w:rPr>
          <w:rFonts w:eastAsia="Calibri"/>
          <w:i/>
        </w:rPr>
      </w:pPr>
    </w:p>
    <w:p w14:paraId="00000005" w14:textId="77777777" w:rsidR="00B30155" w:rsidRDefault="00000000">
      <w:pPr>
        <w:spacing w:after="0" w:line="240" w:lineRule="auto"/>
        <w:jc w:val="both"/>
      </w:pPr>
      <w:bookmarkStart w:id="0" w:name="_heading=h.1fob9te" w:colFirst="0" w:colLast="0"/>
      <w:bookmarkEnd w:id="0"/>
      <w:r>
        <w:t xml:space="preserve">Main duties and responsibilities of the </w:t>
      </w:r>
      <w:r>
        <w:rPr>
          <w:highlight w:val="white"/>
        </w:rPr>
        <w:t>Expert, Green Recovery</w:t>
      </w:r>
      <w:r>
        <w:t xml:space="preserve"> will be: </w:t>
      </w:r>
    </w:p>
    <w:p w14:paraId="00000006" w14:textId="77777777" w:rsidR="00B30155" w:rsidRDefault="00B30155">
      <w:pPr>
        <w:spacing w:after="0" w:line="240" w:lineRule="auto"/>
        <w:jc w:val="both"/>
      </w:pPr>
      <w:bookmarkStart w:id="1" w:name="_heading=h.rxvjjxwy4m0f" w:colFirst="0" w:colLast="0"/>
      <w:bookmarkEnd w:id="1"/>
    </w:p>
    <w:p w14:paraId="00000007" w14:textId="77777777" w:rsidR="00B30155" w:rsidRDefault="00000000">
      <w:pPr>
        <w:numPr>
          <w:ilvl w:val="0"/>
          <w:numId w:val="1"/>
        </w:numPr>
        <w:tabs>
          <w:tab w:val="left" w:pos="1985"/>
        </w:tabs>
        <w:spacing w:after="0" w:line="240" w:lineRule="auto"/>
        <w:jc w:val="both"/>
      </w:pPr>
      <w:r>
        <w:t>Development and support in the implementation of reform components that are necessary for green recovery and green transition, i.e. support in the development/implementation of the Ukraine Facility within the authority of the MEPNR, facilitate the inclusion of green criteria in recovery plans, recommendations for restoration of territories and ecosystems, etc;</w:t>
      </w:r>
    </w:p>
    <w:p w14:paraId="00000008" w14:textId="77777777" w:rsidR="00B30155" w:rsidRDefault="00000000">
      <w:pPr>
        <w:numPr>
          <w:ilvl w:val="0"/>
          <w:numId w:val="1"/>
        </w:numPr>
        <w:tabs>
          <w:tab w:val="left" w:pos="1985"/>
        </w:tabs>
        <w:spacing w:after="0" w:line="240" w:lineRule="auto"/>
        <w:jc w:val="both"/>
      </w:pPr>
      <w:r>
        <w:t>Development of methodological recommendations for including the climate component in comprehensive recovery programmes and other state and/or local planning documents;</w:t>
      </w:r>
    </w:p>
    <w:p w14:paraId="00000009" w14:textId="77777777" w:rsidR="00B30155" w:rsidRDefault="00000000">
      <w:pPr>
        <w:numPr>
          <w:ilvl w:val="0"/>
          <w:numId w:val="1"/>
        </w:numPr>
        <w:tabs>
          <w:tab w:val="left" w:pos="1985"/>
        </w:tabs>
        <w:spacing w:after="0" w:line="240" w:lineRule="auto"/>
        <w:jc w:val="both"/>
      </w:pPr>
      <w:r>
        <w:t xml:space="preserve">Consulting, analytical and expert support to the Ministry to ensure environmental recovery documents (strategies, plans, components, legal acts, etc.) and activities contribute to the EU accession process and comply with the fundamentals of European Green Deal; </w:t>
      </w:r>
    </w:p>
    <w:p w14:paraId="0000000A" w14:textId="77777777" w:rsidR="00B30155" w:rsidRDefault="00000000">
      <w:pPr>
        <w:numPr>
          <w:ilvl w:val="0"/>
          <w:numId w:val="1"/>
        </w:numPr>
        <w:tabs>
          <w:tab w:val="left" w:pos="1985"/>
        </w:tabs>
        <w:spacing w:after="0" w:line="240" w:lineRule="auto"/>
        <w:jc w:val="both"/>
      </w:pPr>
      <w:r>
        <w:t>Provide support to stakeholder engagement activities (e.g. public events, workshops, trainings etc) to facilitate and advance  discussions on key topics and policy proposals, and raise awareness of the importance, objectives, challenges, policies related to green recovery/green transition;</w:t>
      </w:r>
    </w:p>
    <w:p w14:paraId="0000000B" w14:textId="77777777" w:rsidR="00B30155" w:rsidRDefault="00000000">
      <w:pPr>
        <w:numPr>
          <w:ilvl w:val="0"/>
          <w:numId w:val="1"/>
        </w:numPr>
        <w:tabs>
          <w:tab w:val="left" w:pos="1985"/>
        </w:tabs>
        <w:spacing w:after="0" w:line="240" w:lineRule="auto"/>
        <w:jc w:val="both"/>
      </w:pPr>
      <w:r>
        <w:t>Provide support to the Ministry in coordination of working groups related to green recovery and green transition;</w:t>
      </w:r>
    </w:p>
    <w:p w14:paraId="0000000C" w14:textId="77777777" w:rsidR="00B30155" w:rsidRDefault="00000000">
      <w:pPr>
        <w:numPr>
          <w:ilvl w:val="0"/>
          <w:numId w:val="1"/>
        </w:numPr>
        <w:tabs>
          <w:tab w:val="left" w:pos="1985"/>
        </w:tabs>
        <w:spacing w:after="0" w:line="240" w:lineRule="auto"/>
        <w:jc w:val="both"/>
      </w:pPr>
      <w:r>
        <w:t>Preparation, systematisation and updating of the information regarding green recovery projects;</w:t>
      </w:r>
    </w:p>
    <w:p w14:paraId="0000000D" w14:textId="77777777" w:rsidR="00B30155" w:rsidRDefault="00000000">
      <w:pPr>
        <w:numPr>
          <w:ilvl w:val="0"/>
          <w:numId w:val="1"/>
        </w:numPr>
        <w:tabs>
          <w:tab w:val="left" w:pos="1985"/>
        </w:tabs>
        <w:spacing w:after="0" w:line="240" w:lineRule="auto"/>
        <w:jc w:val="both"/>
      </w:pPr>
      <w:r>
        <w:t>Preparation of timely and high-quality reports and updates on the progress of green recovery/green transition issues;</w:t>
      </w:r>
    </w:p>
    <w:p w14:paraId="0000000E" w14:textId="77777777" w:rsidR="00B30155" w:rsidRDefault="00000000">
      <w:pPr>
        <w:numPr>
          <w:ilvl w:val="0"/>
          <w:numId w:val="1"/>
        </w:numPr>
        <w:tabs>
          <w:tab w:val="left" w:pos="1985"/>
        </w:tabs>
        <w:spacing w:after="0" w:line="240" w:lineRule="auto"/>
        <w:jc w:val="both"/>
      </w:pPr>
      <w:r>
        <w:t>Supporting the Ministry in the translation of recovery related documents.</w:t>
      </w:r>
    </w:p>
    <w:p w14:paraId="0000000F" w14:textId="77777777" w:rsidR="00B30155" w:rsidRDefault="00000000">
      <w:pPr>
        <w:spacing w:after="0" w:line="259" w:lineRule="auto"/>
        <w:ind w:left="720"/>
        <w:rPr>
          <w:rFonts w:eastAsia="Calibri"/>
        </w:rPr>
      </w:pPr>
      <w:r>
        <w:rPr>
          <w:rFonts w:eastAsia="Calibri"/>
        </w:rPr>
        <w:t xml:space="preserve"> </w:t>
      </w:r>
    </w:p>
    <w:p w14:paraId="00000010" w14:textId="77777777" w:rsidR="00B30155" w:rsidRDefault="00000000">
      <w:pPr>
        <w:spacing w:after="0" w:line="240" w:lineRule="auto"/>
        <w:jc w:val="both"/>
      </w:pPr>
      <w:bookmarkStart w:id="2" w:name="_heading=h.gjdgxs" w:colFirst="0" w:colLast="0"/>
      <w:bookmarkEnd w:id="2"/>
      <w:r>
        <w:t>The initial consultancy assignment is expected to start in April 2024 and has an estimated duration of 17 months. This assignment has an opportunity for extension, subject to the availability of donor funding, consultant’s performance, and the specific needs of the RST. The probation period is two months.</w:t>
      </w:r>
    </w:p>
    <w:p w14:paraId="00000011" w14:textId="77777777" w:rsidR="00B30155" w:rsidRDefault="00B30155">
      <w:pPr>
        <w:spacing w:after="0" w:line="240" w:lineRule="auto"/>
        <w:jc w:val="both"/>
      </w:pPr>
      <w:bookmarkStart w:id="3" w:name="_heading=h.cyhhidmfzj1j" w:colFirst="0" w:colLast="0"/>
      <w:bookmarkEnd w:id="3"/>
    </w:p>
    <w:p w14:paraId="00000012" w14:textId="77777777" w:rsidR="00B30155" w:rsidRDefault="00000000">
      <w:pPr>
        <w:spacing w:after="96" w:line="240" w:lineRule="auto"/>
        <w:ind w:right="-90"/>
        <w:jc w:val="both"/>
      </w:pPr>
      <w:r>
        <w:t xml:space="preserve">Potential candidates should send a full package of documents prepared in English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by March 20, 2024, 23:59 (Kyiv time) to the following address: </w:t>
      </w:r>
      <w:hyperlink r:id="rId6">
        <w:r>
          <w:rPr>
            <w:color w:val="1155CC"/>
            <w:u w:val="single"/>
          </w:rPr>
          <w:t>rst.mepr@gmail.com</w:t>
        </w:r>
      </w:hyperlink>
      <w:r>
        <w:t xml:space="preserve">. Candidates who submit an incomplete package of documents will not be considered. </w:t>
      </w:r>
    </w:p>
    <w:p w14:paraId="00000013" w14:textId="77777777" w:rsidR="00B30155" w:rsidRDefault="00000000">
      <w:pPr>
        <w:spacing w:after="96" w:line="240" w:lineRule="auto"/>
        <w:ind w:right="-90"/>
      </w:pPr>
      <w:r>
        <w:lastRenderedPageBreak/>
        <w:t xml:space="preserve">Only short-listed applicants will be invited to the written test and interview. </w:t>
      </w:r>
    </w:p>
    <w:p w14:paraId="00000014" w14:textId="77777777" w:rsidR="00B30155" w:rsidRDefault="00000000">
      <w:pPr>
        <w:spacing w:before="240" w:after="240"/>
        <w:ind w:right="-90"/>
      </w:pPr>
      <w:r>
        <w:t>The detailed Terms of Reference can be found below.</w:t>
      </w:r>
    </w:p>
    <w:p w14:paraId="00000015" w14:textId="77777777" w:rsidR="00B30155" w:rsidRDefault="00B30155"/>
    <w:p w14:paraId="00000016" w14:textId="77777777" w:rsidR="00B30155" w:rsidRDefault="00B30155"/>
    <w:p w14:paraId="00000017" w14:textId="77777777" w:rsidR="00B30155" w:rsidRDefault="00B30155"/>
    <w:p w14:paraId="00000018" w14:textId="77777777" w:rsidR="00B30155" w:rsidRDefault="00B30155">
      <w:pPr>
        <w:spacing w:after="0" w:line="240" w:lineRule="auto"/>
        <w:ind w:right="-90"/>
      </w:pPr>
    </w:p>
    <w:p w14:paraId="00000019" w14:textId="77777777" w:rsidR="00B30155" w:rsidRDefault="00B30155">
      <w:pPr>
        <w:tabs>
          <w:tab w:val="left" w:pos="709"/>
        </w:tabs>
        <w:spacing w:after="0" w:line="240" w:lineRule="auto"/>
        <w:rPr>
          <w:b/>
          <w:color w:val="000000"/>
        </w:rPr>
      </w:pPr>
    </w:p>
    <w:p w14:paraId="0000001A" w14:textId="77777777" w:rsidR="00B30155" w:rsidRDefault="00B30155"/>
    <w:sectPr w:rsidR="00B30155">
      <w:pgSz w:w="11906" w:h="16838"/>
      <w:pgMar w:top="1411" w:right="1411" w:bottom="1411" w:left="1411" w:header="706" w:footer="70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42F2C"/>
    <w:multiLevelType w:val="multilevel"/>
    <w:tmpl w:val="E2CA11B6"/>
    <w:lvl w:ilvl="0">
      <w:start w:val="1"/>
      <w:numFmt w:val="decimal"/>
      <w:pStyle w:val="PuceGris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72757EB"/>
    <w:multiLevelType w:val="multilevel"/>
    <w:tmpl w:val="24B82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2161092">
    <w:abstractNumId w:val="1"/>
  </w:num>
  <w:num w:numId="2" w16cid:durableId="151298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55"/>
    <w:rsid w:val="00B30155"/>
    <w:rsid w:val="00D54F40"/>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5:docId w15:val="{62D1613A-BF49-7245-8627-8B4EA8FB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7C"/>
    <w:rPr>
      <w:rFonts w:eastAsiaTheme="minorEastAsia"/>
      <w:lang w:val="uk-UA" w:eastAsia="uk-U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6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37C"/>
  </w:style>
  <w:style w:type="paragraph" w:styleId="Footer">
    <w:name w:val="footer"/>
    <w:basedOn w:val="Normal"/>
    <w:link w:val="FooterChar"/>
    <w:uiPriority w:val="99"/>
    <w:unhideWhenUsed/>
    <w:rsid w:val="005F6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5F637C"/>
    <w:pPr>
      <w:spacing w:after="160" w:line="259" w:lineRule="auto"/>
      <w:ind w:left="720"/>
      <w:contextualSpacing/>
    </w:pPr>
    <w:rPr>
      <w:lang w:val="en-US"/>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rsid w:val="005F637C"/>
    <w:rPr>
      <w:rFonts w:eastAsiaTheme="minorEastAsia"/>
      <w:lang w:eastAsia="uk-UA"/>
    </w:rPr>
  </w:style>
  <w:style w:type="paragraph" w:customStyle="1" w:styleId="Normale-n-ind">
    <w:name w:val="Normale-n-ind"/>
    <w:rsid w:val="005F637C"/>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rPr>
  </w:style>
  <w:style w:type="paragraph" w:customStyle="1" w:styleId="normaltableau">
    <w:name w:val="normal_tableau"/>
    <w:basedOn w:val="Normal"/>
    <w:rsid w:val="002F0B01"/>
    <w:pPr>
      <w:spacing w:after="0" w:line="240" w:lineRule="auto"/>
      <w:jc w:val="both"/>
    </w:pPr>
    <w:rPr>
      <w:rFonts w:ascii="Arial" w:eastAsia="Times New Roman" w:hAnsi="Arial" w:cs="Times New Roman"/>
      <w:sz w:val="20"/>
      <w:szCs w:val="20"/>
      <w:lang w:eastAsia="de-DE"/>
    </w:rPr>
  </w:style>
  <w:style w:type="paragraph" w:customStyle="1" w:styleId="CVNormal">
    <w:name w:val="CV Normal"/>
    <w:basedOn w:val="Normal"/>
    <w:uiPriority w:val="99"/>
    <w:rsid w:val="002F0B01"/>
    <w:pPr>
      <w:suppressAutoHyphens/>
      <w:spacing w:after="0" w:line="240" w:lineRule="auto"/>
      <w:ind w:left="113" w:right="113"/>
    </w:pPr>
    <w:rPr>
      <w:rFonts w:ascii="Arial Narrow" w:eastAsia="Times New Roman" w:hAnsi="Arial Narrow" w:cs="Times New Roman"/>
      <w:sz w:val="20"/>
      <w:szCs w:val="20"/>
      <w:lang w:val="en-US" w:eastAsia="ar-SA"/>
    </w:rPr>
  </w:style>
  <w:style w:type="paragraph" w:customStyle="1" w:styleId="PuceGrise">
    <w:name w:val="Puce Grise"/>
    <w:basedOn w:val="Normal"/>
    <w:next w:val="Normal"/>
    <w:rsid w:val="002F0B01"/>
    <w:pPr>
      <w:numPr>
        <w:numId w:val="2"/>
      </w:numPr>
      <w:tabs>
        <w:tab w:val="left" w:pos="216"/>
      </w:tabs>
      <w:spacing w:before="20" w:after="20" w:line="240" w:lineRule="auto"/>
    </w:pPr>
    <w:rPr>
      <w:rFonts w:ascii="Arial" w:eastAsia="Times New Roman" w:hAnsi="Arial" w:cs="Times New Roman"/>
      <w:sz w:val="18"/>
      <w:szCs w:val="20"/>
      <w:lang w:val="en-US" w:eastAsia="fr-FR"/>
    </w:rPr>
  </w:style>
  <w:style w:type="table" w:styleId="TableGrid">
    <w:name w:val="Table Grid"/>
    <w:basedOn w:val="TableNormal"/>
    <w:uiPriority w:val="39"/>
    <w:rsid w:val="00C92833"/>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96CBB"/>
    <w:pPr>
      <w:spacing w:line="240" w:lineRule="auto"/>
    </w:pPr>
    <w:rPr>
      <w:sz w:val="20"/>
      <w:szCs w:val="20"/>
    </w:rPr>
  </w:style>
  <w:style w:type="character" w:customStyle="1" w:styleId="CommentTextChar">
    <w:name w:val="Comment Text Char"/>
    <w:basedOn w:val="DefaultParagraphFont"/>
    <w:link w:val="CommentText"/>
    <w:uiPriority w:val="99"/>
    <w:rsid w:val="00D96CBB"/>
    <w:rPr>
      <w:rFonts w:eastAsiaTheme="minorEastAsia"/>
      <w:sz w:val="20"/>
      <w:szCs w:val="20"/>
      <w:lang w:val="uk-UA" w:eastAsia="uk-UA"/>
    </w:rPr>
  </w:style>
  <w:style w:type="character" w:styleId="FootnoteReference">
    <w:name w:val="footnote reference"/>
    <w:basedOn w:val="DefaultParagraphFont"/>
    <w:uiPriority w:val="99"/>
    <w:semiHidden/>
    <w:unhideWhenUsed/>
    <w:rsid w:val="00F1662D"/>
    <w:rPr>
      <w:vertAlign w:val="superscript"/>
    </w:rPr>
  </w:style>
  <w:style w:type="paragraph" w:customStyle="1" w:styleId="Default">
    <w:name w:val="Default"/>
    <w:rsid w:val="00F1662D"/>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st.mep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9JJAoIcjvr97LQjAh0LYNd0xGQ==">CgMxLjAyCWguMWZvYjl0ZTIOaC5yeHZqanh3eTRtMGYyCGguZ2pkZ3hzMg5oLmN5aGhpZG1memoxajgAciExbWVrNmdlTFRoTEd2UGdSdXVOZ0Q3cnZ3S2VFME9fNnE=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Anikeeva, Yuliya</dc:creator>
  <cp:lastModifiedBy>Serhii Dykyi (2207505)</cp:lastModifiedBy>
  <cp:revision>1</cp:revision>
  <dcterms:created xsi:type="dcterms:W3CDTF">2023-05-04T05:51:00Z</dcterms:created>
  <dcterms:modified xsi:type="dcterms:W3CDTF">2024-03-11T12:20:00Z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