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21C6" w:rsidRDefault="00000000">
      <w:pPr>
        <w:shd w:val="clear" w:color="auto" w:fill="FFFFFF"/>
        <w:rPr>
          <w:rFonts w:eastAsia="Calibri"/>
          <w:highlight w:val="white"/>
        </w:rPr>
      </w:pPr>
      <w:r>
        <w:rPr>
          <w:b/>
          <w:highlight w:val="white"/>
        </w:rPr>
        <w:t>The Recovery and Reform</w:t>
      </w:r>
      <w:r>
        <w:rPr>
          <w:rFonts w:eastAsia="Calibri"/>
          <w:b/>
          <w:highlight w:val="white"/>
        </w:rPr>
        <w:t xml:space="preserve"> Support Team at </w:t>
      </w:r>
      <w:r>
        <w:rPr>
          <w:b/>
          <w:highlight w:val="white"/>
        </w:rPr>
        <w:t>the Ministry of Environmental Protection and Natural Resources of Ukraine</w:t>
      </w:r>
      <w:r>
        <w:rPr>
          <w:rFonts w:eastAsia="Calibri"/>
          <w:b/>
          <w:highlight w:val="white"/>
        </w:rPr>
        <w:t xml:space="preserve"> is looking for </w:t>
      </w:r>
      <w:r>
        <w:rPr>
          <w:b/>
          <w:highlight w:val="white"/>
        </w:rPr>
        <w:t>the Reform Advocacy and Media Cooperation Expert</w:t>
      </w:r>
      <w:r>
        <w:rPr>
          <w:rFonts w:eastAsia="Calibri"/>
          <w:b/>
          <w:highlight w:val="white"/>
        </w:rPr>
        <w:t>.</w:t>
      </w:r>
    </w:p>
    <w:p w14:paraId="00000002" w14:textId="77777777" w:rsidR="00D921C6" w:rsidRDefault="00000000">
      <w:pPr>
        <w:jc w:val="both"/>
      </w:pPr>
      <w:r>
        <w:t>The Recovery and Reform Support Team (RST) at the Ministry of Environmental Protection and Natural Resources of Ukraine (MEPNR) provides targeted technical support and assists the MEPNR in the design and implementation of recovery and reform priorities by filling the capacity gaps in the design and implementation of priority reform strategies and programmes, while strengthening links and partnerships between the MEPNR and relevant donor support. RST experts shall assist the MEPNR in ensuring coordination and complementarity between RST and other relevant technical assistance projects.</w:t>
      </w:r>
    </w:p>
    <w:p w14:paraId="00000003" w14:textId="77777777" w:rsidR="00D921C6" w:rsidRDefault="00000000">
      <w:pPr>
        <w:tabs>
          <w:tab w:val="left" w:pos="1985"/>
        </w:tabs>
        <w:spacing w:after="0" w:line="240" w:lineRule="auto"/>
        <w:jc w:val="both"/>
      </w:pPr>
      <w:r>
        <w:t>Effective communication is paramount to driving positive change in the dynamic landscape of priority environmental reforms and recovery. We are seeking a qualified Reform Advocacy and Media Cooperation Expert to play an important role in shaping and implementing communication strategies for the MEPNR and its reform and recovery initiatives.</w:t>
      </w:r>
    </w:p>
    <w:p w14:paraId="00000004" w14:textId="77777777" w:rsidR="00D921C6" w:rsidRDefault="00D921C6">
      <w:pPr>
        <w:tabs>
          <w:tab w:val="left" w:pos="1985"/>
        </w:tabs>
        <w:spacing w:after="0" w:line="240" w:lineRule="auto"/>
        <w:jc w:val="both"/>
      </w:pPr>
    </w:p>
    <w:p w14:paraId="00000005" w14:textId="77777777" w:rsidR="00D921C6" w:rsidRDefault="00000000">
      <w:pPr>
        <w:tabs>
          <w:tab w:val="left" w:pos="1985"/>
        </w:tabs>
        <w:spacing w:after="0" w:line="240" w:lineRule="auto"/>
        <w:jc w:val="both"/>
      </w:pPr>
      <w:r>
        <w:t>The key reform priorities of the Ministry, in line with the Government Priority Action Plan, are:</w:t>
      </w:r>
    </w:p>
    <w:p w14:paraId="00000006" w14:textId="77777777" w:rsidR="00D921C6" w:rsidRDefault="00D921C6">
      <w:pPr>
        <w:tabs>
          <w:tab w:val="left" w:pos="1985"/>
        </w:tabs>
        <w:spacing w:after="0" w:line="240" w:lineRule="auto"/>
        <w:jc w:val="both"/>
      </w:pPr>
    </w:p>
    <w:p w14:paraId="00000007" w14:textId="77777777" w:rsidR="00D921C6" w:rsidRDefault="00000000">
      <w:pPr>
        <w:numPr>
          <w:ilvl w:val="0"/>
          <w:numId w:val="1"/>
        </w:numPr>
        <w:tabs>
          <w:tab w:val="left" w:pos="1985"/>
        </w:tabs>
        <w:spacing w:after="0" w:line="240" w:lineRule="auto"/>
        <w:jc w:val="both"/>
      </w:pPr>
      <w:r>
        <w:t xml:space="preserve">Reform of the Environmental Control and Assessment (EIA &amp; SEA); </w:t>
      </w:r>
    </w:p>
    <w:p w14:paraId="00000008" w14:textId="77777777" w:rsidR="00D921C6" w:rsidRDefault="00000000">
      <w:pPr>
        <w:numPr>
          <w:ilvl w:val="0"/>
          <w:numId w:val="1"/>
        </w:numPr>
        <w:tabs>
          <w:tab w:val="left" w:pos="1985"/>
        </w:tabs>
        <w:spacing w:after="0" w:line="240" w:lineRule="auto"/>
        <w:jc w:val="both"/>
      </w:pPr>
      <w:r>
        <w:t xml:space="preserve">Industrial Pollution Reduction and Environmental Monitoring Reform; </w:t>
      </w:r>
    </w:p>
    <w:p w14:paraId="00000009" w14:textId="77777777" w:rsidR="00D921C6" w:rsidRDefault="00000000">
      <w:pPr>
        <w:numPr>
          <w:ilvl w:val="0"/>
          <w:numId w:val="1"/>
        </w:numPr>
        <w:tabs>
          <w:tab w:val="left" w:pos="1985"/>
        </w:tabs>
        <w:spacing w:after="0" w:line="240" w:lineRule="auto"/>
        <w:jc w:val="both"/>
      </w:pPr>
      <w:r>
        <w:t>Waste Management Reform;</w:t>
      </w:r>
    </w:p>
    <w:p w14:paraId="0000000A" w14:textId="77777777" w:rsidR="00D921C6" w:rsidRDefault="00000000">
      <w:pPr>
        <w:numPr>
          <w:ilvl w:val="0"/>
          <w:numId w:val="1"/>
        </w:numPr>
        <w:tabs>
          <w:tab w:val="left" w:pos="1985"/>
        </w:tabs>
        <w:spacing w:after="0" w:line="240" w:lineRule="auto"/>
        <w:jc w:val="both"/>
      </w:pPr>
      <w:r>
        <w:t>Water Resources Protection;</w:t>
      </w:r>
    </w:p>
    <w:p w14:paraId="0000000B" w14:textId="77777777" w:rsidR="00D921C6" w:rsidRDefault="00000000">
      <w:pPr>
        <w:numPr>
          <w:ilvl w:val="0"/>
          <w:numId w:val="1"/>
        </w:numPr>
        <w:tabs>
          <w:tab w:val="left" w:pos="1985"/>
        </w:tabs>
        <w:spacing w:after="0" w:line="240" w:lineRule="auto"/>
        <w:jc w:val="both"/>
      </w:pPr>
      <w:r>
        <w:t>Climate Policy Implementation;</w:t>
      </w:r>
    </w:p>
    <w:p w14:paraId="0000000C" w14:textId="77777777" w:rsidR="00D921C6" w:rsidRDefault="00000000">
      <w:pPr>
        <w:numPr>
          <w:ilvl w:val="0"/>
          <w:numId w:val="1"/>
        </w:numPr>
        <w:tabs>
          <w:tab w:val="left" w:pos="1985"/>
        </w:tabs>
        <w:spacing w:after="0" w:line="240" w:lineRule="auto"/>
        <w:jc w:val="both"/>
      </w:pPr>
      <w:r>
        <w:t>Subsoil Reform;</w:t>
      </w:r>
    </w:p>
    <w:p w14:paraId="0000000D" w14:textId="77777777" w:rsidR="00D921C6" w:rsidRDefault="00000000">
      <w:pPr>
        <w:numPr>
          <w:ilvl w:val="0"/>
          <w:numId w:val="1"/>
        </w:numPr>
        <w:tabs>
          <w:tab w:val="left" w:pos="1985"/>
        </w:tabs>
        <w:spacing w:after="0" w:line="240" w:lineRule="auto"/>
        <w:jc w:val="both"/>
      </w:pPr>
      <w:r>
        <w:t>Public Administration Reform;</w:t>
      </w:r>
    </w:p>
    <w:p w14:paraId="0000000E" w14:textId="77777777" w:rsidR="00D921C6" w:rsidRDefault="00000000">
      <w:pPr>
        <w:numPr>
          <w:ilvl w:val="0"/>
          <w:numId w:val="1"/>
        </w:numPr>
        <w:tabs>
          <w:tab w:val="left" w:pos="1985"/>
        </w:tabs>
        <w:spacing w:after="0" w:line="240" w:lineRule="auto"/>
        <w:jc w:val="both"/>
      </w:pPr>
      <w:r>
        <w:t>Biodiversity Conservation.</w:t>
      </w:r>
    </w:p>
    <w:p w14:paraId="0000000F" w14:textId="77777777" w:rsidR="00D921C6" w:rsidRDefault="00D921C6">
      <w:pPr>
        <w:tabs>
          <w:tab w:val="left" w:pos="1985"/>
        </w:tabs>
        <w:spacing w:after="0" w:line="240" w:lineRule="auto"/>
        <w:jc w:val="both"/>
      </w:pPr>
    </w:p>
    <w:p w14:paraId="00000010" w14:textId="77777777" w:rsidR="00D921C6" w:rsidRDefault="00000000">
      <w:pPr>
        <w:spacing w:after="0"/>
        <w:jc w:val="both"/>
      </w:pPr>
      <w:r>
        <w:rPr>
          <w:rFonts w:eastAsia="Calibri"/>
        </w:rPr>
        <w:t xml:space="preserve">We are </w:t>
      </w:r>
      <w:r>
        <w:t xml:space="preserve">now continuing </w:t>
      </w:r>
      <w:r>
        <w:rPr>
          <w:rFonts w:eastAsia="Calibri"/>
        </w:rPr>
        <w:t xml:space="preserve">the competition for the position </w:t>
      </w:r>
      <w:r>
        <w:t xml:space="preserve">of </w:t>
      </w:r>
      <w:r>
        <w:rPr>
          <w:highlight w:val="white"/>
        </w:rPr>
        <w:t>Reform Advocacy and Media Cooperation Expert</w:t>
      </w:r>
      <w:r>
        <w:t xml:space="preserve">. </w:t>
      </w:r>
    </w:p>
    <w:p w14:paraId="00000011" w14:textId="77777777" w:rsidR="00D921C6" w:rsidRDefault="00D921C6">
      <w:pPr>
        <w:spacing w:after="0"/>
        <w:jc w:val="both"/>
        <w:rPr>
          <w:rFonts w:eastAsia="Calibri"/>
          <w:i/>
        </w:rPr>
      </w:pPr>
    </w:p>
    <w:p w14:paraId="00000012" w14:textId="77777777" w:rsidR="00D921C6" w:rsidRDefault="00000000">
      <w:pPr>
        <w:spacing w:after="0" w:line="240" w:lineRule="auto"/>
        <w:jc w:val="both"/>
      </w:pPr>
      <w:bookmarkStart w:id="0" w:name="_heading=h.1fob9te" w:colFirst="0" w:colLast="0"/>
      <w:bookmarkEnd w:id="0"/>
      <w:r>
        <w:t xml:space="preserve">Main duties and responsibilities of the </w:t>
      </w:r>
      <w:r>
        <w:rPr>
          <w:highlight w:val="white"/>
        </w:rPr>
        <w:t>Reform Advocacy and Media Cooperation Expert</w:t>
      </w:r>
      <w:r>
        <w:t xml:space="preserve"> will be: </w:t>
      </w:r>
    </w:p>
    <w:p w14:paraId="00000013" w14:textId="77777777" w:rsidR="00D921C6" w:rsidRDefault="00D921C6">
      <w:pPr>
        <w:spacing w:after="0" w:line="240" w:lineRule="auto"/>
        <w:jc w:val="both"/>
      </w:pPr>
      <w:bookmarkStart w:id="1" w:name="_heading=h.rxvjjxwy4m0f" w:colFirst="0" w:colLast="0"/>
      <w:bookmarkEnd w:id="1"/>
    </w:p>
    <w:p w14:paraId="00000014" w14:textId="77777777" w:rsidR="00D921C6" w:rsidRDefault="00000000">
      <w:pPr>
        <w:numPr>
          <w:ilvl w:val="0"/>
          <w:numId w:val="2"/>
        </w:numPr>
        <w:tabs>
          <w:tab w:val="left" w:pos="1985"/>
        </w:tabs>
        <w:spacing w:after="0" w:line="240" w:lineRule="auto"/>
        <w:jc w:val="both"/>
      </w:pPr>
      <w:r>
        <w:t>Support in the development and implementation of strategic advocacy campaigns to enhance awareness of priority reforms and recovery initiatives led by the MEPNR.</w:t>
      </w:r>
    </w:p>
    <w:p w14:paraId="00000015" w14:textId="77777777" w:rsidR="00D921C6" w:rsidRDefault="00000000">
      <w:pPr>
        <w:numPr>
          <w:ilvl w:val="0"/>
          <w:numId w:val="2"/>
        </w:numPr>
        <w:tabs>
          <w:tab w:val="left" w:pos="1985"/>
        </w:tabs>
        <w:spacing w:after="0" w:line="240" w:lineRule="auto"/>
        <w:jc w:val="both"/>
      </w:pPr>
      <w:r>
        <w:t>Cooperate with stakeholders and partners to support representation of the environmental damage caused by war, recovery initiatives, and priority reforms.</w:t>
      </w:r>
    </w:p>
    <w:p w14:paraId="00000016" w14:textId="77777777" w:rsidR="00D921C6" w:rsidRDefault="00000000">
      <w:pPr>
        <w:numPr>
          <w:ilvl w:val="0"/>
          <w:numId w:val="2"/>
        </w:numPr>
        <w:tabs>
          <w:tab w:val="left" w:pos="1985"/>
        </w:tabs>
        <w:spacing w:after="0" w:line="240" w:lineRule="auto"/>
        <w:jc w:val="both"/>
      </w:pPr>
      <w:r>
        <w:t>Cultivate and maintain strong relationships with national and international media, facilitating interviews, commentary, and press briefings to strengthen coverage of environmental protection reforms and recovery process.</w:t>
      </w:r>
    </w:p>
    <w:p w14:paraId="00000017" w14:textId="77777777" w:rsidR="00D921C6" w:rsidRDefault="00000000">
      <w:pPr>
        <w:numPr>
          <w:ilvl w:val="0"/>
          <w:numId w:val="2"/>
        </w:numPr>
        <w:tabs>
          <w:tab w:val="left" w:pos="1985"/>
        </w:tabs>
        <w:spacing w:after="0" w:line="240" w:lineRule="auto"/>
        <w:jc w:val="both"/>
      </w:pPr>
      <w:r>
        <w:t>Development of communication materials, including press releases, op-eds, articles, and multimedia content, and dissemination across various platforms i.e. websites, social media, etc.</w:t>
      </w:r>
    </w:p>
    <w:p w14:paraId="00000018" w14:textId="77777777" w:rsidR="00D921C6" w:rsidRDefault="00000000">
      <w:pPr>
        <w:numPr>
          <w:ilvl w:val="0"/>
          <w:numId w:val="2"/>
        </w:numPr>
        <w:tabs>
          <w:tab w:val="left" w:pos="1985"/>
        </w:tabs>
        <w:spacing w:after="0" w:line="240" w:lineRule="auto"/>
        <w:jc w:val="both"/>
      </w:pPr>
      <w:r>
        <w:t>Support in the organisation and coordination of events, ensuring seamless communication and engagement of media representatives to ensure media coverage of reforms and recovery initiatives.</w:t>
      </w:r>
    </w:p>
    <w:p w14:paraId="00000019" w14:textId="77777777" w:rsidR="00D921C6" w:rsidRDefault="00000000">
      <w:pPr>
        <w:spacing w:after="0" w:line="259" w:lineRule="auto"/>
        <w:ind w:left="720"/>
        <w:rPr>
          <w:rFonts w:eastAsia="Calibri"/>
        </w:rPr>
      </w:pPr>
      <w:r>
        <w:rPr>
          <w:rFonts w:eastAsia="Calibri"/>
        </w:rPr>
        <w:t xml:space="preserve"> </w:t>
      </w:r>
    </w:p>
    <w:p w14:paraId="0000001A" w14:textId="77777777" w:rsidR="00D921C6" w:rsidRDefault="00000000">
      <w:pPr>
        <w:spacing w:after="0" w:line="240" w:lineRule="auto"/>
        <w:jc w:val="both"/>
      </w:pPr>
      <w:bookmarkStart w:id="2" w:name="_heading=h.gjdgxs" w:colFirst="0" w:colLast="0"/>
      <w:bookmarkEnd w:id="2"/>
      <w:r>
        <w:t>The initial consultancy assignment is expected to start in April 2024 and has an estimated duration of 17 months. This assignment has an opportunity for extension, subject to the availability of donor funding, consultant’s performance, and the specific needs of the RST. The probation period is two months.</w:t>
      </w:r>
    </w:p>
    <w:p w14:paraId="0000001B" w14:textId="77777777" w:rsidR="00D921C6" w:rsidRDefault="00D921C6">
      <w:pPr>
        <w:spacing w:after="0" w:line="240" w:lineRule="auto"/>
        <w:jc w:val="both"/>
      </w:pPr>
      <w:bookmarkStart w:id="3" w:name="_heading=h.cyhhidmfzj1j" w:colFirst="0" w:colLast="0"/>
      <w:bookmarkEnd w:id="3"/>
    </w:p>
    <w:p w14:paraId="0000001C" w14:textId="77777777" w:rsidR="00D921C6" w:rsidRDefault="00000000">
      <w:pPr>
        <w:spacing w:after="96" w:line="240" w:lineRule="auto"/>
        <w:ind w:right="-90"/>
        <w:jc w:val="both"/>
      </w:pPr>
      <w:r>
        <w:t xml:space="preserve">Potential candidates should send a full package of documents prepared in English (Application Form, NDA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by March 31, 2024, 23:59 (Kyiv time) to the following address: </w:t>
      </w:r>
      <w:hyperlink r:id="rId6">
        <w:r>
          <w:rPr>
            <w:color w:val="1155CC"/>
            <w:u w:val="single"/>
          </w:rPr>
          <w:t>rst.mepr@gmail.com</w:t>
        </w:r>
      </w:hyperlink>
      <w:r>
        <w:t xml:space="preserve">. Candidates who submit an incomplete package of documents will not be considered. </w:t>
      </w:r>
    </w:p>
    <w:p w14:paraId="0000001D" w14:textId="77777777" w:rsidR="00D921C6" w:rsidRDefault="00000000">
      <w:pPr>
        <w:spacing w:after="96" w:line="240" w:lineRule="auto"/>
        <w:ind w:right="-90"/>
      </w:pPr>
      <w:r>
        <w:t xml:space="preserve">Only short-listed applicants will be invited to the written test and interview. </w:t>
      </w:r>
    </w:p>
    <w:p w14:paraId="0000001E" w14:textId="77777777" w:rsidR="00D921C6" w:rsidRDefault="00000000">
      <w:pPr>
        <w:spacing w:before="240" w:after="240"/>
        <w:ind w:right="-90"/>
      </w:pPr>
      <w:r>
        <w:t>The detailed Terms of Reference can be found below.</w:t>
      </w:r>
    </w:p>
    <w:p w14:paraId="0000001F" w14:textId="77777777" w:rsidR="00D921C6" w:rsidRDefault="00D921C6"/>
    <w:p w14:paraId="00000020" w14:textId="77777777" w:rsidR="00D921C6" w:rsidRDefault="00D921C6"/>
    <w:p w14:paraId="00000021" w14:textId="77777777" w:rsidR="00D921C6" w:rsidRDefault="00D921C6"/>
    <w:p w14:paraId="00000022" w14:textId="77777777" w:rsidR="00D921C6" w:rsidRDefault="00D921C6">
      <w:pPr>
        <w:spacing w:after="0" w:line="240" w:lineRule="auto"/>
        <w:ind w:right="-90"/>
      </w:pPr>
    </w:p>
    <w:p w14:paraId="00000023" w14:textId="77777777" w:rsidR="00D921C6" w:rsidRDefault="00D921C6">
      <w:pPr>
        <w:tabs>
          <w:tab w:val="left" w:pos="709"/>
        </w:tabs>
        <w:spacing w:after="0" w:line="240" w:lineRule="auto"/>
        <w:rPr>
          <w:b/>
          <w:color w:val="000000"/>
        </w:rPr>
      </w:pPr>
    </w:p>
    <w:p w14:paraId="00000024" w14:textId="77777777" w:rsidR="00D921C6" w:rsidRDefault="00D921C6"/>
    <w:sectPr w:rsidR="00D921C6">
      <w:pgSz w:w="11906" w:h="16838"/>
      <w:pgMar w:top="1411" w:right="1411" w:bottom="1411" w:left="1411" w:header="706" w:footer="70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74381"/>
    <w:multiLevelType w:val="multilevel"/>
    <w:tmpl w:val="FBC43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E267D4"/>
    <w:multiLevelType w:val="multilevel"/>
    <w:tmpl w:val="05806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6C6516"/>
    <w:multiLevelType w:val="multilevel"/>
    <w:tmpl w:val="7118243E"/>
    <w:lvl w:ilvl="0">
      <w:start w:val="1"/>
      <w:numFmt w:val="decimal"/>
      <w:pStyle w:val="PuceGris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48684197">
    <w:abstractNumId w:val="1"/>
  </w:num>
  <w:num w:numId="2" w16cid:durableId="1617517682">
    <w:abstractNumId w:val="0"/>
  </w:num>
  <w:num w:numId="3" w16cid:durableId="1714311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C6"/>
    <w:rsid w:val="00D921C6"/>
    <w:rsid w:val="00DD77C4"/>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5:docId w15:val="{62D1613A-BF49-7245-8627-8B4EA8FB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7C"/>
    <w:rPr>
      <w:rFonts w:eastAsiaTheme="minorEastAsia"/>
      <w:lang w:val="uk-UA" w:eastAsia="uk-U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F6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37C"/>
  </w:style>
  <w:style w:type="paragraph" w:styleId="Footer">
    <w:name w:val="footer"/>
    <w:basedOn w:val="Normal"/>
    <w:link w:val="FooterChar"/>
    <w:uiPriority w:val="99"/>
    <w:unhideWhenUsed/>
    <w:rsid w:val="005F6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5F637C"/>
    <w:pPr>
      <w:spacing w:after="160" w:line="259" w:lineRule="auto"/>
      <w:ind w:left="720"/>
      <w:contextualSpacing/>
    </w:pPr>
    <w:rPr>
      <w:lang w:val="en-US"/>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rPr>
  </w:style>
  <w:style w:type="paragraph" w:customStyle="1" w:styleId="normaltableau">
    <w:name w:val="normal_tableau"/>
    <w:basedOn w:val="Normal"/>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Normal"/>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Normal"/>
    <w:next w:val="Normal"/>
    <w:rsid w:val="002F0B01"/>
    <w:pPr>
      <w:numPr>
        <w:numId w:val="3"/>
      </w:numPr>
      <w:tabs>
        <w:tab w:val="left" w:pos="216"/>
      </w:tabs>
      <w:spacing w:before="20" w:after="20" w:line="240" w:lineRule="auto"/>
    </w:pPr>
    <w:rPr>
      <w:rFonts w:ascii="Arial" w:eastAsia="Times New Roman" w:hAnsi="Arial" w:cs="Times New Roman"/>
      <w:sz w:val="18"/>
      <w:szCs w:val="20"/>
      <w:lang w:val="en-US" w:eastAsia="fr-FR"/>
    </w:rPr>
  </w:style>
  <w:style w:type="table" w:styleId="TableGrid">
    <w:name w:val="Table Grid"/>
    <w:basedOn w:val="TableNormal"/>
    <w:uiPriority w:val="39"/>
    <w:rsid w:val="00C92833"/>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96CBB"/>
    <w:pPr>
      <w:spacing w:line="240" w:lineRule="auto"/>
    </w:pPr>
    <w:rPr>
      <w:sz w:val="20"/>
      <w:szCs w:val="20"/>
    </w:rPr>
  </w:style>
  <w:style w:type="character" w:customStyle="1" w:styleId="CommentTextChar">
    <w:name w:val="Comment Text Char"/>
    <w:basedOn w:val="DefaultParagraphFont"/>
    <w:link w:val="CommentText"/>
    <w:uiPriority w:val="99"/>
    <w:rsid w:val="00D96CBB"/>
    <w:rPr>
      <w:rFonts w:eastAsiaTheme="minorEastAsia"/>
      <w:sz w:val="20"/>
      <w:szCs w:val="20"/>
      <w:lang w:val="uk-UA" w:eastAsia="uk-UA"/>
    </w:rPr>
  </w:style>
  <w:style w:type="character" w:styleId="FootnoteReference">
    <w:name w:val="footnote reference"/>
    <w:basedOn w:val="DefaultParagraphFont"/>
    <w:uiPriority w:val="99"/>
    <w:semiHidden/>
    <w:unhideWhenUsed/>
    <w:rsid w:val="00F1662D"/>
    <w:rPr>
      <w:vertAlign w:val="superscript"/>
    </w:rPr>
  </w:style>
  <w:style w:type="paragraph" w:customStyle="1" w:styleId="Default">
    <w:name w:val="Default"/>
    <w:rsid w:val="00F1662D"/>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st.mep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6pxfqwQGsVUdqDJCGfL4J4FS3Q==">CgMxLjAyCWguMWZvYjl0ZTIOaC5yeHZqanh3eTRtMGYyCGguZ2pkZ3hzMg5oLmN5aGhpZG1memoxajgAciExT1pnTjg5RVdtTGdaeEY3by1XWkVJUWZoeDU1UnVqV2E=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Anikeeva, Yuliya</dc:creator>
  <cp:lastModifiedBy>Serhii Dykyi (2207505)</cp:lastModifiedBy>
  <cp:revision>1</cp:revision>
  <dcterms:created xsi:type="dcterms:W3CDTF">2023-05-04T05:51:00Z</dcterms:created>
  <dcterms:modified xsi:type="dcterms:W3CDTF">2024-03-15T10:47:00Z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