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DCEC4" w14:textId="77777777" w:rsidR="002C788A" w:rsidRPr="00644B5D" w:rsidRDefault="002C788A" w:rsidP="002C788A">
      <w:pPr>
        <w:autoSpaceDE w:val="0"/>
        <w:autoSpaceDN w:val="0"/>
        <w:adjustRightInd w:val="0"/>
        <w:ind w:right="4" w:firstLine="567"/>
        <w:jc w:val="center"/>
        <w:rPr>
          <w:b/>
          <w:bCs/>
          <w:sz w:val="28"/>
          <w:szCs w:val="28"/>
          <w:lang w:val="uk-UA"/>
        </w:rPr>
      </w:pPr>
      <w:bookmarkStart w:id="0" w:name="_GoBack"/>
      <w:bookmarkEnd w:id="0"/>
      <w:r w:rsidRPr="00644B5D">
        <w:rPr>
          <w:b/>
          <w:bCs/>
          <w:sz w:val="28"/>
          <w:szCs w:val="28"/>
          <w:lang w:val="uk-UA"/>
        </w:rPr>
        <w:t>ПОЯСНЮВАЛЬНА ЗАПИСКА</w:t>
      </w:r>
    </w:p>
    <w:p w14:paraId="25E1F040" w14:textId="77777777" w:rsidR="002C788A" w:rsidRPr="00644B5D" w:rsidRDefault="002C788A" w:rsidP="002C788A">
      <w:pPr>
        <w:autoSpaceDE w:val="0"/>
        <w:autoSpaceDN w:val="0"/>
        <w:adjustRightInd w:val="0"/>
        <w:ind w:right="4" w:firstLine="567"/>
        <w:jc w:val="center"/>
        <w:rPr>
          <w:b/>
          <w:bCs/>
          <w:sz w:val="28"/>
          <w:szCs w:val="28"/>
          <w:lang w:val="uk-UA"/>
        </w:rPr>
      </w:pPr>
      <w:r w:rsidRPr="00644B5D">
        <w:rPr>
          <w:b/>
          <w:bCs/>
          <w:sz w:val="28"/>
          <w:szCs w:val="28"/>
          <w:lang w:val="uk-UA"/>
        </w:rPr>
        <w:t xml:space="preserve">до </w:t>
      </w:r>
      <w:r w:rsidR="00CE29A5" w:rsidRPr="00644B5D">
        <w:rPr>
          <w:b/>
          <w:bCs/>
          <w:sz w:val="28"/>
          <w:szCs w:val="28"/>
          <w:lang w:val="uk-UA"/>
        </w:rPr>
        <w:t>проєкт</w:t>
      </w:r>
      <w:r w:rsidRPr="00644B5D">
        <w:rPr>
          <w:b/>
          <w:bCs/>
          <w:sz w:val="28"/>
          <w:szCs w:val="28"/>
          <w:lang w:val="uk-UA"/>
        </w:rPr>
        <w:t>у постанови Кабінету Міністрів України</w:t>
      </w:r>
    </w:p>
    <w:p w14:paraId="67CA7FD2" w14:textId="66375804" w:rsidR="00E73973" w:rsidRDefault="002C788A" w:rsidP="00F63E03">
      <w:pPr>
        <w:autoSpaceDE w:val="0"/>
        <w:autoSpaceDN w:val="0"/>
        <w:adjustRightInd w:val="0"/>
        <w:ind w:right="4" w:firstLine="567"/>
        <w:jc w:val="center"/>
        <w:rPr>
          <w:b/>
          <w:bCs/>
          <w:sz w:val="28"/>
          <w:szCs w:val="28"/>
          <w:lang w:val="uk-UA"/>
        </w:rPr>
      </w:pPr>
      <w:r w:rsidRPr="00644B5D">
        <w:rPr>
          <w:b/>
          <w:bCs/>
          <w:sz w:val="28"/>
          <w:szCs w:val="28"/>
          <w:lang w:val="uk-UA"/>
        </w:rPr>
        <w:t xml:space="preserve">«Про затвердження </w:t>
      </w:r>
      <w:r w:rsidR="00844051">
        <w:rPr>
          <w:b/>
          <w:bCs/>
          <w:sz w:val="28"/>
          <w:szCs w:val="28"/>
          <w:lang w:val="uk-UA"/>
        </w:rPr>
        <w:t>Порядку</w:t>
      </w:r>
      <w:r w:rsidR="00EB0058">
        <w:rPr>
          <w:b/>
          <w:bCs/>
          <w:sz w:val="28"/>
          <w:szCs w:val="28"/>
          <w:lang w:val="uk-UA"/>
        </w:rPr>
        <w:t xml:space="preserve"> реєстрації повідомлень</w:t>
      </w:r>
      <w:r w:rsidR="00F63E03" w:rsidRPr="00644B5D">
        <w:rPr>
          <w:b/>
          <w:bCs/>
          <w:sz w:val="28"/>
          <w:szCs w:val="28"/>
          <w:lang w:val="uk-UA"/>
        </w:rPr>
        <w:t xml:space="preserve"> про використання альтернативної назви хімічної речовини</w:t>
      </w:r>
      <w:r w:rsidRPr="00644B5D">
        <w:rPr>
          <w:b/>
          <w:bCs/>
          <w:sz w:val="28"/>
          <w:szCs w:val="28"/>
          <w:lang w:val="uk-UA"/>
        </w:rPr>
        <w:t>»</w:t>
      </w:r>
    </w:p>
    <w:p w14:paraId="5E967A72" w14:textId="77777777" w:rsidR="00E73973" w:rsidRPr="00644B5D" w:rsidRDefault="00E73973" w:rsidP="00E44E15">
      <w:pPr>
        <w:autoSpaceDE w:val="0"/>
        <w:autoSpaceDN w:val="0"/>
        <w:adjustRightInd w:val="0"/>
        <w:ind w:right="4" w:firstLine="567"/>
        <w:jc w:val="both"/>
        <w:rPr>
          <w:b/>
          <w:bCs/>
          <w:sz w:val="28"/>
          <w:szCs w:val="28"/>
          <w:lang w:val="uk-UA"/>
        </w:rPr>
      </w:pPr>
      <w:r w:rsidRPr="00644B5D">
        <w:rPr>
          <w:b/>
          <w:bCs/>
          <w:sz w:val="28"/>
          <w:szCs w:val="28"/>
          <w:lang w:val="uk-UA"/>
        </w:rPr>
        <w:t>1.</w:t>
      </w:r>
      <w:r w:rsidR="00E44E15" w:rsidRPr="00644B5D">
        <w:rPr>
          <w:b/>
          <w:bCs/>
          <w:sz w:val="28"/>
          <w:szCs w:val="28"/>
          <w:lang w:val="uk-UA"/>
        </w:rPr>
        <w:t xml:space="preserve"> </w:t>
      </w:r>
      <w:r w:rsidRPr="00644B5D">
        <w:rPr>
          <w:b/>
          <w:bCs/>
          <w:sz w:val="28"/>
          <w:szCs w:val="28"/>
          <w:lang w:val="uk-UA"/>
        </w:rPr>
        <w:t>Мета</w:t>
      </w:r>
    </w:p>
    <w:p w14:paraId="4DE45B7A" w14:textId="345EE393" w:rsidR="00E44E15" w:rsidRPr="00644B5D" w:rsidRDefault="00E73973" w:rsidP="00E44E15">
      <w:pPr>
        <w:pStyle w:val="a3"/>
        <w:tabs>
          <w:tab w:val="left" w:pos="1134"/>
        </w:tabs>
        <w:autoSpaceDE w:val="0"/>
        <w:autoSpaceDN w:val="0"/>
        <w:adjustRightInd w:val="0"/>
        <w:ind w:left="0" w:right="4" w:firstLine="567"/>
        <w:jc w:val="both"/>
        <w:rPr>
          <w:sz w:val="28"/>
          <w:szCs w:val="28"/>
          <w:lang w:val="uk-UA"/>
        </w:rPr>
      </w:pPr>
      <w:r w:rsidRPr="00644B5D">
        <w:rPr>
          <w:sz w:val="28"/>
          <w:szCs w:val="28"/>
          <w:lang w:val="uk-UA"/>
        </w:rPr>
        <w:t xml:space="preserve">Метою проєкту </w:t>
      </w:r>
      <w:r w:rsidR="00E44E15" w:rsidRPr="00644B5D">
        <w:rPr>
          <w:bCs/>
          <w:sz w:val="28"/>
          <w:szCs w:val="28"/>
          <w:lang w:val="uk-UA"/>
        </w:rPr>
        <w:t>постанови Кабінету Міністрів України</w:t>
      </w:r>
      <w:r w:rsidR="00E44E15" w:rsidRPr="00644B5D">
        <w:rPr>
          <w:sz w:val="28"/>
          <w:szCs w:val="28"/>
          <w:lang w:val="uk-UA"/>
        </w:rPr>
        <w:t xml:space="preserve"> «</w:t>
      </w:r>
      <w:r w:rsidR="00F63E03" w:rsidRPr="00644B5D">
        <w:rPr>
          <w:sz w:val="28"/>
          <w:szCs w:val="28"/>
          <w:lang w:val="uk-UA"/>
        </w:rPr>
        <w:t xml:space="preserve">Про затвердження </w:t>
      </w:r>
      <w:r w:rsidR="00844051">
        <w:rPr>
          <w:sz w:val="28"/>
          <w:szCs w:val="28"/>
          <w:lang w:val="uk-UA"/>
        </w:rPr>
        <w:t>Порядку</w:t>
      </w:r>
      <w:r w:rsidR="00EB0058">
        <w:rPr>
          <w:sz w:val="28"/>
          <w:szCs w:val="28"/>
          <w:lang w:val="uk-UA"/>
        </w:rPr>
        <w:t xml:space="preserve"> реєстрації повідомлень</w:t>
      </w:r>
      <w:r w:rsidR="00F63E03" w:rsidRPr="00644B5D">
        <w:rPr>
          <w:sz w:val="28"/>
          <w:szCs w:val="28"/>
          <w:lang w:val="uk-UA"/>
        </w:rPr>
        <w:t xml:space="preserve"> про використання альтернативної назви хімічної речовини</w:t>
      </w:r>
      <w:r w:rsidR="00E44E15" w:rsidRPr="00644B5D">
        <w:rPr>
          <w:sz w:val="28"/>
          <w:szCs w:val="28"/>
          <w:lang w:val="uk-UA"/>
        </w:rPr>
        <w:t xml:space="preserve">» (далі – проєкт акта) </w:t>
      </w:r>
      <w:r w:rsidRPr="00644B5D">
        <w:rPr>
          <w:sz w:val="28"/>
          <w:szCs w:val="28"/>
          <w:lang w:val="uk-UA"/>
        </w:rPr>
        <w:t xml:space="preserve">є </w:t>
      </w:r>
      <w:r w:rsidR="00E26A46" w:rsidRPr="00BD02BD">
        <w:rPr>
          <w:sz w:val="28"/>
          <w:szCs w:val="28"/>
          <w:lang w:val="uk-UA"/>
        </w:rPr>
        <w:t>встановлення процедури</w:t>
      </w:r>
      <w:r w:rsidR="00F63E03" w:rsidRPr="00644B5D">
        <w:rPr>
          <w:sz w:val="28"/>
          <w:szCs w:val="28"/>
          <w:lang w:val="uk-UA"/>
        </w:rPr>
        <w:t xml:space="preserve"> реєстрації повідомлення про використання альтернативної назви хімічної речовини</w:t>
      </w:r>
      <w:r w:rsidR="002C788A" w:rsidRPr="00644B5D">
        <w:rPr>
          <w:sz w:val="28"/>
          <w:szCs w:val="28"/>
          <w:lang w:val="uk-UA"/>
        </w:rPr>
        <w:t>.</w:t>
      </w:r>
    </w:p>
    <w:p w14:paraId="08E9E5A1" w14:textId="77777777" w:rsidR="001D4922" w:rsidRDefault="001D4922" w:rsidP="00E44E15">
      <w:pPr>
        <w:autoSpaceDE w:val="0"/>
        <w:autoSpaceDN w:val="0"/>
        <w:adjustRightInd w:val="0"/>
        <w:ind w:right="4" w:firstLine="567"/>
        <w:jc w:val="both"/>
        <w:rPr>
          <w:b/>
          <w:bCs/>
          <w:sz w:val="28"/>
          <w:szCs w:val="28"/>
          <w:lang w:val="uk-UA"/>
        </w:rPr>
      </w:pPr>
    </w:p>
    <w:p w14:paraId="3AFC8BA4" w14:textId="77777777" w:rsidR="00E73973" w:rsidRPr="00644B5D" w:rsidRDefault="00E73973" w:rsidP="00E44E15">
      <w:pPr>
        <w:autoSpaceDE w:val="0"/>
        <w:autoSpaceDN w:val="0"/>
        <w:adjustRightInd w:val="0"/>
        <w:ind w:right="4" w:firstLine="567"/>
        <w:jc w:val="both"/>
        <w:rPr>
          <w:b/>
          <w:bCs/>
          <w:sz w:val="28"/>
          <w:szCs w:val="28"/>
          <w:lang w:val="uk-UA"/>
        </w:rPr>
      </w:pPr>
      <w:r w:rsidRPr="00644B5D">
        <w:rPr>
          <w:b/>
          <w:bCs/>
          <w:sz w:val="28"/>
          <w:szCs w:val="28"/>
          <w:lang w:val="uk-UA"/>
        </w:rPr>
        <w:t>2. Обґрунтування необхідності прийняття акта</w:t>
      </w:r>
    </w:p>
    <w:p w14:paraId="04A9B793" w14:textId="72B89824" w:rsidR="00CF61C6" w:rsidRPr="00644B5D" w:rsidRDefault="00E73973" w:rsidP="00CF61C6">
      <w:pPr>
        <w:autoSpaceDE w:val="0"/>
        <w:autoSpaceDN w:val="0"/>
        <w:adjustRightInd w:val="0"/>
        <w:ind w:right="4" w:firstLine="567"/>
        <w:jc w:val="both"/>
        <w:rPr>
          <w:sz w:val="28"/>
          <w:szCs w:val="28"/>
          <w:lang w:val="uk-UA"/>
        </w:rPr>
      </w:pPr>
      <w:r w:rsidRPr="00644B5D">
        <w:rPr>
          <w:sz w:val="28"/>
          <w:szCs w:val="28"/>
          <w:lang w:val="uk-UA"/>
        </w:rPr>
        <w:t xml:space="preserve">Проєкт </w:t>
      </w:r>
      <w:r w:rsidR="00E44E15" w:rsidRPr="00644B5D">
        <w:rPr>
          <w:sz w:val="28"/>
          <w:szCs w:val="28"/>
          <w:lang w:val="uk-UA"/>
        </w:rPr>
        <w:t>акта</w:t>
      </w:r>
      <w:r w:rsidRPr="00644B5D">
        <w:rPr>
          <w:sz w:val="28"/>
          <w:szCs w:val="28"/>
          <w:lang w:val="uk-UA"/>
        </w:rPr>
        <w:t xml:space="preserve"> розроблено відповідно до вимог </w:t>
      </w:r>
      <w:r w:rsidR="00F72589" w:rsidRPr="00644B5D">
        <w:rPr>
          <w:sz w:val="28"/>
          <w:szCs w:val="28"/>
          <w:lang w:val="uk-UA"/>
        </w:rPr>
        <w:t xml:space="preserve">статті </w:t>
      </w:r>
      <w:r w:rsidR="00F63E03" w:rsidRPr="00644B5D">
        <w:rPr>
          <w:sz w:val="28"/>
          <w:szCs w:val="28"/>
          <w:lang w:val="uk-UA"/>
        </w:rPr>
        <w:t>48</w:t>
      </w:r>
      <w:r w:rsidR="00F72589" w:rsidRPr="00644B5D">
        <w:rPr>
          <w:sz w:val="28"/>
          <w:szCs w:val="28"/>
          <w:lang w:val="uk-UA"/>
        </w:rPr>
        <w:t xml:space="preserve"> Закону України «Про забезпечення хімічної безпеки та </w:t>
      </w:r>
      <w:r w:rsidR="00E26A46">
        <w:rPr>
          <w:sz w:val="28"/>
          <w:szCs w:val="28"/>
          <w:lang w:val="uk-UA"/>
        </w:rPr>
        <w:t>управління хімічною продукцією»</w:t>
      </w:r>
      <w:r w:rsidR="00644B5D" w:rsidRPr="00644B5D">
        <w:rPr>
          <w:sz w:val="28"/>
          <w:szCs w:val="28"/>
          <w:lang w:val="uk-UA"/>
        </w:rPr>
        <w:t>.</w:t>
      </w:r>
      <w:r w:rsidR="00F72589" w:rsidRPr="00644B5D">
        <w:rPr>
          <w:sz w:val="28"/>
          <w:szCs w:val="28"/>
          <w:lang w:val="uk-UA"/>
        </w:rPr>
        <w:t xml:space="preserve"> </w:t>
      </w:r>
    </w:p>
    <w:p w14:paraId="0585F0D8" w14:textId="2EB19ACF" w:rsidR="00F72589" w:rsidRPr="00644B5D" w:rsidRDefault="00644B5D" w:rsidP="00644B5D">
      <w:pPr>
        <w:autoSpaceDE w:val="0"/>
        <w:autoSpaceDN w:val="0"/>
        <w:adjustRightInd w:val="0"/>
        <w:ind w:right="4" w:firstLine="567"/>
        <w:jc w:val="both"/>
        <w:rPr>
          <w:bCs/>
          <w:sz w:val="28"/>
          <w:szCs w:val="28"/>
          <w:lang w:val="uk-UA"/>
        </w:rPr>
      </w:pPr>
      <w:r w:rsidRPr="00644B5D">
        <w:rPr>
          <w:sz w:val="28"/>
          <w:szCs w:val="28"/>
          <w:lang w:val="uk-UA"/>
        </w:rPr>
        <w:t>Проєкт акта розроблено</w:t>
      </w:r>
      <w:r w:rsidR="00E73973" w:rsidRPr="00644B5D">
        <w:rPr>
          <w:bCs/>
          <w:sz w:val="28"/>
          <w:szCs w:val="28"/>
          <w:lang w:val="uk-UA"/>
        </w:rPr>
        <w:t xml:space="preserve"> з метою гармонізації</w:t>
      </w:r>
      <w:r w:rsidR="006C4B18" w:rsidRPr="00644B5D">
        <w:rPr>
          <w:bCs/>
          <w:sz w:val="28"/>
          <w:szCs w:val="28"/>
          <w:lang w:val="uk-UA"/>
        </w:rPr>
        <w:t xml:space="preserve"> </w:t>
      </w:r>
      <w:r w:rsidRPr="00644B5D">
        <w:rPr>
          <w:bCs/>
          <w:sz w:val="28"/>
          <w:szCs w:val="28"/>
          <w:lang w:val="uk-UA"/>
        </w:rPr>
        <w:t xml:space="preserve">вимог національного законодавства з європейським, зокрема з метою введення дозвільної </w:t>
      </w:r>
      <w:r w:rsidR="006C4B18" w:rsidRPr="00644B5D">
        <w:rPr>
          <w:bCs/>
          <w:sz w:val="28"/>
          <w:szCs w:val="28"/>
          <w:lang w:val="uk-UA"/>
        </w:rPr>
        <w:t>процедури</w:t>
      </w:r>
      <w:r w:rsidR="00E73973" w:rsidRPr="00644B5D">
        <w:rPr>
          <w:bCs/>
          <w:sz w:val="28"/>
          <w:szCs w:val="28"/>
          <w:lang w:val="uk-UA"/>
        </w:rPr>
        <w:t xml:space="preserve"> </w:t>
      </w:r>
      <w:r w:rsidRPr="00644B5D">
        <w:rPr>
          <w:bCs/>
          <w:sz w:val="28"/>
          <w:szCs w:val="28"/>
          <w:lang w:val="uk-UA"/>
        </w:rPr>
        <w:t xml:space="preserve">для використання альтернативних назв хімічних речовин в інформаційному супроводі хімічної продукції відповідно до статті 24 </w:t>
      </w:r>
      <w:r w:rsidR="00F72589" w:rsidRPr="00644B5D">
        <w:rPr>
          <w:bCs/>
          <w:sz w:val="28"/>
          <w:szCs w:val="28"/>
          <w:lang w:val="uk-UA"/>
        </w:rPr>
        <w:t>Регламент</w:t>
      </w:r>
      <w:r w:rsidRPr="00644B5D">
        <w:rPr>
          <w:bCs/>
          <w:sz w:val="28"/>
          <w:szCs w:val="28"/>
          <w:lang w:val="uk-UA"/>
        </w:rPr>
        <w:t>у</w:t>
      </w:r>
      <w:r w:rsidR="00F72589" w:rsidRPr="00644B5D">
        <w:rPr>
          <w:bCs/>
          <w:sz w:val="28"/>
          <w:szCs w:val="28"/>
          <w:lang w:val="uk-UA"/>
        </w:rPr>
        <w:t xml:space="preserve"> (ЄС) Європейського Парламенту та Ради № 1272/2008 від 16 грудня 2008 року про класифікацію, маркування та упаковку речовин та сумішей (CLP).</w:t>
      </w:r>
    </w:p>
    <w:p w14:paraId="479A638D" w14:textId="77777777" w:rsidR="001D4922" w:rsidRDefault="001D4922" w:rsidP="00E44E15">
      <w:pPr>
        <w:tabs>
          <w:tab w:val="left" w:pos="851"/>
        </w:tabs>
        <w:autoSpaceDE w:val="0"/>
        <w:autoSpaceDN w:val="0"/>
        <w:adjustRightInd w:val="0"/>
        <w:ind w:right="4" w:firstLine="567"/>
        <w:jc w:val="both"/>
        <w:rPr>
          <w:b/>
          <w:bCs/>
          <w:sz w:val="28"/>
          <w:szCs w:val="28"/>
          <w:lang w:val="uk-UA"/>
        </w:rPr>
      </w:pPr>
      <w:bookmarkStart w:id="1" w:name="n1090"/>
      <w:bookmarkStart w:id="2" w:name="n1208"/>
      <w:bookmarkEnd w:id="1"/>
      <w:bookmarkEnd w:id="2"/>
    </w:p>
    <w:p w14:paraId="5F44B36A" w14:textId="77777777" w:rsidR="00E73973" w:rsidRPr="00644B5D" w:rsidRDefault="006F2EA0" w:rsidP="00E44E15">
      <w:pPr>
        <w:tabs>
          <w:tab w:val="left" w:pos="851"/>
        </w:tabs>
        <w:autoSpaceDE w:val="0"/>
        <w:autoSpaceDN w:val="0"/>
        <w:adjustRightInd w:val="0"/>
        <w:ind w:right="4" w:firstLine="567"/>
        <w:jc w:val="both"/>
        <w:rPr>
          <w:b/>
          <w:bCs/>
          <w:sz w:val="28"/>
          <w:szCs w:val="28"/>
          <w:lang w:val="uk-UA"/>
        </w:rPr>
      </w:pPr>
      <w:r w:rsidRPr="00644B5D">
        <w:rPr>
          <w:b/>
          <w:bCs/>
          <w:sz w:val="28"/>
          <w:szCs w:val="28"/>
          <w:lang w:val="uk-UA"/>
        </w:rPr>
        <w:t xml:space="preserve">3. </w:t>
      </w:r>
      <w:r w:rsidR="00E73973" w:rsidRPr="00644B5D">
        <w:rPr>
          <w:b/>
          <w:bCs/>
          <w:sz w:val="28"/>
          <w:szCs w:val="28"/>
          <w:lang w:val="uk-UA"/>
        </w:rPr>
        <w:t>Основні положення проєкту акта</w:t>
      </w:r>
    </w:p>
    <w:p w14:paraId="6D7974A8" w14:textId="29C9BC08" w:rsidR="00292A98" w:rsidRDefault="00CE29A5" w:rsidP="00E3277D">
      <w:pPr>
        <w:autoSpaceDE w:val="0"/>
        <w:autoSpaceDN w:val="0"/>
        <w:adjustRightInd w:val="0"/>
        <w:ind w:right="4" w:firstLine="567"/>
        <w:jc w:val="both"/>
        <w:rPr>
          <w:sz w:val="28"/>
          <w:szCs w:val="28"/>
          <w:lang w:val="uk-UA"/>
        </w:rPr>
      </w:pPr>
      <w:r w:rsidRPr="00644B5D">
        <w:rPr>
          <w:sz w:val="28"/>
          <w:szCs w:val="28"/>
          <w:lang w:val="uk-UA"/>
        </w:rPr>
        <w:t>Основною метою прийняття проєкту акта є</w:t>
      </w:r>
      <w:r w:rsidR="00E3277D">
        <w:rPr>
          <w:sz w:val="28"/>
          <w:szCs w:val="28"/>
          <w:lang w:val="uk-UA"/>
        </w:rPr>
        <w:t xml:space="preserve"> затвердження</w:t>
      </w:r>
      <w:r w:rsidRPr="00644B5D">
        <w:rPr>
          <w:sz w:val="28"/>
          <w:szCs w:val="28"/>
          <w:lang w:val="uk-UA"/>
        </w:rPr>
        <w:t xml:space="preserve"> </w:t>
      </w:r>
      <w:r w:rsidR="00E3277D">
        <w:rPr>
          <w:sz w:val="28"/>
          <w:szCs w:val="28"/>
          <w:lang w:val="uk-UA"/>
        </w:rPr>
        <w:t>Порядку</w:t>
      </w:r>
      <w:r w:rsidR="00EB0058">
        <w:rPr>
          <w:sz w:val="28"/>
          <w:szCs w:val="28"/>
          <w:lang w:val="uk-UA"/>
        </w:rPr>
        <w:t xml:space="preserve"> реєстрації повідомлень</w:t>
      </w:r>
      <w:r w:rsidR="00E3277D" w:rsidRPr="00644B5D">
        <w:rPr>
          <w:sz w:val="28"/>
          <w:szCs w:val="28"/>
          <w:lang w:val="uk-UA"/>
        </w:rPr>
        <w:t xml:space="preserve"> про використання альтернативної назви хімічної речовини</w:t>
      </w:r>
      <w:r w:rsidR="00292A98" w:rsidRPr="00292A98">
        <w:rPr>
          <w:sz w:val="28"/>
          <w:szCs w:val="28"/>
          <w:lang w:val="uk-UA"/>
        </w:rPr>
        <w:t>.</w:t>
      </w:r>
    </w:p>
    <w:p w14:paraId="78614B80" w14:textId="77777777" w:rsidR="001D4922" w:rsidRDefault="001D4922" w:rsidP="00E44E15">
      <w:pPr>
        <w:autoSpaceDE w:val="0"/>
        <w:autoSpaceDN w:val="0"/>
        <w:adjustRightInd w:val="0"/>
        <w:ind w:right="4" w:firstLine="567"/>
        <w:jc w:val="both"/>
        <w:rPr>
          <w:b/>
          <w:bCs/>
          <w:sz w:val="28"/>
          <w:szCs w:val="28"/>
          <w:lang w:val="uk-UA"/>
        </w:rPr>
      </w:pPr>
    </w:p>
    <w:p w14:paraId="206D173E" w14:textId="2735FB93" w:rsidR="00E73973" w:rsidRDefault="00E73973" w:rsidP="00E44E15">
      <w:pPr>
        <w:autoSpaceDE w:val="0"/>
        <w:autoSpaceDN w:val="0"/>
        <w:adjustRightInd w:val="0"/>
        <w:ind w:right="4" w:firstLine="567"/>
        <w:jc w:val="both"/>
        <w:rPr>
          <w:b/>
          <w:bCs/>
          <w:sz w:val="28"/>
          <w:szCs w:val="28"/>
          <w:lang w:val="uk-UA"/>
        </w:rPr>
      </w:pPr>
      <w:r w:rsidRPr="00644B5D">
        <w:rPr>
          <w:b/>
          <w:bCs/>
          <w:sz w:val="28"/>
          <w:szCs w:val="28"/>
          <w:lang w:val="uk-UA"/>
        </w:rPr>
        <w:t>4. Правові аспекти</w:t>
      </w:r>
    </w:p>
    <w:p w14:paraId="7E847B01" w14:textId="2DC8D724" w:rsidR="00E3277D" w:rsidRDefault="00E3277D" w:rsidP="00E3277D">
      <w:pPr>
        <w:tabs>
          <w:tab w:val="left" w:pos="1092"/>
        </w:tabs>
        <w:ind w:firstLine="567"/>
        <w:jc w:val="both"/>
        <w:rPr>
          <w:bCs/>
          <w:color w:val="000000" w:themeColor="text1"/>
          <w:sz w:val="28"/>
          <w:szCs w:val="28"/>
          <w:lang w:val="uk-UA"/>
        </w:rPr>
      </w:pPr>
      <w:r w:rsidRPr="008F44D3">
        <w:rPr>
          <w:bCs/>
          <w:color w:val="000000" w:themeColor="text1"/>
          <w:sz w:val="28"/>
          <w:szCs w:val="28"/>
          <w:lang w:val="uk-UA"/>
        </w:rPr>
        <w:t>У цій сфері правового регулювання діють:</w:t>
      </w:r>
    </w:p>
    <w:p w14:paraId="3FA6AE3E" w14:textId="2BF21DD8" w:rsidR="00E3277D" w:rsidRPr="00CD1FD0" w:rsidRDefault="001E265B" w:rsidP="00E3277D">
      <w:pPr>
        <w:tabs>
          <w:tab w:val="left" w:pos="5245"/>
        </w:tabs>
        <w:ind w:firstLine="567"/>
        <w:jc w:val="both"/>
        <w:rPr>
          <w:bCs/>
          <w:color w:val="000000" w:themeColor="text1"/>
          <w:sz w:val="28"/>
          <w:szCs w:val="28"/>
          <w:lang w:val="uk-UA"/>
        </w:rPr>
      </w:pPr>
      <w:r>
        <w:rPr>
          <w:bCs/>
          <w:color w:val="000000" w:themeColor="text1"/>
          <w:sz w:val="28"/>
          <w:szCs w:val="28"/>
          <w:lang w:val="uk-UA"/>
        </w:rPr>
        <w:t>Угода</w:t>
      </w:r>
      <w:r w:rsidRPr="00EB0058">
        <w:rPr>
          <w:bCs/>
          <w:color w:val="000000" w:themeColor="text1"/>
          <w:sz w:val="28"/>
          <w:szCs w:val="28"/>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bCs/>
          <w:color w:val="000000" w:themeColor="text1"/>
          <w:sz w:val="28"/>
          <w:szCs w:val="28"/>
          <w:lang w:val="uk-UA"/>
        </w:rPr>
        <w:t xml:space="preserve">, ратифікована </w:t>
      </w:r>
      <w:r w:rsidR="00EB0058">
        <w:rPr>
          <w:bCs/>
          <w:color w:val="000000" w:themeColor="text1"/>
          <w:sz w:val="28"/>
          <w:szCs w:val="28"/>
          <w:lang w:val="uk-UA"/>
        </w:rPr>
        <w:t>Закон</w:t>
      </w:r>
      <w:r>
        <w:rPr>
          <w:bCs/>
          <w:color w:val="000000" w:themeColor="text1"/>
          <w:sz w:val="28"/>
          <w:szCs w:val="28"/>
          <w:lang w:val="uk-UA"/>
        </w:rPr>
        <w:t>ом</w:t>
      </w:r>
      <w:r w:rsidR="00EB0058">
        <w:rPr>
          <w:bCs/>
          <w:color w:val="000000" w:themeColor="text1"/>
          <w:sz w:val="28"/>
          <w:szCs w:val="28"/>
          <w:lang w:val="uk-UA"/>
        </w:rPr>
        <w:t xml:space="preserve"> України </w:t>
      </w:r>
      <w:r>
        <w:rPr>
          <w:bCs/>
          <w:color w:val="000000" w:themeColor="text1"/>
          <w:sz w:val="28"/>
          <w:szCs w:val="28"/>
          <w:lang w:val="uk-UA"/>
        </w:rPr>
        <w:t>від 16 вересня 2014 року № 1678-</w:t>
      </w:r>
      <w:r>
        <w:rPr>
          <w:bCs/>
          <w:color w:val="000000" w:themeColor="text1"/>
          <w:sz w:val="28"/>
          <w:szCs w:val="28"/>
          <w:lang w:val="en-US"/>
        </w:rPr>
        <w:t>VII</w:t>
      </w:r>
      <w:r w:rsidR="00EB0058">
        <w:rPr>
          <w:bCs/>
          <w:color w:val="000000" w:themeColor="text1"/>
          <w:sz w:val="28"/>
          <w:szCs w:val="28"/>
          <w:lang w:val="uk-UA"/>
        </w:rPr>
        <w:t>;</w:t>
      </w:r>
    </w:p>
    <w:p w14:paraId="78774D9F" w14:textId="77777777" w:rsidR="00E3277D" w:rsidRDefault="00E3277D" w:rsidP="00E3277D">
      <w:pPr>
        <w:tabs>
          <w:tab w:val="left" w:pos="5245"/>
        </w:tabs>
        <w:ind w:firstLine="567"/>
        <w:jc w:val="both"/>
        <w:rPr>
          <w:color w:val="000000" w:themeColor="text1"/>
          <w:sz w:val="28"/>
          <w:szCs w:val="28"/>
          <w:lang w:val="uk-UA"/>
        </w:rPr>
      </w:pPr>
      <w:r>
        <w:rPr>
          <w:bCs/>
          <w:color w:val="000000" w:themeColor="text1"/>
          <w:sz w:val="28"/>
          <w:szCs w:val="28"/>
          <w:lang w:val="uk-UA"/>
        </w:rPr>
        <w:t>Закон України</w:t>
      </w:r>
      <w:r w:rsidRPr="008F44D3">
        <w:rPr>
          <w:color w:val="000000" w:themeColor="text1"/>
          <w:sz w:val="28"/>
          <w:szCs w:val="28"/>
          <w:lang w:val="uk-UA"/>
        </w:rPr>
        <w:t xml:space="preserve"> «Про забезпечення хімічної безпеки та управління хімічно</w:t>
      </w:r>
      <w:r>
        <w:rPr>
          <w:color w:val="000000" w:themeColor="text1"/>
          <w:sz w:val="28"/>
          <w:szCs w:val="28"/>
          <w:lang w:val="uk-UA"/>
        </w:rPr>
        <w:t>ю продукцією»;</w:t>
      </w:r>
    </w:p>
    <w:p w14:paraId="13E9C972" w14:textId="77777777" w:rsidR="00E3277D" w:rsidRDefault="00E3277D" w:rsidP="00E3277D">
      <w:pPr>
        <w:tabs>
          <w:tab w:val="left" w:pos="5245"/>
        </w:tabs>
        <w:ind w:firstLine="567"/>
        <w:jc w:val="both"/>
        <w:rPr>
          <w:color w:val="000000" w:themeColor="text1"/>
          <w:sz w:val="28"/>
          <w:szCs w:val="28"/>
          <w:bdr w:val="none" w:sz="0" w:space="0" w:color="auto" w:frame="1"/>
          <w:shd w:val="clear" w:color="auto" w:fill="FFFFFF"/>
          <w:lang w:val="uk-UA"/>
        </w:rPr>
      </w:pPr>
      <w:r>
        <w:rPr>
          <w:bCs/>
          <w:color w:val="000000" w:themeColor="text1"/>
          <w:sz w:val="28"/>
          <w:szCs w:val="28"/>
          <w:lang w:val="uk-UA"/>
        </w:rPr>
        <w:t>Закон України</w:t>
      </w:r>
      <w:r w:rsidRPr="008F44D3">
        <w:rPr>
          <w:color w:val="000000" w:themeColor="text1"/>
          <w:sz w:val="28"/>
          <w:szCs w:val="28"/>
          <w:lang w:val="uk-UA"/>
        </w:rPr>
        <w:t xml:space="preserve"> </w:t>
      </w:r>
      <w:r w:rsidRPr="008F44D3">
        <w:rPr>
          <w:color w:val="000000" w:themeColor="text1"/>
          <w:sz w:val="28"/>
          <w:szCs w:val="28"/>
          <w:bdr w:val="none" w:sz="0" w:space="0" w:color="auto" w:frame="1"/>
          <w:shd w:val="clear" w:color="auto" w:fill="FFFFFF"/>
          <w:lang w:val="uk-UA"/>
        </w:rPr>
        <w:t>«</w:t>
      </w:r>
      <w:r w:rsidRPr="00562675">
        <w:rPr>
          <w:sz w:val="28"/>
          <w:szCs w:val="28"/>
          <w:lang w:val="uk-UA"/>
        </w:rPr>
        <w:t>Про дозвільну систему у сфері господарської діяльності</w:t>
      </w:r>
      <w:r w:rsidRPr="008F44D3">
        <w:rPr>
          <w:color w:val="000000" w:themeColor="text1"/>
          <w:sz w:val="28"/>
          <w:szCs w:val="28"/>
          <w:bdr w:val="none" w:sz="0" w:space="0" w:color="auto" w:frame="1"/>
          <w:shd w:val="clear" w:color="auto" w:fill="FFFFFF"/>
          <w:lang w:val="uk-UA"/>
        </w:rPr>
        <w:t>»</w:t>
      </w:r>
      <w:r>
        <w:rPr>
          <w:color w:val="000000" w:themeColor="text1"/>
          <w:sz w:val="28"/>
          <w:szCs w:val="28"/>
          <w:bdr w:val="none" w:sz="0" w:space="0" w:color="auto" w:frame="1"/>
          <w:shd w:val="clear" w:color="auto" w:fill="FFFFFF"/>
          <w:lang w:val="uk-UA"/>
        </w:rPr>
        <w:t>;</w:t>
      </w:r>
    </w:p>
    <w:p w14:paraId="188318F6" w14:textId="4A717AE5" w:rsidR="001D4922" w:rsidRDefault="00E3277D" w:rsidP="00E3277D">
      <w:pPr>
        <w:autoSpaceDE w:val="0"/>
        <w:autoSpaceDN w:val="0"/>
        <w:adjustRightInd w:val="0"/>
        <w:ind w:right="4" w:firstLine="567"/>
        <w:jc w:val="both"/>
        <w:rPr>
          <w:b/>
          <w:bCs/>
          <w:sz w:val="28"/>
          <w:szCs w:val="28"/>
          <w:lang w:val="uk-UA"/>
        </w:rPr>
      </w:pPr>
      <w:r w:rsidRPr="00E0419D">
        <w:rPr>
          <w:sz w:val="28"/>
          <w:szCs w:val="28"/>
          <w:lang w:val="uk-UA"/>
        </w:rPr>
        <w:t>Указ Президента України</w:t>
      </w:r>
      <w:r>
        <w:rPr>
          <w:sz w:val="28"/>
          <w:szCs w:val="28"/>
          <w:lang w:val="uk-UA"/>
        </w:rPr>
        <w:t xml:space="preserve"> від 19 березня 2021 року № 104</w:t>
      </w:r>
      <w:r w:rsidRPr="00E0419D">
        <w:rPr>
          <w:sz w:val="28"/>
          <w:szCs w:val="28"/>
          <w:lang w:val="uk-UA"/>
        </w:rPr>
        <w:t xml:space="preserve"> «Про рішення Ради національної безпеки і оборони України від 19 березня 2021 року «Про </w:t>
      </w:r>
      <w:r w:rsidRPr="00E0419D">
        <w:rPr>
          <w:sz w:val="28"/>
          <w:szCs w:val="28"/>
          <w:shd w:val="clear" w:color="auto" w:fill="FFFFFF"/>
          <w:lang w:val="uk-UA"/>
        </w:rPr>
        <w:t>заходи щодо підвищення рівня хімічної безпеки на території України</w:t>
      </w:r>
      <w:r w:rsidRPr="00E0419D">
        <w:rPr>
          <w:sz w:val="28"/>
          <w:szCs w:val="28"/>
          <w:lang w:val="uk-UA"/>
        </w:rPr>
        <w:t>».</w:t>
      </w:r>
    </w:p>
    <w:p w14:paraId="0CF2513B" w14:textId="77777777" w:rsidR="00E3277D" w:rsidRDefault="00E3277D" w:rsidP="00E44E15">
      <w:pPr>
        <w:autoSpaceDE w:val="0"/>
        <w:autoSpaceDN w:val="0"/>
        <w:adjustRightInd w:val="0"/>
        <w:ind w:right="4" w:firstLine="567"/>
        <w:jc w:val="both"/>
        <w:rPr>
          <w:b/>
          <w:bCs/>
          <w:sz w:val="28"/>
          <w:szCs w:val="28"/>
          <w:lang w:val="uk-UA"/>
        </w:rPr>
      </w:pPr>
    </w:p>
    <w:p w14:paraId="60AA3F34" w14:textId="77777777" w:rsidR="00E73973" w:rsidRDefault="00E73973" w:rsidP="00E44E15">
      <w:pPr>
        <w:autoSpaceDE w:val="0"/>
        <w:autoSpaceDN w:val="0"/>
        <w:adjustRightInd w:val="0"/>
        <w:ind w:right="4" w:firstLine="567"/>
        <w:jc w:val="both"/>
        <w:rPr>
          <w:b/>
          <w:bCs/>
          <w:sz w:val="28"/>
          <w:szCs w:val="28"/>
          <w:lang w:val="uk-UA"/>
        </w:rPr>
      </w:pPr>
      <w:r w:rsidRPr="00644B5D">
        <w:rPr>
          <w:b/>
          <w:bCs/>
          <w:sz w:val="28"/>
          <w:szCs w:val="28"/>
          <w:lang w:val="uk-UA"/>
        </w:rPr>
        <w:t>5. Фінансово-економічне обґрунтування</w:t>
      </w:r>
    </w:p>
    <w:p w14:paraId="7E479D3B" w14:textId="77777777" w:rsidR="00E73973" w:rsidRPr="00560E8A" w:rsidRDefault="001536B5" w:rsidP="00E44E15">
      <w:pPr>
        <w:autoSpaceDE w:val="0"/>
        <w:autoSpaceDN w:val="0"/>
        <w:adjustRightInd w:val="0"/>
        <w:ind w:right="4" w:firstLine="567"/>
        <w:jc w:val="both"/>
        <w:rPr>
          <w:sz w:val="28"/>
          <w:szCs w:val="28"/>
          <w:lang w:val="uk-UA"/>
        </w:rPr>
      </w:pPr>
      <w:r w:rsidRPr="00560E8A">
        <w:rPr>
          <w:sz w:val="28"/>
          <w:szCs w:val="28"/>
          <w:lang w:val="uk-UA"/>
        </w:rPr>
        <w:t>Упровадження положень проєкту акта не потребує додаткових фінансових витрат з державного або місцевого бюджетів.</w:t>
      </w:r>
    </w:p>
    <w:p w14:paraId="57A8E464" w14:textId="77777777" w:rsidR="00E73973" w:rsidRDefault="00E73973" w:rsidP="00E44E15">
      <w:pPr>
        <w:autoSpaceDE w:val="0"/>
        <w:autoSpaceDN w:val="0"/>
        <w:adjustRightInd w:val="0"/>
        <w:ind w:right="4" w:firstLine="567"/>
        <w:jc w:val="both"/>
        <w:rPr>
          <w:b/>
          <w:bCs/>
          <w:sz w:val="28"/>
          <w:szCs w:val="28"/>
          <w:lang w:val="uk-UA"/>
        </w:rPr>
      </w:pPr>
      <w:r w:rsidRPr="00644B5D">
        <w:rPr>
          <w:b/>
          <w:bCs/>
          <w:sz w:val="28"/>
          <w:szCs w:val="28"/>
          <w:lang w:val="uk-UA"/>
        </w:rPr>
        <w:lastRenderedPageBreak/>
        <w:t>6. Позиція заінтересованих сторін</w:t>
      </w:r>
    </w:p>
    <w:p w14:paraId="43B51914" w14:textId="77777777" w:rsidR="00935D06" w:rsidRPr="00C619FD" w:rsidRDefault="00935D06" w:rsidP="00935D06">
      <w:pPr>
        <w:pStyle w:val="a3"/>
        <w:shd w:val="clear" w:color="auto" w:fill="FFFFFF"/>
        <w:ind w:left="0" w:firstLine="567"/>
        <w:jc w:val="both"/>
        <w:rPr>
          <w:sz w:val="28"/>
          <w:szCs w:val="28"/>
          <w:lang w:val="uk-UA"/>
        </w:rPr>
      </w:pPr>
      <w:r w:rsidRPr="00C619FD">
        <w:rPr>
          <w:sz w:val="28"/>
          <w:szCs w:val="28"/>
          <w:lang w:val="uk-UA"/>
        </w:rPr>
        <w:t>Проєкт акта не потребує проведення публічних консультацій, проведених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3 листопада 2010 р. № 996.</w:t>
      </w:r>
    </w:p>
    <w:p w14:paraId="158FF680" w14:textId="77777777" w:rsidR="00935D06" w:rsidRPr="00735AAF" w:rsidRDefault="00935D06" w:rsidP="00935D06">
      <w:pPr>
        <w:pStyle w:val="af0"/>
        <w:spacing w:before="0"/>
        <w:jc w:val="both"/>
        <w:rPr>
          <w:rFonts w:ascii="Times New Roman" w:hAnsi="Times New Roman"/>
          <w:sz w:val="28"/>
          <w:szCs w:val="28"/>
        </w:rPr>
      </w:pPr>
      <w:r w:rsidRPr="00735AAF">
        <w:rPr>
          <w:rFonts w:ascii="Times New Roman" w:hAnsi="Times New Roman"/>
          <w:sz w:val="28"/>
          <w:szCs w:val="28"/>
        </w:rPr>
        <w:t>Проєкт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4EF044FF" w14:textId="77777777" w:rsidR="00935D06" w:rsidRDefault="00935D06" w:rsidP="00935D06">
      <w:pPr>
        <w:pStyle w:val="af0"/>
        <w:spacing w:before="0"/>
        <w:jc w:val="both"/>
        <w:rPr>
          <w:rFonts w:ascii="Times New Roman" w:hAnsi="Times New Roman"/>
          <w:sz w:val="28"/>
          <w:szCs w:val="28"/>
        </w:rPr>
      </w:pPr>
      <w:r w:rsidRPr="00735AAF">
        <w:rPr>
          <w:rFonts w:ascii="Times New Roman" w:hAnsi="Times New Roman"/>
          <w:sz w:val="28"/>
          <w:szCs w:val="28"/>
        </w:rPr>
        <w:t xml:space="preserve">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735AAF">
        <w:rPr>
          <w:rFonts w:ascii="Times New Roman" w:hAnsi="Times New Roman"/>
          <w:sz w:val="28"/>
          <w:szCs w:val="28"/>
          <w:shd w:val="clear" w:color="auto" w:fill="FFFFFF"/>
        </w:rPr>
        <w:t>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w:t>
      </w:r>
      <w:r w:rsidRPr="00735AAF">
        <w:rPr>
          <w:rFonts w:ascii="Times New Roman" w:hAnsi="Times New Roman"/>
          <w:sz w:val="28"/>
          <w:szCs w:val="28"/>
        </w:rPr>
        <w:t xml:space="preserve">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7293C2D3" w14:textId="77777777" w:rsidR="00935D06" w:rsidRPr="00F72841" w:rsidRDefault="00935D06" w:rsidP="00935D06">
      <w:pPr>
        <w:pStyle w:val="a3"/>
        <w:autoSpaceDE w:val="0"/>
        <w:autoSpaceDN w:val="0"/>
        <w:adjustRightInd w:val="0"/>
        <w:ind w:left="0" w:right="4" w:firstLine="567"/>
        <w:contextualSpacing w:val="0"/>
        <w:jc w:val="both"/>
        <w:rPr>
          <w:sz w:val="28"/>
          <w:szCs w:val="28"/>
          <w:lang w:val="uk-UA"/>
        </w:rPr>
      </w:pPr>
      <w:r w:rsidRPr="00F72841">
        <w:rPr>
          <w:sz w:val="28"/>
          <w:szCs w:val="28"/>
        </w:rPr>
        <w:t>Проєт акта з метою проведення громадських обговорень опублікований на офіційному вебсайті Міндовкілля (</w:t>
      </w:r>
      <w:r w:rsidRPr="00F72841">
        <w:rPr>
          <w:sz w:val="28"/>
          <w:szCs w:val="28"/>
          <w:lang w:val="en-US"/>
        </w:rPr>
        <w:t>https</w:t>
      </w:r>
      <w:r w:rsidRPr="00F72841">
        <w:rPr>
          <w:sz w:val="28"/>
          <w:szCs w:val="28"/>
        </w:rPr>
        <w:t>://</w:t>
      </w:r>
      <w:r w:rsidRPr="00F72841">
        <w:rPr>
          <w:sz w:val="28"/>
          <w:szCs w:val="28"/>
          <w:lang w:val="en-US"/>
        </w:rPr>
        <w:t>mepr</w:t>
      </w:r>
      <w:r w:rsidRPr="00F72841">
        <w:rPr>
          <w:sz w:val="28"/>
          <w:szCs w:val="28"/>
        </w:rPr>
        <w:t>.</w:t>
      </w:r>
      <w:r w:rsidRPr="00F72841">
        <w:rPr>
          <w:sz w:val="28"/>
          <w:szCs w:val="28"/>
          <w:lang w:val="en-US"/>
        </w:rPr>
        <w:t>gov</w:t>
      </w:r>
      <w:r w:rsidRPr="00F72841">
        <w:rPr>
          <w:sz w:val="28"/>
          <w:szCs w:val="28"/>
        </w:rPr>
        <w:t>.</w:t>
      </w:r>
      <w:r w:rsidRPr="00F72841">
        <w:rPr>
          <w:sz w:val="28"/>
          <w:szCs w:val="28"/>
          <w:lang w:val="en-US"/>
        </w:rPr>
        <w:t>ua</w:t>
      </w:r>
      <w:r w:rsidRPr="00F72841">
        <w:rPr>
          <w:sz w:val="28"/>
          <w:szCs w:val="28"/>
        </w:rPr>
        <w:t>/).</w:t>
      </w:r>
    </w:p>
    <w:p w14:paraId="21DE532B" w14:textId="5E6E2CAF" w:rsidR="00A121D5" w:rsidRPr="00A121D5" w:rsidRDefault="00A121D5" w:rsidP="00A121D5">
      <w:pPr>
        <w:ind w:firstLine="567"/>
        <w:jc w:val="both"/>
        <w:rPr>
          <w:bCs/>
          <w:sz w:val="28"/>
          <w:szCs w:val="28"/>
          <w:lang w:val="uk-UA"/>
        </w:rPr>
      </w:pPr>
    </w:p>
    <w:p w14:paraId="2A227D35" w14:textId="77777777" w:rsidR="00E73973" w:rsidRDefault="00E73973" w:rsidP="00E44E15">
      <w:pPr>
        <w:autoSpaceDE w:val="0"/>
        <w:autoSpaceDN w:val="0"/>
        <w:adjustRightInd w:val="0"/>
        <w:ind w:right="4" w:firstLine="567"/>
        <w:jc w:val="both"/>
        <w:rPr>
          <w:b/>
          <w:bCs/>
          <w:sz w:val="28"/>
          <w:szCs w:val="28"/>
          <w:lang w:val="uk-UA"/>
        </w:rPr>
      </w:pPr>
      <w:r w:rsidRPr="00644B5D">
        <w:rPr>
          <w:b/>
          <w:bCs/>
          <w:sz w:val="28"/>
          <w:szCs w:val="28"/>
          <w:lang w:val="uk-UA"/>
        </w:rPr>
        <w:t>7. Оцінка відповідності</w:t>
      </w:r>
    </w:p>
    <w:p w14:paraId="082A2496" w14:textId="6046F89B" w:rsidR="00CE29A5" w:rsidRPr="00644B5D" w:rsidRDefault="00F64806"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 xml:space="preserve">Проєкт постанови містить положення, що стосуються зобов’язань України у сфері європейської інтеграції. Так, проєктом </w:t>
      </w:r>
      <w:r w:rsidR="001536B5" w:rsidRPr="00644B5D">
        <w:rPr>
          <w:bCs/>
          <w:color w:val="000000" w:themeColor="text1"/>
          <w:sz w:val="28"/>
          <w:szCs w:val="28"/>
          <w:lang w:val="uk-UA"/>
        </w:rPr>
        <w:t>акта</w:t>
      </w:r>
      <w:r w:rsidRPr="00644B5D">
        <w:rPr>
          <w:bCs/>
          <w:color w:val="000000" w:themeColor="text1"/>
          <w:sz w:val="28"/>
          <w:szCs w:val="28"/>
          <w:lang w:val="uk-UA"/>
        </w:rPr>
        <w:t xml:space="preserve"> імплемент</w:t>
      </w:r>
      <w:r w:rsidR="001536B5" w:rsidRPr="00644B5D">
        <w:rPr>
          <w:bCs/>
          <w:color w:val="000000" w:themeColor="text1"/>
          <w:sz w:val="28"/>
          <w:szCs w:val="28"/>
          <w:lang w:val="uk-UA"/>
        </w:rPr>
        <w:t>уються</w:t>
      </w:r>
      <w:r w:rsidRPr="00644B5D">
        <w:rPr>
          <w:bCs/>
          <w:color w:val="000000" w:themeColor="text1"/>
          <w:sz w:val="28"/>
          <w:szCs w:val="28"/>
          <w:lang w:val="uk-UA"/>
        </w:rPr>
        <w:t xml:space="preserve"> відповідні положення </w:t>
      </w:r>
      <w:r w:rsidR="00292A98">
        <w:rPr>
          <w:bCs/>
          <w:color w:val="000000" w:themeColor="text1"/>
          <w:sz w:val="28"/>
          <w:szCs w:val="28"/>
          <w:lang w:val="uk-UA"/>
        </w:rPr>
        <w:t xml:space="preserve">статті 24 </w:t>
      </w:r>
      <w:r w:rsidR="00CE29A5" w:rsidRPr="00644B5D">
        <w:rPr>
          <w:bCs/>
          <w:color w:val="000000" w:themeColor="text1"/>
          <w:sz w:val="28"/>
          <w:szCs w:val="28"/>
          <w:lang w:val="uk-UA"/>
        </w:rPr>
        <w:t>Регламенту (ЄС) № 1272/2008 Європейського Парламенту та Ради від 16 грудня 2008 року щодо класифікації, маркування та пакування речовин і сумішей, внесення змін та скасування Директив 67/548/ЄЕС та 1999/45/ЄС та внесення змін до Регламенту (ЄС) № 1907/2006.</w:t>
      </w:r>
    </w:p>
    <w:p w14:paraId="53CA4929" w14:textId="03148D6E" w:rsidR="001536B5" w:rsidRDefault="001536B5"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Проєкт акта не впливає на забезпечення рівних прав та можливостей жінок і чоловіків</w:t>
      </w:r>
      <w:r w:rsidR="00292A98">
        <w:rPr>
          <w:bCs/>
          <w:color w:val="000000" w:themeColor="text1"/>
          <w:sz w:val="28"/>
          <w:szCs w:val="28"/>
          <w:lang w:val="uk-UA"/>
        </w:rPr>
        <w:t>,</w:t>
      </w:r>
      <w:r w:rsidRPr="00644B5D">
        <w:rPr>
          <w:bCs/>
          <w:color w:val="000000" w:themeColor="text1"/>
          <w:sz w:val="28"/>
          <w:szCs w:val="28"/>
          <w:lang w:val="uk-UA"/>
        </w:rPr>
        <w:t xml:space="preserve"> на ринок праці, не містить положень, що стосуються прав та свобод, гарантованих Конвенцією про захист прав людини і основоположних свобод; які порушують принцип забезпечення рівних прав та можливостей жінок і чоловіків.</w:t>
      </w:r>
      <w:r w:rsidR="00292A98">
        <w:rPr>
          <w:bCs/>
          <w:color w:val="000000" w:themeColor="text1"/>
          <w:sz w:val="28"/>
          <w:szCs w:val="28"/>
          <w:lang w:val="uk-UA"/>
        </w:rPr>
        <w:t xml:space="preserve"> </w:t>
      </w:r>
    </w:p>
    <w:p w14:paraId="46826AD6" w14:textId="05AE7342" w:rsidR="00292A98" w:rsidRPr="00644B5D" w:rsidRDefault="00292A98"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 xml:space="preserve">Проєкт акта </w:t>
      </w:r>
      <w:r>
        <w:rPr>
          <w:bCs/>
          <w:color w:val="000000" w:themeColor="text1"/>
          <w:sz w:val="28"/>
          <w:szCs w:val="28"/>
          <w:lang w:val="uk-UA"/>
        </w:rPr>
        <w:t xml:space="preserve">у комплексі з чинним законодавством здійснить позитивний вплив у сфері захисту </w:t>
      </w:r>
      <w:r w:rsidRPr="00292A98">
        <w:rPr>
          <w:bCs/>
          <w:color w:val="000000" w:themeColor="text1"/>
          <w:sz w:val="28"/>
          <w:szCs w:val="28"/>
          <w:lang w:val="uk-UA"/>
        </w:rPr>
        <w:t>громадськ</w:t>
      </w:r>
      <w:r>
        <w:rPr>
          <w:bCs/>
          <w:color w:val="000000" w:themeColor="text1"/>
          <w:sz w:val="28"/>
          <w:szCs w:val="28"/>
          <w:lang w:val="uk-UA"/>
        </w:rPr>
        <w:t>ого</w:t>
      </w:r>
      <w:r w:rsidRPr="00292A98">
        <w:rPr>
          <w:bCs/>
          <w:color w:val="000000" w:themeColor="text1"/>
          <w:sz w:val="28"/>
          <w:szCs w:val="28"/>
          <w:lang w:val="uk-UA"/>
        </w:rPr>
        <w:t xml:space="preserve"> здоров’я</w:t>
      </w:r>
      <w:r>
        <w:rPr>
          <w:bCs/>
          <w:color w:val="000000" w:themeColor="text1"/>
          <w:sz w:val="28"/>
          <w:szCs w:val="28"/>
          <w:lang w:val="uk-UA"/>
        </w:rPr>
        <w:t xml:space="preserve"> </w:t>
      </w:r>
      <w:r w:rsidRPr="00292A98">
        <w:rPr>
          <w:bCs/>
          <w:color w:val="000000" w:themeColor="text1"/>
          <w:sz w:val="28"/>
          <w:szCs w:val="28"/>
          <w:lang w:val="uk-UA"/>
        </w:rPr>
        <w:t xml:space="preserve">та </w:t>
      </w:r>
      <w:r>
        <w:rPr>
          <w:bCs/>
          <w:color w:val="000000" w:themeColor="text1"/>
          <w:sz w:val="28"/>
          <w:szCs w:val="28"/>
          <w:lang w:val="uk-UA"/>
        </w:rPr>
        <w:t xml:space="preserve">довкілля. </w:t>
      </w:r>
    </w:p>
    <w:p w14:paraId="12658C5A" w14:textId="77777777" w:rsidR="001536B5" w:rsidRPr="00644B5D" w:rsidRDefault="001536B5"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Норми проєкту акта не містять ризики вчинення корупційних правопорушень та правопорушень, пов’язаних з корупцією; відсутні положення, які створюють підстави для дискримінації.</w:t>
      </w:r>
    </w:p>
    <w:p w14:paraId="5CC62618" w14:textId="77777777" w:rsidR="001536B5" w:rsidRPr="00644B5D" w:rsidRDefault="001536B5"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Проєкт акта буде надіслано до Національного агентства з питань запобігання корупції для визначення необхідності проведення антикорупційної експертизи.</w:t>
      </w:r>
    </w:p>
    <w:p w14:paraId="38B058E9" w14:textId="77777777" w:rsidR="00F64806" w:rsidRPr="00644B5D" w:rsidRDefault="001536B5"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lastRenderedPageBreak/>
        <w:t>Громадська антикорупційна, громадська антидискримінаційна та громадська гендерно-правова експертизи не проводились.</w:t>
      </w:r>
    </w:p>
    <w:p w14:paraId="3373EBC7" w14:textId="77777777" w:rsidR="001D4922" w:rsidRDefault="001D4922" w:rsidP="00E44E15">
      <w:pPr>
        <w:autoSpaceDE w:val="0"/>
        <w:autoSpaceDN w:val="0"/>
        <w:adjustRightInd w:val="0"/>
        <w:ind w:right="4" w:firstLine="567"/>
        <w:rPr>
          <w:b/>
          <w:bCs/>
          <w:sz w:val="28"/>
          <w:szCs w:val="28"/>
          <w:lang w:val="uk-UA"/>
        </w:rPr>
      </w:pPr>
    </w:p>
    <w:p w14:paraId="6CF63E9D" w14:textId="77777777" w:rsidR="00E73973" w:rsidRPr="00644B5D" w:rsidRDefault="00E73973" w:rsidP="00E44E15">
      <w:pPr>
        <w:autoSpaceDE w:val="0"/>
        <w:autoSpaceDN w:val="0"/>
        <w:adjustRightInd w:val="0"/>
        <w:ind w:right="4" w:firstLine="567"/>
        <w:rPr>
          <w:b/>
          <w:bCs/>
          <w:sz w:val="28"/>
          <w:szCs w:val="28"/>
          <w:lang w:val="uk-UA"/>
        </w:rPr>
      </w:pPr>
      <w:r w:rsidRPr="00644B5D">
        <w:rPr>
          <w:b/>
          <w:bCs/>
          <w:sz w:val="28"/>
          <w:szCs w:val="28"/>
          <w:lang w:val="uk-UA"/>
        </w:rPr>
        <w:t>8. Прогноз результатів</w:t>
      </w:r>
    </w:p>
    <w:p w14:paraId="3DCD084B" w14:textId="77777777" w:rsidR="00E73973" w:rsidRDefault="00E73973" w:rsidP="00E44E15">
      <w:pPr>
        <w:autoSpaceDE w:val="0"/>
        <w:autoSpaceDN w:val="0"/>
        <w:adjustRightInd w:val="0"/>
        <w:ind w:right="-998" w:firstLine="567"/>
        <w:jc w:val="both"/>
        <w:rPr>
          <w:sz w:val="28"/>
          <w:szCs w:val="28"/>
          <w:lang w:val="uk-UA"/>
        </w:rPr>
      </w:pPr>
      <w:r w:rsidRPr="00644B5D">
        <w:rPr>
          <w:sz w:val="28"/>
          <w:szCs w:val="28"/>
          <w:lang w:val="uk-UA"/>
        </w:rPr>
        <w:t>Реалізація проєкту акта матиме вплив на інтереси заінтересованих сторін:</w:t>
      </w:r>
    </w:p>
    <w:p w14:paraId="338FC9A0" w14:textId="77777777" w:rsidR="00110386" w:rsidRPr="00644B5D" w:rsidRDefault="00110386" w:rsidP="00E44E15">
      <w:pPr>
        <w:autoSpaceDE w:val="0"/>
        <w:autoSpaceDN w:val="0"/>
        <w:adjustRightInd w:val="0"/>
        <w:ind w:right="-998" w:firstLine="567"/>
        <w:jc w:val="both"/>
        <w:rPr>
          <w:sz w:val="28"/>
          <w:szCs w:val="28"/>
          <w:lang w:val="uk-UA"/>
        </w:rPr>
      </w:pPr>
    </w:p>
    <w:tbl>
      <w:tblPr>
        <w:tblW w:w="10173"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02"/>
        <w:gridCol w:w="3118"/>
        <w:gridCol w:w="4253"/>
      </w:tblGrid>
      <w:tr w:rsidR="00E73973" w:rsidRPr="00644B5D" w14:paraId="61047259" w14:textId="77777777" w:rsidTr="00B02E09">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7DC3F770" w14:textId="77777777" w:rsidR="00E73973" w:rsidRPr="00644B5D" w:rsidRDefault="00E73973" w:rsidP="00E44E15">
            <w:pPr>
              <w:autoSpaceDE w:val="0"/>
              <w:autoSpaceDN w:val="0"/>
              <w:adjustRightInd w:val="0"/>
              <w:jc w:val="center"/>
              <w:rPr>
                <w:b/>
                <w:bCs/>
                <w:sz w:val="28"/>
                <w:szCs w:val="28"/>
                <w:lang w:val="uk-UA"/>
              </w:rPr>
            </w:pPr>
            <w:r w:rsidRPr="00644B5D">
              <w:rPr>
                <w:b/>
                <w:bCs/>
                <w:sz w:val="28"/>
                <w:szCs w:val="28"/>
                <w:lang w:val="uk-UA"/>
              </w:rPr>
              <w:t>Заінтересована сторона</w:t>
            </w:r>
          </w:p>
        </w:tc>
        <w:tc>
          <w:tcPr>
            <w:tcW w:w="3118" w:type="dxa"/>
            <w:tcBorders>
              <w:top w:val="single" w:sz="6" w:space="0" w:color="auto"/>
              <w:left w:val="single" w:sz="6" w:space="0" w:color="auto"/>
              <w:bottom w:val="single" w:sz="4" w:space="0" w:color="auto"/>
              <w:right w:val="single" w:sz="6" w:space="0" w:color="auto"/>
            </w:tcBorders>
            <w:tcMar>
              <w:top w:w="100" w:type="nil"/>
              <w:right w:w="100" w:type="nil"/>
            </w:tcMar>
          </w:tcPr>
          <w:p w14:paraId="61F88DDB" w14:textId="77777777" w:rsidR="00E73973" w:rsidRPr="00644B5D" w:rsidRDefault="00E73973" w:rsidP="00E44E15">
            <w:pPr>
              <w:autoSpaceDE w:val="0"/>
              <w:autoSpaceDN w:val="0"/>
              <w:adjustRightInd w:val="0"/>
              <w:jc w:val="center"/>
              <w:rPr>
                <w:b/>
                <w:bCs/>
                <w:sz w:val="28"/>
                <w:szCs w:val="28"/>
                <w:lang w:val="uk-UA"/>
              </w:rPr>
            </w:pPr>
            <w:r w:rsidRPr="00644B5D">
              <w:rPr>
                <w:b/>
                <w:bCs/>
                <w:sz w:val="28"/>
                <w:szCs w:val="28"/>
                <w:lang w:val="uk-UA"/>
              </w:rPr>
              <w:t>Вплив реалізації акта на заінтересовану сторону</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1766E24D" w14:textId="77777777" w:rsidR="00E73973" w:rsidRPr="00644B5D" w:rsidRDefault="00E73973" w:rsidP="00E44E15">
            <w:pPr>
              <w:autoSpaceDE w:val="0"/>
              <w:autoSpaceDN w:val="0"/>
              <w:adjustRightInd w:val="0"/>
              <w:jc w:val="center"/>
              <w:rPr>
                <w:b/>
                <w:bCs/>
                <w:sz w:val="28"/>
                <w:szCs w:val="28"/>
                <w:lang w:val="uk-UA"/>
              </w:rPr>
            </w:pPr>
            <w:r w:rsidRPr="00644B5D">
              <w:rPr>
                <w:b/>
                <w:bCs/>
                <w:sz w:val="28"/>
                <w:szCs w:val="28"/>
                <w:lang w:val="uk-UA"/>
              </w:rPr>
              <w:t>Пояснення очікуваного впливу</w:t>
            </w:r>
          </w:p>
        </w:tc>
      </w:tr>
      <w:tr w:rsidR="00E73973" w:rsidRPr="001E265B" w14:paraId="1796765D" w14:textId="77777777" w:rsidTr="00B02E09">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3A0B5D4D" w14:textId="77777777" w:rsidR="00E73973" w:rsidRDefault="00E73973" w:rsidP="007558CE">
            <w:pPr>
              <w:autoSpaceDE w:val="0"/>
              <w:autoSpaceDN w:val="0"/>
              <w:adjustRightInd w:val="0"/>
              <w:ind w:right="460"/>
              <w:jc w:val="both"/>
              <w:rPr>
                <w:lang w:val="uk-UA"/>
              </w:rPr>
            </w:pPr>
            <w:r w:rsidRPr="00644B5D">
              <w:rPr>
                <w:lang w:val="uk-UA"/>
              </w:rPr>
              <w:t>Суб’єкт</w:t>
            </w:r>
            <w:r w:rsidR="007558CE" w:rsidRPr="00644B5D">
              <w:rPr>
                <w:lang w:val="uk-UA"/>
              </w:rPr>
              <w:t>и</w:t>
            </w:r>
            <w:r w:rsidRPr="00644B5D">
              <w:rPr>
                <w:lang w:val="uk-UA"/>
              </w:rPr>
              <w:t xml:space="preserve"> господарювання, </w:t>
            </w:r>
          </w:p>
          <w:p w14:paraId="61071701" w14:textId="77777777" w:rsidR="00DE7688" w:rsidRDefault="00DE7688" w:rsidP="007558CE">
            <w:pPr>
              <w:autoSpaceDE w:val="0"/>
              <w:autoSpaceDN w:val="0"/>
              <w:adjustRightInd w:val="0"/>
              <w:ind w:right="460"/>
              <w:jc w:val="both"/>
              <w:rPr>
                <w:lang w:val="uk-UA"/>
              </w:rPr>
            </w:pPr>
          </w:p>
          <w:p w14:paraId="680A7EDE" w14:textId="77777777" w:rsidR="00DE7688" w:rsidRDefault="00DE7688" w:rsidP="007558CE">
            <w:pPr>
              <w:autoSpaceDE w:val="0"/>
              <w:autoSpaceDN w:val="0"/>
              <w:adjustRightInd w:val="0"/>
              <w:ind w:right="460"/>
              <w:jc w:val="both"/>
              <w:rPr>
                <w:lang w:val="uk-UA"/>
              </w:rPr>
            </w:pPr>
          </w:p>
          <w:p w14:paraId="75B1EE00" w14:textId="77777777" w:rsidR="00DE7688" w:rsidRDefault="00DE7688" w:rsidP="007558CE">
            <w:pPr>
              <w:autoSpaceDE w:val="0"/>
              <w:autoSpaceDN w:val="0"/>
              <w:adjustRightInd w:val="0"/>
              <w:ind w:right="460"/>
              <w:jc w:val="both"/>
              <w:rPr>
                <w:lang w:val="uk-UA"/>
              </w:rPr>
            </w:pPr>
          </w:p>
          <w:p w14:paraId="02A39A06" w14:textId="77777777" w:rsidR="00DE7688" w:rsidRPr="00644B5D" w:rsidRDefault="00DE7688" w:rsidP="007558CE">
            <w:pPr>
              <w:autoSpaceDE w:val="0"/>
              <w:autoSpaceDN w:val="0"/>
              <w:adjustRightInd w:val="0"/>
              <w:ind w:right="460"/>
              <w:jc w:val="both"/>
              <w:rPr>
                <w:lang w:val="uk-UA"/>
              </w:rPr>
            </w:pPr>
          </w:p>
        </w:tc>
        <w:tc>
          <w:tcPr>
            <w:tcW w:w="3118" w:type="dxa"/>
            <w:tcBorders>
              <w:top w:val="single" w:sz="4" w:space="0" w:color="auto"/>
              <w:left w:val="single" w:sz="6" w:space="0" w:color="auto"/>
              <w:bottom w:val="single" w:sz="4" w:space="0" w:color="auto"/>
              <w:right w:val="single" w:sz="6" w:space="0" w:color="auto"/>
            </w:tcBorders>
            <w:tcMar>
              <w:top w:w="100" w:type="nil"/>
              <w:right w:w="100" w:type="nil"/>
            </w:tcMar>
          </w:tcPr>
          <w:p w14:paraId="59589BEA" w14:textId="77777777" w:rsidR="00E73973" w:rsidRPr="00644B5D" w:rsidRDefault="00E73973" w:rsidP="00E44E15">
            <w:pPr>
              <w:autoSpaceDE w:val="0"/>
              <w:autoSpaceDN w:val="0"/>
              <w:adjustRightInd w:val="0"/>
              <w:rPr>
                <w:lang w:val="uk-UA"/>
              </w:rPr>
            </w:pPr>
            <w:r w:rsidRPr="00644B5D">
              <w:rPr>
                <w:lang w:val="uk-UA"/>
              </w:rPr>
              <w:t>Короткостроковий вплив (до року): позитивний.</w:t>
            </w:r>
          </w:p>
          <w:p w14:paraId="376241A4" w14:textId="77777777" w:rsidR="00E73973" w:rsidRPr="00644B5D" w:rsidRDefault="00E73973" w:rsidP="00E44E15">
            <w:pPr>
              <w:autoSpaceDE w:val="0"/>
              <w:autoSpaceDN w:val="0"/>
              <w:adjustRightInd w:val="0"/>
              <w:rPr>
                <w:lang w:val="uk-UA"/>
              </w:rPr>
            </w:pPr>
            <w:r w:rsidRPr="00644B5D">
              <w:rPr>
                <w:lang w:val="uk-UA"/>
              </w:rPr>
              <w:t>Середньостроковий вплив (більше року): позитивний.</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4F7D150E" w14:textId="77777777" w:rsidR="00CE29A5" w:rsidRPr="00644B5D" w:rsidRDefault="00CE29A5" w:rsidP="00CE29A5">
            <w:pPr>
              <w:autoSpaceDE w:val="0"/>
              <w:autoSpaceDN w:val="0"/>
              <w:adjustRightInd w:val="0"/>
              <w:jc w:val="both"/>
              <w:rPr>
                <w:lang w:val="uk-UA"/>
              </w:rPr>
            </w:pPr>
            <w:r w:rsidRPr="00644B5D">
              <w:rPr>
                <w:lang w:val="uk-UA"/>
              </w:rPr>
              <w:t>Приведення у відповідність законодавства України до законодавства ЄС.</w:t>
            </w:r>
          </w:p>
          <w:p w14:paraId="0C9DAA2F" w14:textId="07DE04BD" w:rsidR="00E73973" w:rsidRPr="00644B5D" w:rsidRDefault="00A24980" w:rsidP="00CE29A5">
            <w:pPr>
              <w:autoSpaceDE w:val="0"/>
              <w:autoSpaceDN w:val="0"/>
              <w:adjustRightInd w:val="0"/>
              <w:jc w:val="both"/>
              <w:rPr>
                <w:lang w:val="uk-UA"/>
              </w:rPr>
            </w:pPr>
            <w:r>
              <w:rPr>
                <w:lang w:val="uk-UA"/>
              </w:rPr>
              <w:t>Посилення захисту інтелектуальної власності та комерційної таємниці для хімічної продукції, яка не є небезпечною, або не є суттєво небезпечною</w:t>
            </w:r>
            <w:r w:rsidR="00E73973" w:rsidRPr="00644B5D">
              <w:rPr>
                <w:lang w:val="uk-UA"/>
              </w:rPr>
              <w:t xml:space="preserve">. </w:t>
            </w:r>
          </w:p>
        </w:tc>
      </w:tr>
    </w:tbl>
    <w:p w14:paraId="34DB9C3A" w14:textId="77777777" w:rsidR="00E73973" w:rsidRPr="00644B5D" w:rsidRDefault="00E73973" w:rsidP="00E44E15">
      <w:pPr>
        <w:autoSpaceDE w:val="0"/>
        <w:autoSpaceDN w:val="0"/>
        <w:adjustRightInd w:val="0"/>
        <w:ind w:right="-998" w:firstLine="567"/>
        <w:jc w:val="both"/>
        <w:rPr>
          <w:sz w:val="28"/>
          <w:szCs w:val="28"/>
          <w:lang w:val="uk-UA"/>
        </w:rPr>
      </w:pPr>
    </w:p>
    <w:p w14:paraId="68053FE6" w14:textId="77777777" w:rsidR="00E73973" w:rsidRPr="00644B5D" w:rsidRDefault="00E73973" w:rsidP="00E44E15">
      <w:pPr>
        <w:autoSpaceDE w:val="0"/>
        <w:autoSpaceDN w:val="0"/>
        <w:adjustRightInd w:val="0"/>
        <w:ind w:right="-998" w:firstLine="567"/>
        <w:jc w:val="both"/>
        <w:rPr>
          <w:b/>
          <w:bCs/>
          <w:sz w:val="28"/>
          <w:szCs w:val="28"/>
          <w:lang w:val="uk-UA"/>
        </w:rPr>
      </w:pPr>
    </w:p>
    <w:p w14:paraId="2C714ACC" w14:textId="77777777" w:rsidR="00E73973" w:rsidRPr="00644B5D" w:rsidRDefault="00E73973" w:rsidP="001536B5">
      <w:pPr>
        <w:tabs>
          <w:tab w:val="center" w:pos="4395"/>
          <w:tab w:val="right" w:pos="9498"/>
        </w:tabs>
        <w:autoSpaceDE w:val="0"/>
        <w:autoSpaceDN w:val="0"/>
        <w:adjustRightInd w:val="0"/>
        <w:ind w:right="-998" w:hanging="142"/>
        <w:jc w:val="both"/>
        <w:rPr>
          <w:b/>
          <w:bCs/>
          <w:sz w:val="28"/>
          <w:szCs w:val="28"/>
          <w:lang w:val="uk-UA"/>
        </w:rPr>
      </w:pPr>
      <w:r w:rsidRPr="00644B5D">
        <w:rPr>
          <w:b/>
          <w:bCs/>
          <w:sz w:val="28"/>
          <w:szCs w:val="28"/>
          <w:lang w:val="uk-UA"/>
        </w:rPr>
        <w:t>Міністр захисту довкілля та природних</w:t>
      </w:r>
    </w:p>
    <w:p w14:paraId="114F51B3" w14:textId="77777777" w:rsidR="00E73973" w:rsidRPr="00644B5D" w:rsidRDefault="001536B5" w:rsidP="001536B5">
      <w:pPr>
        <w:tabs>
          <w:tab w:val="center" w:pos="4395"/>
          <w:tab w:val="right" w:pos="9923"/>
        </w:tabs>
        <w:autoSpaceDE w:val="0"/>
        <w:autoSpaceDN w:val="0"/>
        <w:adjustRightInd w:val="0"/>
        <w:ind w:right="-998" w:hanging="142"/>
        <w:jc w:val="both"/>
        <w:rPr>
          <w:b/>
          <w:bCs/>
          <w:sz w:val="28"/>
          <w:szCs w:val="28"/>
          <w:lang w:val="uk-UA"/>
        </w:rPr>
      </w:pPr>
      <w:r w:rsidRPr="00644B5D">
        <w:rPr>
          <w:b/>
          <w:bCs/>
          <w:sz w:val="28"/>
          <w:szCs w:val="28"/>
          <w:lang w:val="uk-UA"/>
        </w:rPr>
        <w:t>ресурсів України</w:t>
      </w:r>
      <w:r w:rsidRPr="00644B5D">
        <w:rPr>
          <w:b/>
          <w:bCs/>
          <w:sz w:val="28"/>
          <w:szCs w:val="28"/>
          <w:lang w:val="uk-UA"/>
        </w:rPr>
        <w:tab/>
      </w:r>
      <w:r w:rsidRPr="00644B5D">
        <w:rPr>
          <w:b/>
          <w:bCs/>
          <w:sz w:val="28"/>
          <w:szCs w:val="28"/>
          <w:lang w:val="uk-UA"/>
        </w:rPr>
        <w:tab/>
        <w:t xml:space="preserve">             </w:t>
      </w:r>
      <w:r w:rsidR="00E73973" w:rsidRPr="00644B5D">
        <w:rPr>
          <w:b/>
          <w:bCs/>
          <w:sz w:val="28"/>
          <w:szCs w:val="28"/>
          <w:lang w:val="uk-UA"/>
        </w:rPr>
        <w:t>Руслан СТРІЛЕЦЬ</w:t>
      </w:r>
    </w:p>
    <w:p w14:paraId="2AFDEE7C" w14:textId="77777777" w:rsidR="001536B5" w:rsidRPr="00644B5D" w:rsidRDefault="001536B5" w:rsidP="001536B5">
      <w:pPr>
        <w:autoSpaceDE w:val="0"/>
        <w:autoSpaceDN w:val="0"/>
        <w:adjustRightInd w:val="0"/>
        <w:ind w:right="-998" w:hanging="142"/>
        <w:rPr>
          <w:sz w:val="28"/>
          <w:szCs w:val="28"/>
          <w:lang w:val="uk-UA"/>
        </w:rPr>
      </w:pPr>
    </w:p>
    <w:p w14:paraId="6AB2D633" w14:textId="2D22B9A0" w:rsidR="00E73973" w:rsidRPr="00644B5D" w:rsidRDefault="001536B5" w:rsidP="001536B5">
      <w:pPr>
        <w:autoSpaceDE w:val="0"/>
        <w:autoSpaceDN w:val="0"/>
        <w:adjustRightInd w:val="0"/>
        <w:ind w:right="-998" w:hanging="142"/>
        <w:rPr>
          <w:sz w:val="28"/>
          <w:szCs w:val="28"/>
          <w:lang w:val="uk-UA"/>
        </w:rPr>
      </w:pPr>
      <w:r w:rsidRPr="00644B5D">
        <w:rPr>
          <w:sz w:val="28"/>
          <w:szCs w:val="28"/>
          <w:lang w:val="uk-UA"/>
        </w:rPr>
        <w:t>«</w:t>
      </w:r>
      <w:r w:rsidR="00E73973" w:rsidRPr="00644B5D">
        <w:rPr>
          <w:sz w:val="28"/>
          <w:szCs w:val="28"/>
          <w:lang w:val="uk-UA"/>
        </w:rPr>
        <w:t>____</w:t>
      </w:r>
      <w:r w:rsidRPr="00644B5D">
        <w:rPr>
          <w:sz w:val="28"/>
          <w:szCs w:val="28"/>
          <w:lang w:val="uk-UA"/>
        </w:rPr>
        <w:t xml:space="preserve">» </w:t>
      </w:r>
      <w:r w:rsidR="00E73973" w:rsidRPr="00644B5D">
        <w:rPr>
          <w:sz w:val="28"/>
          <w:szCs w:val="28"/>
          <w:lang w:val="uk-UA"/>
        </w:rPr>
        <w:t>_____</w:t>
      </w:r>
      <w:r w:rsidRPr="00644B5D">
        <w:rPr>
          <w:sz w:val="28"/>
          <w:szCs w:val="28"/>
          <w:lang w:val="uk-UA"/>
        </w:rPr>
        <w:t>___</w:t>
      </w:r>
      <w:r w:rsidR="00E73973" w:rsidRPr="00644B5D">
        <w:rPr>
          <w:sz w:val="28"/>
          <w:szCs w:val="28"/>
          <w:lang w:val="uk-UA"/>
        </w:rPr>
        <w:t>_____ 202</w:t>
      </w:r>
      <w:r w:rsidR="00B65C00">
        <w:rPr>
          <w:sz w:val="28"/>
          <w:szCs w:val="28"/>
          <w:lang w:val="uk-UA"/>
        </w:rPr>
        <w:t>4</w:t>
      </w:r>
      <w:r w:rsidR="00E73973" w:rsidRPr="00644B5D">
        <w:rPr>
          <w:sz w:val="28"/>
          <w:szCs w:val="28"/>
          <w:lang w:val="uk-UA"/>
        </w:rPr>
        <w:t xml:space="preserve"> р.</w:t>
      </w:r>
    </w:p>
    <w:p w14:paraId="69D0437B" w14:textId="77777777" w:rsidR="00706CA9" w:rsidRPr="00644B5D" w:rsidRDefault="00706CA9" w:rsidP="001536B5">
      <w:pPr>
        <w:ind w:hanging="142"/>
        <w:rPr>
          <w:sz w:val="28"/>
          <w:szCs w:val="28"/>
          <w:lang w:val="uk-UA"/>
        </w:rPr>
      </w:pPr>
    </w:p>
    <w:sectPr w:rsidR="00706CA9" w:rsidRPr="00644B5D" w:rsidSect="00935D06">
      <w:headerReference w:type="default" r:id="rId7"/>
      <w:pgSz w:w="12240" w:h="15840" w:code="1"/>
      <w:pgMar w:top="1134" w:right="567" w:bottom="1701" w:left="170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01933" w16cid:durableId="291C2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6A24" w14:textId="77777777" w:rsidR="001838E9" w:rsidRDefault="001838E9" w:rsidP="001536B5">
      <w:r>
        <w:separator/>
      </w:r>
    </w:p>
  </w:endnote>
  <w:endnote w:type="continuationSeparator" w:id="0">
    <w:p w14:paraId="537870EE" w14:textId="77777777" w:rsidR="001838E9" w:rsidRDefault="001838E9" w:rsidP="001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CF4C" w14:textId="77777777" w:rsidR="001838E9" w:rsidRDefault="001838E9" w:rsidP="001536B5">
      <w:r>
        <w:separator/>
      </w:r>
    </w:p>
  </w:footnote>
  <w:footnote w:type="continuationSeparator" w:id="0">
    <w:p w14:paraId="2A5A368E" w14:textId="77777777" w:rsidR="001838E9" w:rsidRDefault="001838E9" w:rsidP="0015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83033"/>
      <w:docPartObj>
        <w:docPartGallery w:val="Page Numbers (Top of Page)"/>
        <w:docPartUnique/>
      </w:docPartObj>
    </w:sdtPr>
    <w:sdtEndPr/>
    <w:sdtContent>
      <w:p w14:paraId="6A38124F" w14:textId="77777777" w:rsidR="001536B5" w:rsidRDefault="001536B5">
        <w:pPr>
          <w:pStyle w:val="a5"/>
          <w:jc w:val="center"/>
        </w:pPr>
        <w:r>
          <w:fldChar w:fldCharType="begin"/>
        </w:r>
        <w:r>
          <w:instrText>PAGE   \* MERGEFORMAT</w:instrText>
        </w:r>
        <w:r>
          <w:fldChar w:fldCharType="separate"/>
        </w:r>
        <w:r w:rsidR="004212B5" w:rsidRPr="004212B5">
          <w:rPr>
            <w:noProof/>
            <w:lang w:val="uk-UA"/>
          </w:rPr>
          <w:t>2</w:t>
        </w:r>
        <w:r>
          <w:fldChar w:fldCharType="end"/>
        </w:r>
      </w:p>
    </w:sdtContent>
  </w:sdt>
  <w:p w14:paraId="04234E79" w14:textId="77777777" w:rsidR="001536B5" w:rsidRDefault="00153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73"/>
    <w:rsid w:val="00024890"/>
    <w:rsid w:val="000B5D88"/>
    <w:rsid w:val="00110386"/>
    <w:rsid w:val="001536B5"/>
    <w:rsid w:val="001838E9"/>
    <w:rsid w:val="001A6CF6"/>
    <w:rsid w:val="001C06A8"/>
    <w:rsid w:val="001D4922"/>
    <w:rsid w:val="001E265B"/>
    <w:rsid w:val="00292A98"/>
    <w:rsid w:val="002C788A"/>
    <w:rsid w:val="0035745C"/>
    <w:rsid w:val="00387D64"/>
    <w:rsid w:val="004212B5"/>
    <w:rsid w:val="00472188"/>
    <w:rsid w:val="004A4766"/>
    <w:rsid w:val="004B2EC0"/>
    <w:rsid w:val="004E5011"/>
    <w:rsid w:val="00522A0A"/>
    <w:rsid w:val="00560E8A"/>
    <w:rsid w:val="0059372C"/>
    <w:rsid w:val="006155A1"/>
    <w:rsid w:val="00644B5D"/>
    <w:rsid w:val="00670BDD"/>
    <w:rsid w:val="00673AC2"/>
    <w:rsid w:val="00687B91"/>
    <w:rsid w:val="00690813"/>
    <w:rsid w:val="006C4B18"/>
    <w:rsid w:val="006F2EA0"/>
    <w:rsid w:val="00706CA9"/>
    <w:rsid w:val="007558CE"/>
    <w:rsid w:val="007A58E0"/>
    <w:rsid w:val="00803447"/>
    <w:rsid w:val="00832D03"/>
    <w:rsid w:val="00837832"/>
    <w:rsid w:val="00844051"/>
    <w:rsid w:val="00873FD6"/>
    <w:rsid w:val="008C4DDF"/>
    <w:rsid w:val="008E0674"/>
    <w:rsid w:val="00935D06"/>
    <w:rsid w:val="009F5CC8"/>
    <w:rsid w:val="00A121D5"/>
    <w:rsid w:val="00A24980"/>
    <w:rsid w:val="00A62496"/>
    <w:rsid w:val="00A74C33"/>
    <w:rsid w:val="00AA5226"/>
    <w:rsid w:val="00B02E09"/>
    <w:rsid w:val="00B65C00"/>
    <w:rsid w:val="00B968A6"/>
    <w:rsid w:val="00BC7617"/>
    <w:rsid w:val="00C96AA2"/>
    <w:rsid w:val="00CE29A5"/>
    <w:rsid w:val="00CF61C6"/>
    <w:rsid w:val="00D7566C"/>
    <w:rsid w:val="00DA527F"/>
    <w:rsid w:val="00DB1EE6"/>
    <w:rsid w:val="00DB38D9"/>
    <w:rsid w:val="00DE7688"/>
    <w:rsid w:val="00E16D47"/>
    <w:rsid w:val="00E26A46"/>
    <w:rsid w:val="00E3277D"/>
    <w:rsid w:val="00E44E15"/>
    <w:rsid w:val="00E47C43"/>
    <w:rsid w:val="00E52034"/>
    <w:rsid w:val="00E54113"/>
    <w:rsid w:val="00E73973"/>
    <w:rsid w:val="00EA55CD"/>
    <w:rsid w:val="00EB0058"/>
    <w:rsid w:val="00EE1408"/>
    <w:rsid w:val="00F63E03"/>
    <w:rsid w:val="00F64806"/>
    <w:rsid w:val="00F72589"/>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784"/>
  <w15:docId w15:val="{37F56E15-75CB-4B03-923C-1731EDF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і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і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ітки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ітки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у виносці Знак"/>
    <w:basedOn w:val="a0"/>
    <w:link w:val="ae"/>
    <w:uiPriority w:val="99"/>
    <w:semiHidden/>
    <w:rsid w:val="00E47C43"/>
    <w:rPr>
      <w:rFonts w:ascii="Segoe UI" w:eastAsia="Times New Roman" w:hAnsi="Segoe UI" w:cs="Segoe UI"/>
      <w:sz w:val="18"/>
      <w:szCs w:val="18"/>
      <w:lang w:eastAsia="ru-RU"/>
    </w:rPr>
  </w:style>
  <w:style w:type="paragraph" w:customStyle="1" w:styleId="af0">
    <w:name w:val="Нормальний текст"/>
    <w:basedOn w:val="a"/>
    <w:uiPriority w:val="99"/>
    <w:rsid w:val="00935D06"/>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3414</Words>
  <Characters>1946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Зайцева Юлія Павлівна</cp:lastModifiedBy>
  <cp:revision>2</cp:revision>
  <dcterms:created xsi:type="dcterms:W3CDTF">2024-03-18T13:58:00Z</dcterms:created>
  <dcterms:modified xsi:type="dcterms:W3CDTF">2024-03-18T13:58:00Z</dcterms:modified>
</cp:coreProperties>
</file>