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4" w:rsidRPr="005F2CFA" w:rsidRDefault="00C829B4" w:rsidP="00C829B4">
      <w:pPr>
        <w:pStyle w:val="2"/>
        <w:spacing w:before="0" w:after="0"/>
        <w:jc w:val="right"/>
        <w:rPr>
          <w:i w:val="0"/>
          <w:iCs/>
          <w:color w:val="000000" w:themeColor="text1"/>
        </w:rPr>
      </w:pPr>
      <w:r w:rsidRPr="005F2CFA">
        <w:rPr>
          <w:rStyle w:val="rvts9"/>
          <w:i w:val="0"/>
          <w:iCs/>
          <w:color w:val="333333"/>
          <w:shd w:val="clear" w:color="auto" w:fill="FFFFFF"/>
        </w:rPr>
        <w:t>ЗАТВЕРДЖЕНО</w:t>
      </w:r>
      <w:r w:rsidRPr="005F2CFA">
        <w:rPr>
          <w:i w:val="0"/>
          <w:iCs/>
          <w:color w:val="333333"/>
        </w:rPr>
        <w:br/>
      </w:r>
      <w:r w:rsidRPr="005F2CFA">
        <w:rPr>
          <w:rStyle w:val="rvts9"/>
          <w:i w:val="0"/>
          <w:iCs/>
          <w:color w:val="333333"/>
          <w:shd w:val="clear" w:color="auto" w:fill="FFFFFF"/>
        </w:rPr>
        <w:t>постановою Кабінету Міністрів України</w:t>
      </w:r>
      <w:r w:rsidRPr="005F2CFA">
        <w:rPr>
          <w:i w:val="0"/>
          <w:iCs/>
          <w:color w:val="333333"/>
        </w:rPr>
        <w:br/>
      </w:r>
      <w:r w:rsidRPr="005F2CFA">
        <w:rPr>
          <w:rStyle w:val="rvts9"/>
          <w:i w:val="0"/>
          <w:iCs/>
          <w:color w:val="333333"/>
          <w:shd w:val="clear" w:color="auto" w:fill="FFFFFF"/>
        </w:rPr>
        <w:t xml:space="preserve">від </w:t>
      </w:r>
      <w:r w:rsidR="00220B13">
        <w:rPr>
          <w:rStyle w:val="rvts9"/>
          <w:i w:val="0"/>
          <w:iCs/>
          <w:color w:val="333333"/>
          <w:shd w:val="clear" w:color="auto" w:fill="FFFFFF"/>
        </w:rPr>
        <w:t>___________</w:t>
      </w:r>
      <w:r w:rsidRPr="005F2CFA">
        <w:rPr>
          <w:rStyle w:val="rvts9"/>
          <w:i w:val="0"/>
          <w:iCs/>
          <w:color w:val="333333"/>
          <w:shd w:val="clear" w:color="auto" w:fill="FFFFFF"/>
        </w:rPr>
        <w:t>_____ р. № _____</w:t>
      </w:r>
    </w:p>
    <w:p w:rsidR="00C829B4" w:rsidRDefault="00C829B4" w:rsidP="00C829B4">
      <w:pPr>
        <w:pStyle w:val="2"/>
        <w:spacing w:before="0" w:after="0"/>
        <w:rPr>
          <w:color w:val="000000" w:themeColor="text1"/>
        </w:rPr>
      </w:pPr>
    </w:p>
    <w:p w:rsidR="002D0136" w:rsidRPr="002D0136" w:rsidRDefault="002D0136" w:rsidP="002D0136"/>
    <w:p w:rsidR="00C829B4" w:rsidRPr="005F2CFA" w:rsidRDefault="00C829B4" w:rsidP="00920632">
      <w:pPr>
        <w:pStyle w:val="2"/>
        <w:spacing w:before="0" w:after="0"/>
        <w:ind w:firstLine="0"/>
        <w:jc w:val="center"/>
        <w:rPr>
          <w:i w:val="0"/>
          <w:iCs/>
          <w:color w:val="000000" w:themeColor="text1"/>
        </w:rPr>
      </w:pPr>
      <w:r w:rsidRPr="005F2CFA">
        <w:rPr>
          <w:i w:val="0"/>
          <w:iCs/>
          <w:color w:val="000000" w:themeColor="text1"/>
        </w:rPr>
        <w:t>ПОРЯДОК</w:t>
      </w:r>
    </w:p>
    <w:p w:rsidR="002D1288" w:rsidRDefault="002D1288" w:rsidP="00C829B4">
      <w:pPr>
        <w:jc w:val="center"/>
        <w:rPr>
          <w:b/>
          <w:bCs/>
          <w:iCs/>
          <w:color w:val="000000" w:themeColor="text1"/>
        </w:rPr>
      </w:pPr>
      <w:r w:rsidRPr="002D1288">
        <w:rPr>
          <w:b/>
          <w:bCs/>
          <w:iCs/>
          <w:color w:val="000000" w:themeColor="text1"/>
        </w:rPr>
        <w:t xml:space="preserve">формування та ведення </w:t>
      </w:r>
      <w:r w:rsidR="00992129">
        <w:rPr>
          <w:b/>
          <w:bCs/>
          <w:iCs/>
          <w:color w:val="000000" w:themeColor="text1"/>
        </w:rPr>
        <w:t>п</w:t>
      </w:r>
      <w:r w:rsidRPr="002D1288">
        <w:rPr>
          <w:b/>
          <w:bCs/>
          <w:iCs/>
          <w:color w:val="000000" w:themeColor="text1"/>
        </w:rPr>
        <w:t xml:space="preserve">ереліку хімічних речовин подвійного використання </w:t>
      </w:r>
    </w:p>
    <w:p w:rsidR="00220B13" w:rsidRDefault="00220B13" w:rsidP="00444EC9">
      <w:pPr>
        <w:spacing w:before="0" w:after="120"/>
        <w:ind w:firstLine="567"/>
        <w:jc w:val="center"/>
        <w:rPr>
          <w:b/>
          <w:bCs/>
        </w:rPr>
      </w:pPr>
    </w:p>
    <w:p w:rsidR="007D2788" w:rsidRPr="002D0136" w:rsidRDefault="001E6286" w:rsidP="00444EC9">
      <w:pPr>
        <w:spacing w:before="0" w:after="120"/>
        <w:ind w:firstLine="567"/>
      </w:pPr>
      <w:r w:rsidRPr="002D0136">
        <w:t xml:space="preserve">1. Цей Порядок визначає </w:t>
      </w:r>
      <w:r w:rsidR="00070C09" w:rsidRPr="002D0136">
        <w:t xml:space="preserve">процедуру </w:t>
      </w:r>
      <w:r w:rsidR="00260703">
        <w:t>ф</w:t>
      </w:r>
      <w:r w:rsidR="00070C09" w:rsidRPr="002D0136">
        <w:t xml:space="preserve">ормування та ведення </w:t>
      </w:r>
      <w:r w:rsidR="00992129">
        <w:t>п</w:t>
      </w:r>
      <w:r w:rsidR="00070C09" w:rsidRPr="002D0136">
        <w:t xml:space="preserve">ереліку хімічних речовин подвійного використання (далі – </w:t>
      </w:r>
      <w:r w:rsidR="00992129">
        <w:t>п</w:t>
      </w:r>
      <w:r w:rsidR="00070C09" w:rsidRPr="002D0136">
        <w:t>ерелік)</w:t>
      </w:r>
      <w:r w:rsidR="007D2788" w:rsidRPr="002D0136">
        <w:t>.</w:t>
      </w:r>
    </w:p>
    <w:p w:rsidR="007D2788" w:rsidRPr="002D0136" w:rsidRDefault="007D2788" w:rsidP="007D2788">
      <w:pPr>
        <w:spacing w:before="0" w:after="120"/>
        <w:ind w:firstLine="567"/>
      </w:pPr>
      <w:r w:rsidRPr="002D0136">
        <w:t>2. У цьому Порядку терміни вживаються у значе</w:t>
      </w:r>
      <w:r w:rsidR="00992129">
        <w:t>н</w:t>
      </w:r>
      <w:r w:rsidRPr="002D0136">
        <w:t>ні, наведеному в Законі України «Про забезпечення хімічної безпеки та управління хімічною продукцією» (далі – Закон).</w:t>
      </w:r>
    </w:p>
    <w:p w:rsidR="007D2788" w:rsidRPr="002D0136" w:rsidRDefault="002A1786" w:rsidP="00444EC9">
      <w:pPr>
        <w:spacing w:before="0" w:after="120"/>
        <w:ind w:firstLine="567"/>
      </w:pPr>
      <w:r w:rsidRPr="002D0136">
        <w:t xml:space="preserve">3. Формування та ведення </w:t>
      </w:r>
      <w:r w:rsidR="00992129">
        <w:t>п</w:t>
      </w:r>
      <w:r w:rsidRPr="002D0136">
        <w:t xml:space="preserve">ереліку здійснюється </w:t>
      </w:r>
      <w:proofErr w:type="spellStart"/>
      <w:r w:rsidRPr="002D0136">
        <w:t>Міндовкілля</w:t>
      </w:r>
      <w:proofErr w:type="spellEnd"/>
      <w:r w:rsidR="00992129">
        <w:t xml:space="preserve"> в електронн</w:t>
      </w:r>
      <w:r w:rsidR="00B8470A">
        <w:t>ій</w:t>
      </w:r>
      <w:bookmarkStart w:id="0" w:name="_GoBack"/>
      <w:bookmarkEnd w:id="0"/>
      <w:r w:rsidR="00992129">
        <w:t xml:space="preserve"> формі</w:t>
      </w:r>
      <w:r w:rsidR="00793902" w:rsidRPr="002D0136">
        <w:t xml:space="preserve"> </w:t>
      </w:r>
      <w:r w:rsidR="00260703">
        <w:t>засобами Інформаційної системи забезпечення хімічної безпеки.</w:t>
      </w:r>
    </w:p>
    <w:p w:rsidR="007D2788" w:rsidRPr="002D0136" w:rsidRDefault="00106C3A" w:rsidP="00444EC9">
      <w:pPr>
        <w:spacing w:before="0" w:after="120"/>
        <w:ind w:firstLine="567"/>
      </w:pPr>
      <w:r w:rsidRPr="002D0136">
        <w:t xml:space="preserve">4. Включенню до </w:t>
      </w:r>
      <w:r w:rsidR="00992129">
        <w:t>п</w:t>
      </w:r>
      <w:r w:rsidRPr="002D0136">
        <w:t>ереліку підлягають хімічні речовин</w:t>
      </w:r>
      <w:r w:rsidR="00992129">
        <w:t>и</w:t>
      </w:r>
      <w:r w:rsidRPr="002D0136">
        <w:t xml:space="preserve"> подвійного використання, які</w:t>
      </w:r>
      <w:r w:rsidR="005F1D4E" w:rsidRPr="002D0136">
        <w:t xml:space="preserve"> ідентифіковані </w:t>
      </w:r>
      <w:r w:rsidR="00992129">
        <w:t>як такі</w:t>
      </w:r>
      <w:r w:rsidRPr="002D0136">
        <w:t xml:space="preserve"> відповідно до Закону.</w:t>
      </w:r>
    </w:p>
    <w:p w:rsidR="00074C64" w:rsidRPr="002D0136" w:rsidRDefault="009B280F" w:rsidP="00074C64">
      <w:pPr>
        <w:spacing w:before="0" w:after="120"/>
        <w:ind w:firstLine="567"/>
      </w:pPr>
      <w:r w:rsidRPr="002D0136">
        <w:t xml:space="preserve">5. Рішення про включення хімічної речовини подвійного використання до </w:t>
      </w:r>
      <w:r w:rsidR="005C291D">
        <w:t>п</w:t>
      </w:r>
      <w:r w:rsidRPr="002D0136">
        <w:t xml:space="preserve">ереліку приймається </w:t>
      </w:r>
      <w:proofErr w:type="spellStart"/>
      <w:r w:rsidRPr="002D0136">
        <w:t>Міндовкілля</w:t>
      </w:r>
      <w:proofErr w:type="spellEnd"/>
      <w:r w:rsidRPr="002D0136">
        <w:t xml:space="preserve"> </w:t>
      </w:r>
      <w:r w:rsidR="00074C64" w:rsidRPr="002D0136">
        <w:t>протягом</w:t>
      </w:r>
      <w:r w:rsidRPr="002D0136">
        <w:t xml:space="preserve"> 10 </w:t>
      </w:r>
      <w:r w:rsidR="00074C64" w:rsidRPr="002D0136">
        <w:t xml:space="preserve">робочих днів з дня </w:t>
      </w:r>
      <w:r w:rsidR="00042365" w:rsidRPr="002D0136">
        <w:t>ідентифікації хімічн</w:t>
      </w:r>
      <w:r w:rsidR="00A92E7F" w:rsidRPr="002D0136">
        <w:t>ої</w:t>
      </w:r>
      <w:r w:rsidR="00042365" w:rsidRPr="002D0136">
        <w:t xml:space="preserve"> речовин подвійного використання</w:t>
      </w:r>
      <w:r w:rsidR="00A94AE4" w:rsidRPr="002D0136">
        <w:t>.</w:t>
      </w:r>
    </w:p>
    <w:p w:rsidR="0056114D" w:rsidRPr="002D0136" w:rsidRDefault="00F53530" w:rsidP="00074C64">
      <w:pPr>
        <w:spacing w:before="0" w:after="120"/>
        <w:ind w:firstLine="567"/>
        <w:rPr>
          <w:shd w:val="clear" w:color="auto" w:fill="FFFFFF"/>
        </w:rPr>
      </w:pPr>
      <w:r w:rsidRPr="002D0136">
        <w:t xml:space="preserve">6. Внесення </w:t>
      </w:r>
      <w:r w:rsidR="0056114D" w:rsidRPr="002D0136">
        <w:t xml:space="preserve">хімічної речовини до </w:t>
      </w:r>
      <w:r w:rsidR="005C291D">
        <w:t>п</w:t>
      </w:r>
      <w:r w:rsidRPr="002D0136">
        <w:t xml:space="preserve">ереліку може </w:t>
      </w:r>
      <w:proofErr w:type="spellStart"/>
      <w:r w:rsidRPr="002D0136">
        <w:t>здійснюватись</w:t>
      </w:r>
      <w:proofErr w:type="spellEnd"/>
      <w:r w:rsidR="0056114D" w:rsidRPr="002D0136">
        <w:t xml:space="preserve"> також</w:t>
      </w:r>
      <w:r w:rsidRPr="002D0136">
        <w:t xml:space="preserve"> за поданням </w:t>
      </w:r>
      <w:r w:rsidR="00992129">
        <w:t>у</w:t>
      </w:r>
      <w:r w:rsidRPr="002D0136">
        <w:t>повноважен</w:t>
      </w:r>
      <w:r w:rsidR="0056114D" w:rsidRPr="002D0136">
        <w:t xml:space="preserve">их органів у разі обґрунтованого </w:t>
      </w:r>
      <w:r w:rsidR="006C091A" w:rsidRPr="002D0136">
        <w:t xml:space="preserve">підтвердження щодо  </w:t>
      </w:r>
      <w:r w:rsidR="006C091A" w:rsidRPr="002D0136">
        <w:rPr>
          <w:shd w:val="clear" w:color="auto" w:fill="FFFFFF"/>
        </w:rPr>
        <w:t>потенційної можливості її</w:t>
      </w:r>
      <w:r w:rsidR="0056114D" w:rsidRPr="002D0136">
        <w:rPr>
          <w:shd w:val="clear" w:color="auto" w:fill="FFFFFF"/>
        </w:rPr>
        <w:t xml:space="preserve"> використання для усвідомленого завдання шкоди здоров’ю людини та/або довкіллю, здійснення терористичного акту або для створення хімічної, вогнепальної, запалювальної, ракетної та самохідної підводної вибухової зброї</w:t>
      </w:r>
      <w:r w:rsidR="006C091A" w:rsidRPr="002D0136">
        <w:rPr>
          <w:shd w:val="clear" w:color="auto" w:fill="FFFFFF"/>
        </w:rPr>
        <w:t>.</w:t>
      </w:r>
    </w:p>
    <w:p w:rsidR="00F53530" w:rsidRDefault="00590728" w:rsidP="00F53530">
      <w:pPr>
        <w:spacing w:before="0" w:after="120"/>
        <w:ind w:firstLine="567"/>
      </w:pPr>
      <w:r w:rsidRPr="002D0136">
        <w:t xml:space="preserve">7. </w:t>
      </w:r>
      <w:r w:rsidR="00F53530" w:rsidRPr="002D0136">
        <w:t xml:space="preserve">Запис у </w:t>
      </w:r>
      <w:r w:rsidR="005C291D">
        <w:t>п</w:t>
      </w:r>
      <w:r w:rsidR="00F53530" w:rsidRPr="002D0136">
        <w:t>ерелік</w:t>
      </w:r>
      <w:r w:rsidRPr="002D0136">
        <w:t>у</w:t>
      </w:r>
      <w:r w:rsidR="00F53530" w:rsidRPr="002D0136">
        <w:t xml:space="preserve"> містить</w:t>
      </w:r>
      <w:r w:rsidRPr="002D0136">
        <w:t xml:space="preserve"> такі відомості</w:t>
      </w:r>
      <w:r w:rsidR="00F53530" w:rsidRPr="002D0136">
        <w:t>:</w:t>
      </w:r>
    </w:p>
    <w:p w:rsidR="00F53530" w:rsidRPr="00373402" w:rsidRDefault="00F53530" w:rsidP="00F53530">
      <w:pPr>
        <w:spacing w:before="0" w:after="120"/>
        <w:ind w:firstLine="567"/>
      </w:pPr>
      <w:r>
        <w:t>1) н</w:t>
      </w:r>
      <w:r w:rsidRPr="002B14F3">
        <w:t>азв</w:t>
      </w:r>
      <w:r>
        <w:t>у</w:t>
      </w:r>
      <w:r w:rsidRPr="002B14F3">
        <w:t xml:space="preserve"> хімічної речовини відповідно до номенклатури ІЮПАК (IUPAC), або інш</w:t>
      </w:r>
      <w:r>
        <w:t>у</w:t>
      </w:r>
      <w:r w:rsidRPr="002B14F3">
        <w:t xml:space="preserve"> хімічн</w:t>
      </w:r>
      <w:r>
        <w:t>у</w:t>
      </w:r>
      <w:r w:rsidRPr="002B14F3">
        <w:t xml:space="preserve"> міжнародн</w:t>
      </w:r>
      <w:r>
        <w:t>у</w:t>
      </w:r>
      <w:r w:rsidRPr="002B14F3">
        <w:t xml:space="preserve"> визнан</w:t>
      </w:r>
      <w:r>
        <w:t>у</w:t>
      </w:r>
      <w:r w:rsidRPr="002B14F3">
        <w:t xml:space="preserve"> назв</w:t>
      </w:r>
      <w:r>
        <w:t>у</w:t>
      </w:r>
      <w:r w:rsidRPr="00373402">
        <w:t>;</w:t>
      </w:r>
    </w:p>
    <w:p w:rsidR="00F53530" w:rsidRDefault="00F53530" w:rsidP="00F53530">
      <w:pPr>
        <w:spacing w:before="0" w:after="120"/>
        <w:ind w:firstLine="567"/>
      </w:pPr>
      <w:r>
        <w:t xml:space="preserve">2) всі відомі </w:t>
      </w:r>
      <w:r w:rsidRPr="002B14F3">
        <w:t>тривіальн</w:t>
      </w:r>
      <w:r>
        <w:t>і</w:t>
      </w:r>
      <w:r w:rsidRPr="002B14F3">
        <w:t xml:space="preserve"> назв</w:t>
      </w:r>
      <w:r>
        <w:t>и</w:t>
      </w:r>
      <w:r w:rsidRPr="002B14F3">
        <w:t>, торгові назви, абревіатур</w:t>
      </w:r>
      <w:r>
        <w:t xml:space="preserve">и назв </w:t>
      </w:r>
      <w:r w:rsidRPr="002B14F3">
        <w:t>хімічної речовини</w:t>
      </w:r>
      <w:r>
        <w:t>;</w:t>
      </w:r>
    </w:p>
    <w:p w:rsidR="00F53530" w:rsidRDefault="00F53530" w:rsidP="00F53530">
      <w:pPr>
        <w:spacing w:before="0" w:after="120"/>
        <w:ind w:firstLine="567"/>
      </w:pPr>
      <w:r>
        <w:t xml:space="preserve">3) номер </w:t>
      </w:r>
      <w:r w:rsidRPr="002B14F3">
        <w:t>CAS (якщо існує)</w:t>
      </w:r>
      <w:r>
        <w:t>;</w:t>
      </w:r>
    </w:p>
    <w:p w:rsidR="00F53530" w:rsidRDefault="00F53530" w:rsidP="00F53530">
      <w:pPr>
        <w:spacing w:before="0" w:after="120"/>
        <w:ind w:firstLine="567"/>
      </w:pPr>
      <w:r>
        <w:t xml:space="preserve">4) ліміт обсягу </w:t>
      </w:r>
      <w:r w:rsidRPr="002B14F3">
        <w:t>розміщення</w:t>
      </w:r>
      <w:r>
        <w:t xml:space="preserve"> хімічної речовини</w:t>
      </w:r>
      <w:r w:rsidRPr="002B14F3">
        <w:t xml:space="preserve"> на будь-якому об’єкті, перевищення як</w:t>
      </w:r>
      <w:r>
        <w:t xml:space="preserve">ого </w:t>
      </w:r>
      <w:r w:rsidRPr="002B14F3">
        <w:t>спричиняє визначення об’єкт</w:t>
      </w:r>
      <w:r>
        <w:t>у</w:t>
      </w:r>
      <w:r w:rsidRPr="002B14F3">
        <w:t xml:space="preserve"> як цільов</w:t>
      </w:r>
      <w:r>
        <w:t>ого;</w:t>
      </w:r>
    </w:p>
    <w:p w:rsidR="00F53530" w:rsidRDefault="00F53530" w:rsidP="00F53530">
      <w:pPr>
        <w:spacing w:before="0" w:after="0"/>
        <w:ind w:firstLine="567"/>
      </w:pPr>
      <w:r>
        <w:lastRenderedPageBreak/>
        <w:t>5) зазначення належності хімічної речовини до однієї або декількох наступних категорій подвійного використання:</w:t>
      </w:r>
    </w:p>
    <w:p w:rsidR="00F53530" w:rsidRDefault="00F53530" w:rsidP="00F53530">
      <w:pPr>
        <w:spacing w:before="0" w:after="0"/>
        <w:ind w:firstLine="567"/>
      </w:pPr>
      <w:r>
        <w:t>токсична;</w:t>
      </w:r>
    </w:p>
    <w:p w:rsidR="00F53530" w:rsidRDefault="00F53530" w:rsidP="00F53530">
      <w:pPr>
        <w:spacing w:before="0" w:after="0"/>
        <w:ind w:firstLine="567"/>
      </w:pPr>
      <w:r>
        <w:t>вибухівка/прекурсор вибухівки;</w:t>
      </w:r>
    </w:p>
    <w:p w:rsidR="00F53530" w:rsidRDefault="00F53530" w:rsidP="00F53530">
      <w:pPr>
        <w:spacing w:before="0" w:after="0"/>
        <w:ind w:firstLine="567"/>
      </w:pPr>
      <w:r>
        <w:t>хімічна зброя/прекурсор хімічної зброї;</w:t>
      </w:r>
    </w:p>
    <w:p w:rsidR="00F53530" w:rsidRDefault="00F53530" w:rsidP="00F53530">
      <w:pPr>
        <w:spacing w:before="0" w:after="0"/>
        <w:ind w:firstLine="567"/>
      </w:pPr>
      <w:r>
        <w:t>компонент/прекурсор зброї масового знищення;</w:t>
      </w:r>
    </w:p>
    <w:p w:rsidR="00F53530" w:rsidRDefault="00F53530" w:rsidP="00F53530">
      <w:pPr>
        <w:spacing w:before="0" w:after="0"/>
        <w:ind w:firstLine="567"/>
      </w:pPr>
      <w:r>
        <w:t>можливість вчинення диверсій;</w:t>
      </w:r>
    </w:p>
    <w:p w:rsidR="00F53530" w:rsidRDefault="00F53530" w:rsidP="00F53530">
      <w:pPr>
        <w:spacing w:before="0" w:after="120"/>
        <w:ind w:firstLine="567"/>
      </w:pPr>
      <w:r w:rsidRPr="00CA3154">
        <w:t xml:space="preserve">прекурсор </w:t>
      </w:r>
      <w:r>
        <w:t xml:space="preserve">іншої неконвенціональної </w:t>
      </w:r>
      <w:r w:rsidRPr="00CA3154">
        <w:t>зброї</w:t>
      </w:r>
      <w:r>
        <w:t>.</w:t>
      </w:r>
    </w:p>
    <w:p w:rsidR="00F53530" w:rsidRDefault="00EA6E38" w:rsidP="005F1D4E">
      <w:pPr>
        <w:spacing w:before="0" w:after="120"/>
        <w:ind w:firstLine="567"/>
        <w:contextualSpacing/>
        <w:jc w:val="center"/>
      </w:pPr>
      <w:r>
        <w:t>_______________</w:t>
      </w:r>
      <w:r w:rsidR="005F1D4E">
        <w:t>_____________________</w:t>
      </w:r>
    </w:p>
    <w:p w:rsidR="00070C09" w:rsidRPr="00590728" w:rsidRDefault="00070C09" w:rsidP="00444EC9">
      <w:pPr>
        <w:spacing w:before="0" w:after="120"/>
        <w:ind w:firstLine="567"/>
        <w:contextualSpacing/>
        <w:rPr>
          <w:strike/>
        </w:rPr>
      </w:pPr>
    </w:p>
    <w:sectPr w:rsidR="00070C09" w:rsidRPr="00590728" w:rsidSect="002D0136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5" w:rsidRDefault="00E409E5" w:rsidP="008367EC">
      <w:pPr>
        <w:spacing w:before="0" w:after="0"/>
      </w:pPr>
      <w:r>
        <w:separator/>
      </w:r>
    </w:p>
  </w:endnote>
  <w:endnote w:type="continuationSeparator" w:id="0">
    <w:p w:rsidR="00E409E5" w:rsidRDefault="00E409E5" w:rsidP="008367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5" w:rsidRDefault="00E409E5" w:rsidP="008367EC">
      <w:pPr>
        <w:spacing w:before="0" w:after="0"/>
      </w:pPr>
      <w:r>
        <w:separator/>
      </w:r>
    </w:p>
  </w:footnote>
  <w:footnote w:type="continuationSeparator" w:id="0">
    <w:p w:rsidR="00E409E5" w:rsidRDefault="00E409E5" w:rsidP="008367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24903"/>
      <w:docPartObj>
        <w:docPartGallery w:val="Page Numbers (Top of Page)"/>
        <w:docPartUnique/>
      </w:docPartObj>
    </w:sdtPr>
    <w:sdtEndPr/>
    <w:sdtContent>
      <w:p w:rsidR="008367EC" w:rsidRDefault="00D408E0">
        <w:pPr>
          <w:pStyle w:val="a9"/>
          <w:jc w:val="center"/>
        </w:pPr>
        <w:r>
          <w:fldChar w:fldCharType="begin"/>
        </w:r>
        <w:r w:rsidR="008367EC">
          <w:instrText>PAGE   \* MERGEFORMAT</w:instrText>
        </w:r>
        <w:r>
          <w:fldChar w:fldCharType="separate"/>
        </w:r>
        <w:r w:rsidR="00B8470A" w:rsidRPr="00B8470A">
          <w:rPr>
            <w:noProof/>
            <w:lang w:val="ru-RU"/>
          </w:rPr>
          <w:t>2</w:t>
        </w:r>
        <w:r>
          <w:fldChar w:fldCharType="end"/>
        </w:r>
      </w:p>
    </w:sdtContent>
  </w:sdt>
  <w:p w:rsidR="008367EC" w:rsidRDefault="00836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BC0"/>
    <w:multiLevelType w:val="hybridMultilevel"/>
    <w:tmpl w:val="74FEC1E2"/>
    <w:lvl w:ilvl="0" w:tplc="DBFE37D6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B4"/>
    <w:rsid w:val="00042365"/>
    <w:rsid w:val="00070C09"/>
    <w:rsid w:val="00074C64"/>
    <w:rsid w:val="000C0FAF"/>
    <w:rsid w:val="000D6F46"/>
    <w:rsid w:val="000F10F1"/>
    <w:rsid w:val="00106C3A"/>
    <w:rsid w:val="00125495"/>
    <w:rsid w:val="00146E33"/>
    <w:rsid w:val="001A2431"/>
    <w:rsid w:val="001C31BF"/>
    <w:rsid w:val="001C4ADB"/>
    <w:rsid w:val="001E6286"/>
    <w:rsid w:val="001F2C99"/>
    <w:rsid w:val="00210C0E"/>
    <w:rsid w:val="00220B13"/>
    <w:rsid w:val="00260703"/>
    <w:rsid w:val="00265D32"/>
    <w:rsid w:val="002A1786"/>
    <w:rsid w:val="002A28F1"/>
    <w:rsid w:val="002B14F3"/>
    <w:rsid w:val="002D0136"/>
    <w:rsid w:val="002D1288"/>
    <w:rsid w:val="002F15F4"/>
    <w:rsid w:val="00367BFF"/>
    <w:rsid w:val="00373402"/>
    <w:rsid w:val="0038289B"/>
    <w:rsid w:val="003F2BBB"/>
    <w:rsid w:val="00401FA4"/>
    <w:rsid w:val="00444EC9"/>
    <w:rsid w:val="0056114D"/>
    <w:rsid w:val="0058405F"/>
    <w:rsid w:val="00590728"/>
    <w:rsid w:val="005B7D80"/>
    <w:rsid w:val="005C291D"/>
    <w:rsid w:val="005F1D4E"/>
    <w:rsid w:val="00660D54"/>
    <w:rsid w:val="006C091A"/>
    <w:rsid w:val="00793902"/>
    <w:rsid w:val="007A1559"/>
    <w:rsid w:val="007D2788"/>
    <w:rsid w:val="008367EC"/>
    <w:rsid w:val="00904FDB"/>
    <w:rsid w:val="00920632"/>
    <w:rsid w:val="00960BB0"/>
    <w:rsid w:val="00983D4B"/>
    <w:rsid w:val="00992129"/>
    <w:rsid w:val="009B280F"/>
    <w:rsid w:val="009F607C"/>
    <w:rsid w:val="00A64818"/>
    <w:rsid w:val="00A92E7F"/>
    <w:rsid w:val="00A94AE4"/>
    <w:rsid w:val="00AA6738"/>
    <w:rsid w:val="00AC3153"/>
    <w:rsid w:val="00B228E5"/>
    <w:rsid w:val="00B71490"/>
    <w:rsid w:val="00B770BD"/>
    <w:rsid w:val="00B8470A"/>
    <w:rsid w:val="00BF6DD9"/>
    <w:rsid w:val="00C527DA"/>
    <w:rsid w:val="00C531B7"/>
    <w:rsid w:val="00C829B4"/>
    <w:rsid w:val="00C85FDA"/>
    <w:rsid w:val="00CA3154"/>
    <w:rsid w:val="00CB16AB"/>
    <w:rsid w:val="00D05503"/>
    <w:rsid w:val="00D408E0"/>
    <w:rsid w:val="00DE1183"/>
    <w:rsid w:val="00E409E5"/>
    <w:rsid w:val="00EA6E38"/>
    <w:rsid w:val="00F53530"/>
    <w:rsid w:val="00F712D3"/>
    <w:rsid w:val="00F93EF9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0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9B4"/>
    <w:pPr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9B4"/>
    <w:rPr>
      <w:rFonts w:ascii="Times New Roman" w:hAnsi="Times New Roman" w:cs="Times New Roman"/>
      <w:b/>
      <w:bCs/>
      <w:i/>
      <w:sz w:val="28"/>
      <w:szCs w:val="28"/>
      <w:lang w:val="uk-UA"/>
    </w:rPr>
  </w:style>
  <w:style w:type="character" w:customStyle="1" w:styleId="rvts9">
    <w:name w:val="rvts9"/>
    <w:basedOn w:val="a0"/>
    <w:rsid w:val="00C829B4"/>
  </w:style>
  <w:style w:type="paragraph" w:styleId="a3">
    <w:name w:val="List Paragraph"/>
    <w:basedOn w:val="a"/>
    <w:uiPriority w:val="34"/>
    <w:qFormat/>
    <w:rsid w:val="00983D4B"/>
    <w:pPr>
      <w:ind w:left="720"/>
      <w:contextualSpacing/>
    </w:pPr>
  </w:style>
  <w:style w:type="paragraph" w:customStyle="1" w:styleId="a4">
    <w:name w:val="додаток абзац"/>
    <w:basedOn w:val="a"/>
    <w:link w:val="a5"/>
    <w:qFormat/>
    <w:rsid w:val="00F712D3"/>
    <w:pPr>
      <w:ind w:left="284" w:firstLine="0"/>
    </w:pPr>
  </w:style>
  <w:style w:type="character" w:customStyle="1" w:styleId="a5">
    <w:name w:val="додаток абзац Знак"/>
    <w:basedOn w:val="a0"/>
    <w:link w:val="a4"/>
    <w:rsid w:val="00F712D3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E11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183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semiHidden/>
    <w:unhideWhenUsed/>
    <w:rsid w:val="00367BF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67EC"/>
    <w:pPr>
      <w:tabs>
        <w:tab w:val="center" w:pos="4819"/>
        <w:tab w:val="right" w:pos="9639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8367EC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367EC"/>
    <w:pPr>
      <w:tabs>
        <w:tab w:val="center" w:pos="4819"/>
        <w:tab w:val="right" w:pos="9639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8367E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Yamumushi</dc:creator>
  <cp:lastModifiedBy>ЖОВНІР Вікторія Володимирівна</cp:lastModifiedBy>
  <cp:revision>11</cp:revision>
  <cp:lastPrinted>2024-03-06T12:31:00Z</cp:lastPrinted>
  <dcterms:created xsi:type="dcterms:W3CDTF">2024-03-06T10:25:00Z</dcterms:created>
  <dcterms:modified xsi:type="dcterms:W3CDTF">2024-03-07T10:38:00Z</dcterms:modified>
</cp:coreProperties>
</file>