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0929" w14:textId="77777777" w:rsidR="00040FE5" w:rsidRDefault="00040FE5">
      <w:pPr>
        <w:jc w:val="center"/>
      </w:pPr>
    </w:p>
    <w:p w14:paraId="789525C2" w14:textId="77777777" w:rsidR="00040FE5" w:rsidRDefault="00000000">
      <w:pPr>
        <w:jc w:val="center"/>
        <w:rPr>
          <w:b/>
          <w:color w:val="000000"/>
        </w:rPr>
      </w:pPr>
      <w:r>
        <w:t xml:space="preserve"> </w:t>
      </w:r>
      <w:r>
        <w:rPr>
          <w:b/>
        </w:rPr>
        <w:t>Expert, Green Recovery (Category 2)</w:t>
      </w:r>
    </w:p>
    <w:p w14:paraId="0CD688B4" w14:textId="77777777" w:rsidR="00040FE5" w:rsidRDefault="00000000">
      <w:pPr>
        <w:spacing w:after="0" w:line="240" w:lineRule="auto"/>
        <w:jc w:val="both"/>
        <w:rPr>
          <w:b/>
          <w:color w:val="000000"/>
        </w:rPr>
      </w:pPr>
      <w:r>
        <w:rPr>
          <w:b/>
          <w:color w:val="000000"/>
        </w:rPr>
        <w:t>1. Objective(s) and Linkages to Reforms</w:t>
      </w:r>
    </w:p>
    <w:p w14:paraId="1D471338" w14:textId="77777777" w:rsidR="00040FE5" w:rsidRDefault="00000000">
      <w:pPr>
        <w:pBdr>
          <w:top w:val="nil"/>
          <w:left w:val="nil"/>
          <w:bottom w:val="nil"/>
          <w:right w:val="nil"/>
          <w:between w:val="nil"/>
        </w:pBdr>
        <w:tabs>
          <w:tab w:val="left" w:pos="1985"/>
        </w:tabs>
        <w:spacing w:after="0" w:line="240" w:lineRule="auto"/>
        <w:jc w:val="both"/>
        <w:rPr>
          <w:color w:val="000000"/>
        </w:rPr>
      </w:pPr>
      <w:r>
        <w:rPr>
          <w:color w:val="000000"/>
        </w:rPr>
        <w:t xml:space="preserve">The Recovery and Reform Support Team (RST) at the Ministry of Environmental Protection and Natural Resources of Ukraine (MEPNR) is composed of a group of Ukrainian professionals (non-civil servants) funded on a temporary basis by international donors to provide targeted technical support and assist the Ministry in the design and implementation of recovery and reform priorities. The RST will assist in filling the capacity gaps in the design and implementation of priority recovery and reform strategies and programmes, while strengthening links and partnerships between the </w:t>
      </w:r>
      <w:r>
        <w:t>MEPNR</w:t>
      </w:r>
      <w:r>
        <w:rPr>
          <w:color w:val="000000"/>
        </w:rPr>
        <w:t>’s priorities and relevant donor support.</w:t>
      </w:r>
    </w:p>
    <w:p w14:paraId="4AB91D2A" w14:textId="77777777" w:rsidR="00040FE5" w:rsidRDefault="00040FE5">
      <w:pPr>
        <w:pBdr>
          <w:top w:val="nil"/>
          <w:left w:val="nil"/>
          <w:bottom w:val="nil"/>
          <w:right w:val="nil"/>
          <w:between w:val="nil"/>
        </w:pBdr>
        <w:tabs>
          <w:tab w:val="left" w:pos="1985"/>
        </w:tabs>
        <w:spacing w:after="0" w:line="240" w:lineRule="auto"/>
        <w:jc w:val="both"/>
      </w:pPr>
    </w:p>
    <w:p w14:paraId="3AA0BB96" w14:textId="77777777" w:rsidR="00040FE5" w:rsidRDefault="00000000">
      <w:pPr>
        <w:pBdr>
          <w:top w:val="nil"/>
          <w:left w:val="nil"/>
          <w:bottom w:val="nil"/>
          <w:right w:val="nil"/>
          <w:between w:val="nil"/>
        </w:pBdr>
        <w:tabs>
          <w:tab w:val="left" w:pos="1985"/>
        </w:tabs>
        <w:spacing w:after="0" w:line="240" w:lineRule="auto"/>
        <w:jc w:val="both"/>
      </w:pPr>
      <w:r>
        <w:t xml:space="preserve">Ukraine’s natural environment has suffered significant damage </w:t>
      </w:r>
      <w:proofErr w:type="gramStart"/>
      <w:r>
        <w:t>as a result of</w:t>
      </w:r>
      <w:proofErr w:type="gramEnd"/>
      <w:r>
        <w:t xml:space="preserve"> the ongoing war. The Expert, Green Recovery (Category 2) will support environmental recovery processes, ensure that green principles are incorporated into Ukraine's recovery plans and their implementation, and support expedited alignment with the European Green Deal.</w:t>
      </w:r>
    </w:p>
    <w:p w14:paraId="43492F7A" w14:textId="77777777" w:rsidR="00040FE5" w:rsidRDefault="00040FE5">
      <w:pPr>
        <w:pBdr>
          <w:top w:val="nil"/>
          <w:left w:val="nil"/>
          <w:bottom w:val="nil"/>
          <w:right w:val="nil"/>
          <w:between w:val="nil"/>
        </w:pBdr>
        <w:tabs>
          <w:tab w:val="left" w:pos="1985"/>
        </w:tabs>
        <w:spacing w:after="0" w:line="240" w:lineRule="auto"/>
        <w:jc w:val="both"/>
      </w:pPr>
    </w:p>
    <w:p w14:paraId="69AF27D2" w14:textId="77777777" w:rsidR="00040FE5" w:rsidRDefault="00000000">
      <w:pPr>
        <w:spacing w:after="0" w:line="240" w:lineRule="auto"/>
        <w:jc w:val="both"/>
        <w:rPr>
          <w:b/>
          <w:color w:val="000000"/>
        </w:rPr>
      </w:pPr>
      <w:r>
        <w:rPr>
          <w:b/>
          <w:color w:val="000000"/>
        </w:rPr>
        <w:t>2. Position and Reporting Line</w:t>
      </w:r>
    </w:p>
    <w:p w14:paraId="7F978E95" w14:textId="77777777" w:rsidR="00040FE5" w:rsidRDefault="00040FE5">
      <w:pPr>
        <w:pBdr>
          <w:top w:val="nil"/>
          <w:left w:val="nil"/>
          <w:bottom w:val="nil"/>
          <w:right w:val="nil"/>
          <w:between w:val="nil"/>
        </w:pBdr>
        <w:spacing w:after="0" w:line="240" w:lineRule="auto"/>
        <w:ind w:left="360"/>
        <w:jc w:val="both"/>
        <w:rPr>
          <w:b/>
          <w:color w:val="000000"/>
        </w:rPr>
      </w:pPr>
    </w:p>
    <w:p w14:paraId="7445EE86" w14:textId="77777777" w:rsidR="00040FE5" w:rsidRDefault="00000000">
      <w:pPr>
        <w:spacing w:after="0" w:line="240" w:lineRule="auto"/>
        <w:jc w:val="both"/>
      </w:pPr>
      <w:r>
        <w:t>The Expert, Green Recovery (Category 2) will work closely with the MEPNR and other RST experts to support environmental recovery processes in Ukraine.</w:t>
      </w:r>
    </w:p>
    <w:p w14:paraId="39DC8962" w14:textId="77777777" w:rsidR="00040FE5" w:rsidRDefault="00040FE5">
      <w:pPr>
        <w:spacing w:after="0" w:line="240" w:lineRule="auto"/>
        <w:jc w:val="both"/>
        <w:rPr>
          <w:color w:val="000000"/>
        </w:rPr>
      </w:pPr>
    </w:p>
    <w:p w14:paraId="5C8F546F" w14:textId="77777777" w:rsidR="00040FE5" w:rsidRDefault="00000000">
      <w:pPr>
        <w:spacing w:after="0" w:line="240" w:lineRule="auto"/>
        <w:jc w:val="both"/>
        <w:rPr>
          <w:color w:val="000000"/>
        </w:rPr>
      </w:pPr>
      <w:r>
        <w:rPr>
          <w:color w:val="000000"/>
        </w:rPr>
        <w:t xml:space="preserve">The </w:t>
      </w:r>
      <w:r>
        <w:t>Expert will be subordinated to the RST Director.</w:t>
      </w:r>
    </w:p>
    <w:p w14:paraId="01A70C61" w14:textId="77777777" w:rsidR="00040FE5" w:rsidRDefault="00040FE5">
      <w:pPr>
        <w:spacing w:after="0" w:line="240" w:lineRule="auto"/>
        <w:jc w:val="both"/>
        <w:rPr>
          <w:b/>
          <w:color w:val="000000"/>
        </w:rPr>
      </w:pPr>
    </w:p>
    <w:p w14:paraId="0092A7DB" w14:textId="77777777" w:rsidR="00040FE5" w:rsidRDefault="00000000">
      <w:pPr>
        <w:spacing w:after="0" w:line="240" w:lineRule="auto"/>
        <w:jc w:val="both"/>
        <w:rPr>
          <w:b/>
          <w:color w:val="000000"/>
        </w:rPr>
      </w:pPr>
      <w:r>
        <w:rPr>
          <w:b/>
          <w:color w:val="000000"/>
        </w:rPr>
        <w:t>3. Duration and Proposed Timeframe</w:t>
      </w:r>
    </w:p>
    <w:p w14:paraId="153E1C08" w14:textId="77777777" w:rsidR="00040FE5" w:rsidRDefault="00040FE5">
      <w:pPr>
        <w:spacing w:after="0" w:line="240" w:lineRule="auto"/>
        <w:jc w:val="both"/>
        <w:rPr>
          <w:color w:val="000000"/>
        </w:rPr>
      </w:pPr>
    </w:p>
    <w:p w14:paraId="0AC628F9" w14:textId="77777777" w:rsidR="00040FE5" w:rsidRDefault="00000000">
      <w:pPr>
        <w:spacing w:after="0" w:line="240" w:lineRule="auto"/>
        <w:jc w:val="both"/>
        <w:rPr>
          <w:color w:val="000000"/>
        </w:rPr>
      </w:pPr>
      <w:bookmarkStart w:id="0" w:name="_heading=h.gjdgxs" w:colFirst="0" w:colLast="0"/>
      <w:bookmarkEnd w:id="0"/>
      <w:r>
        <w:t>The initial consultancy assignment is expected to start in April 2024 and has an estimated duration of 17 months. The assignment may be extended subject to the availability of funding, consultant’s performance, and the specific needs of the RST.</w:t>
      </w:r>
    </w:p>
    <w:p w14:paraId="6F1E9D47" w14:textId="77777777" w:rsidR="00040FE5" w:rsidRDefault="00040FE5">
      <w:pPr>
        <w:shd w:val="clear" w:color="auto" w:fill="FFFFFF"/>
        <w:spacing w:after="0" w:line="240" w:lineRule="auto"/>
        <w:jc w:val="both"/>
        <w:rPr>
          <w:color w:val="000000"/>
        </w:rPr>
      </w:pPr>
    </w:p>
    <w:p w14:paraId="04849390" w14:textId="77777777" w:rsidR="00040FE5" w:rsidRDefault="00000000">
      <w:pPr>
        <w:shd w:val="clear" w:color="auto" w:fill="FFFFFF"/>
        <w:spacing w:after="0" w:line="240" w:lineRule="auto"/>
        <w:jc w:val="both"/>
        <w:rPr>
          <w:b/>
          <w:color w:val="000000"/>
        </w:rPr>
      </w:pPr>
      <w:bookmarkStart w:id="1" w:name="_heading=h.30j0zll" w:colFirst="0" w:colLast="0"/>
      <w:bookmarkEnd w:id="1"/>
      <w:r>
        <w:rPr>
          <w:b/>
          <w:color w:val="000000"/>
        </w:rPr>
        <w:t xml:space="preserve">4. </w:t>
      </w:r>
      <w:r>
        <w:rPr>
          <w:b/>
        </w:rPr>
        <w:t>Main Duties and Responsibilities</w:t>
      </w:r>
    </w:p>
    <w:p w14:paraId="6D1DA040" w14:textId="77777777" w:rsidR="00040FE5" w:rsidRDefault="00000000">
      <w:pPr>
        <w:numPr>
          <w:ilvl w:val="0"/>
          <w:numId w:val="3"/>
        </w:numPr>
        <w:shd w:val="clear" w:color="auto" w:fill="FFFFFF"/>
        <w:tabs>
          <w:tab w:val="left" w:pos="1985"/>
        </w:tabs>
        <w:spacing w:after="0" w:line="240" w:lineRule="auto"/>
        <w:jc w:val="both"/>
      </w:pPr>
      <w:r>
        <w:t xml:space="preserve">Development and support in the implementation of reform components that are necessary for green recovery and green transition, i.e. support in the development/implementation of the Ukraine Facility within the authority of the MEPNR, facilitate the inclusion of green criteria in recovery plans, recommendations for restoration of territories and ecosystems, </w:t>
      </w:r>
      <w:proofErr w:type="gramStart"/>
      <w:r>
        <w:t>etc;</w:t>
      </w:r>
      <w:proofErr w:type="gramEnd"/>
    </w:p>
    <w:p w14:paraId="2499A625" w14:textId="77777777" w:rsidR="00040FE5" w:rsidRDefault="00000000">
      <w:pPr>
        <w:numPr>
          <w:ilvl w:val="0"/>
          <w:numId w:val="3"/>
        </w:numPr>
        <w:shd w:val="clear" w:color="auto" w:fill="FFFFFF"/>
        <w:tabs>
          <w:tab w:val="left" w:pos="1985"/>
        </w:tabs>
        <w:spacing w:after="0" w:line="240" w:lineRule="auto"/>
        <w:jc w:val="both"/>
      </w:pPr>
      <w:r>
        <w:t xml:space="preserve">Development of methodological recommendations for including the climate component in comprehensive recovery programmes and other state and/or local planning </w:t>
      </w:r>
      <w:proofErr w:type="gramStart"/>
      <w:r>
        <w:t>documents;</w:t>
      </w:r>
      <w:proofErr w:type="gramEnd"/>
    </w:p>
    <w:p w14:paraId="3587ACB0" w14:textId="77777777" w:rsidR="00040FE5" w:rsidRDefault="00000000">
      <w:pPr>
        <w:numPr>
          <w:ilvl w:val="0"/>
          <w:numId w:val="3"/>
        </w:numPr>
        <w:shd w:val="clear" w:color="auto" w:fill="FFFFFF"/>
        <w:tabs>
          <w:tab w:val="left" w:pos="1985"/>
        </w:tabs>
        <w:spacing w:after="0" w:line="240" w:lineRule="auto"/>
        <w:jc w:val="both"/>
      </w:pPr>
      <w:r>
        <w:t xml:space="preserve">Consulting, analytical and expert support to the Ministry to ensure environmental recovery documents (strategies, plans, components, legal acts, etc.) and activities contribute to the EU accession process and comply with the fundamentals of European Green </w:t>
      </w:r>
      <w:proofErr w:type="gramStart"/>
      <w:r>
        <w:t>Deal;</w:t>
      </w:r>
      <w:proofErr w:type="gramEnd"/>
      <w:r>
        <w:t xml:space="preserve"> </w:t>
      </w:r>
    </w:p>
    <w:p w14:paraId="30F8AE36" w14:textId="77777777" w:rsidR="00040FE5" w:rsidRDefault="00000000">
      <w:pPr>
        <w:numPr>
          <w:ilvl w:val="0"/>
          <w:numId w:val="3"/>
        </w:numPr>
        <w:shd w:val="clear" w:color="auto" w:fill="FFFFFF"/>
        <w:tabs>
          <w:tab w:val="left" w:pos="1985"/>
        </w:tabs>
        <w:spacing w:after="0" w:line="240" w:lineRule="auto"/>
        <w:jc w:val="both"/>
      </w:pPr>
      <w:r>
        <w:t xml:space="preserve">Provide support to stakeholder engagement activities (e.g. public events, workshops, trainings etc) to facilitate and </w:t>
      </w:r>
      <w:proofErr w:type="gramStart"/>
      <w:r>
        <w:t>advance  discussions</w:t>
      </w:r>
      <w:proofErr w:type="gramEnd"/>
      <w:r>
        <w:t xml:space="preserve"> on key topics and policy proposals, and raise awareness of the importance, objectives, challenges, policies related to green recovery/green transition;</w:t>
      </w:r>
    </w:p>
    <w:p w14:paraId="4F401207" w14:textId="77777777" w:rsidR="00040FE5" w:rsidRDefault="00000000">
      <w:pPr>
        <w:numPr>
          <w:ilvl w:val="0"/>
          <w:numId w:val="3"/>
        </w:numPr>
        <w:shd w:val="clear" w:color="auto" w:fill="FFFFFF"/>
        <w:tabs>
          <w:tab w:val="left" w:pos="1985"/>
        </w:tabs>
        <w:spacing w:after="0" w:line="240" w:lineRule="auto"/>
        <w:jc w:val="both"/>
      </w:pPr>
      <w:r>
        <w:t xml:space="preserve">Provide support to the Ministry in coordination of working groups related to green recovery and green </w:t>
      </w:r>
      <w:proofErr w:type="gramStart"/>
      <w:r>
        <w:t>transition;</w:t>
      </w:r>
      <w:proofErr w:type="gramEnd"/>
    </w:p>
    <w:p w14:paraId="68006A29" w14:textId="77777777" w:rsidR="00040FE5" w:rsidRDefault="00000000">
      <w:pPr>
        <w:numPr>
          <w:ilvl w:val="0"/>
          <w:numId w:val="3"/>
        </w:numPr>
        <w:shd w:val="clear" w:color="auto" w:fill="FFFFFF"/>
        <w:tabs>
          <w:tab w:val="left" w:pos="1985"/>
        </w:tabs>
        <w:spacing w:after="0" w:line="240" w:lineRule="auto"/>
        <w:jc w:val="both"/>
      </w:pPr>
      <w:r>
        <w:t xml:space="preserve">Preparation, systematisation and updating of the information regarding green recovery </w:t>
      </w:r>
      <w:proofErr w:type="gramStart"/>
      <w:r>
        <w:t>projects;</w:t>
      </w:r>
      <w:proofErr w:type="gramEnd"/>
    </w:p>
    <w:p w14:paraId="72F59C01" w14:textId="77777777" w:rsidR="00040FE5" w:rsidRDefault="00000000">
      <w:pPr>
        <w:numPr>
          <w:ilvl w:val="0"/>
          <w:numId w:val="3"/>
        </w:numPr>
        <w:shd w:val="clear" w:color="auto" w:fill="FFFFFF"/>
        <w:tabs>
          <w:tab w:val="left" w:pos="1985"/>
        </w:tabs>
        <w:spacing w:after="0" w:line="240" w:lineRule="auto"/>
        <w:jc w:val="both"/>
      </w:pPr>
      <w:r>
        <w:t xml:space="preserve">Preparation of timely and high-quality reports and updates on the progress of green recovery/green transition </w:t>
      </w:r>
      <w:proofErr w:type="gramStart"/>
      <w:r>
        <w:t>issues;</w:t>
      </w:r>
      <w:proofErr w:type="gramEnd"/>
    </w:p>
    <w:p w14:paraId="536ECEE5" w14:textId="77777777" w:rsidR="00040FE5" w:rsidRDefault="00000000">
      <w:pPr>
        <w:numPr>
          <w:ilvl w:val="0"/>
          <w:numId w:val="3"/>
        </w:numPr>
        <w:pBdr>
          <w:top w:val="nil"/>
          <w:left w:val="nil"/>
          <w:bottom w:val="nil"/>
          <w:right w:val="nil"/>
          <w:between w:val="nil"/>
        </w:pBdr>
        <w:shd w:val="clear" w:color="auto" w:fill="FFFFFF"/>
        <w:tabs>
          <w:tab w:val="left" w:pos="1985"/>
        </w:tabs>
        <w:spacing w:after="0" w:line="240" w:lineRule="auto"/>
        <w:ind w:left="709"/>
        <w:jc w:val="both"/>
      </w:pPr>
      <w:r>
        <w:t>Supporting the Ministry in the translation of recovery related documents</w:t>
      </w:r>
      <w:r>
        <w:rPr>
          <w:color w:val="000000"/>
        </w:rPr>
        <w:t>.</w:t>
      </w:r>
    </w:p>
    <w:p w14:paraId="5D03FCAF" w14:textId="77777777" w:rsidR="00040FE5" w:rsidRDefault="00040FE5">
      <w:pPr>
        <w:shd w:val="clear" w:color="auto" w:fill="FFFFFF"/>
        <w:spacing w:after="0" w:line="240" w:lineRule="auto"/>
        <w:jc w:val="both"/>
      </w:pPr>
    </w:p>
    <w:p w14:paraId="7D01A913" w14:textId="77777777" w:rsidR="00040FE5" w:rsidRDefault="00000000">
      <w:pPr>
        <w:shd w:val="clear" w:color="auto" w:fill="FFFFFF"/>
        <w:spacing w:after="0" w:line="240" w:lineRule="auto"/>
        <w:jc w:val="both"/>
        <w:rPr>
          <w:b/>
          <w:color w:val="000000"/>
        </w:rPr>
      </w:pPr>
      <w:r>
        <w:rPr>
          <w:b/>
          <w:color w:val="000000"/>
        </w:rPr>
        <w:t xml:space="preserve">5. Qualifications, </w:t>
      </w:r>
      <w:proofErr w:type="gramStart"/>
      <w:r>
        <w:rPr>
          <w:b/>
          <w:color w:val="000000"/>
        </w:rPr>
        <w:t>Skills</w:t>
      </w:r>
      <w:proofErr w:type="gramEnd"/>
      <w:r>
        <w:rPr>
          <w:b/>
          <w:color w:val="000000"/>
        </w:rPr>
        <w:t xml:space="preserve"> and Experience</w:t>
      </w:r>
    </w:p>
    <w:p w14:paraId="43C0467F" w14:textId="77777777" w:rsidR="00040FE5" w:rsidRDefault="00040FE5">
      <w:pPr>
        <w:shd w:val="clear" w:color="auto" w:fill="FFFFFF"/>
        <w:spacing w:after="0" w:line="240" w:lineRule="auto"/>
        <w:jc w:val="both"/>
        <w:rPr>
          <w:b/>
          <w:color w:val="000000"/>
        </w:rPr>
      </w:pPr>
    </w:p>
    <w:p w14:paraId="425D5512" w14:textId="77777777" w:rsidR="00040FE5" w:rsidRDefault="00000000">
      <w:pPr>
        <w:shd w:val="clear" w:color="auto" w:fill="FFFFFF"/>
        <w:spacing w:after="0" w:line="240" w:lineRule="auto"/>
        <w:jc w:val="both"/>
        <w:rPr>
          <w:color w:val="000000"/>
        </w:rPr>
      </w:pPr>
      <w:r>
        <w:rPr>
          <w:b/>
          <w:color w:val="000000"/>
        </w:rPr>
        <w:t xml:space="preserve">    5.1 </w:t>
      </w:r>
      <w:r>
        <w:rPr>
          <w:b/>
          <w:i/>
          <w:color w:val="000000"/>
        </w:rPr>
        <w:t>Qualifications and skills:</w:t>
      </w:r>
    </w:p>
    <w:p w14:paraId="119572B3" w14:textId="77777777" w:rsidR="00040FE5" w:rsidRDefault="00000000">
      <w:pPr>
        <w:numPr>
          <w:ilvl w:val="0"/>
          <w:numId w:val="1"/>
        </w:numPr>
        <w:shd w:val="clear" w:color="auto" w:fill="FFFFFF"/>
        <w:spacing w:after="0" w:line="240" w:lineRule="auto"/>
        <w:jc w:val="both"/>
      </w:pPr>
      <w:r>
        <w:rPr>
          <w:color w:val="000000"/>
        </w:rPr>
        <w:t xml:space="preserve">At least a </w:t>
      </w:r>
      <w:proofErr w:type="gramStart"/>
      <w:r>
        <w:rPr>
          <w:color w:val="000000"/>
        </w:rPr>
        <w:t xml:space="preserve">bachelor’s degree in </w:t>
      </w:r>
      <w:r>
        <w:t xml:space="preserve">Environmental Sciences / </w:t>
      </w:r>
      <w:r>
        <w:rPr>
          <w:color w:val="000000"/>
        </w:rPr>
        <w:t xml:space="preserve">Public </w:t>
      </w:r>
      <w:r>
        <w:t>A</w:t>
      </w:r>
      <w:r>
        <w:rPr>
          <w:color w:val="000000"/>
        </w:rPr>
        <w:t xml:space="preserve">dministration / Economics / </w:t>
      </w:r>
      <w:r>
        <w:t>Finance</w:t>
      </w:r>
      <w:r>
        <w:rPr>
          <w:color w:val="000000"/>
        </w:rPr>
        <w:t xml:space="preserve"> /</w:t>
      </w:r>
      <w:r>
        <w:t xml:space="preserve"> L</w:t>
      </w:r>
      <w:r>
        <w:rPr>
          <w:color w:val="000000"/>
        </w:rPr>
        <w:t>aw / International</w:t>
      </w:r>
      <w:proofErr w:type="gramEnd"/>
      <w:r>
        <w:rPr>
          <w:color w:val="000000"/>
        </w:rPr>
        <w:t xml:space="preserve"> Relations or another relevant field. Master’s degree </w:t>
      </w:r>
      <w:proofErr w:type="gramStart"/>
      <w:r>
        <w:rPr>
          <w:color w:val="000000"/>
        </w:rPr>
        <w:t>preferred;</w:t>
      </w:r>
      <w:proofErr w:type="gramEnd"/>
      <w:r>
        <w:rPr>
          <w:color w:val="000000"/>
        </w:rPr>
        <w:t xml:space="preserve"> </w:t>
      </w:r>
    </w:p>
    <w:p w14:paraId="2D5E0ABB" w14:textId="77777777" w:rsidR="00040FE5" w:rsidRDefault="00000000">
      <w:pPr>
        <w:numPr>
          <w:ilvl w:val="0"/>
          <w:numId w:val="1"/>
        </w:numPr>
        <w:spacing w:after="0" w:line="240" w:lineRule="auto"/>
        <w:jc w:val="both"/>
      </w:pPr>
      <w:r>
        <w:t xml:space="preserve">Excellent knowledge of Ukrainian, EU and relevant international legislation, conventions, standards pertaining to the environmental protection and </w:t>
      </w:r>
      <w:proofErr w:type="gramStart"/>
      <w:r>
        <w:t>management;</w:t>
      </w:r>
      <w:proofErr w:type="gramEnd"/>
    </w:p>
    <w:p w14:paraId="0BCE6946" w14:textId="77777777" w:rsidR="00040FE5" w:rsidRDefault="00000000">
      <w:pPr>
        <w:numPr>
          <w:ilvl w:val="0"/>
          <w:numId w:val="1"/>
        </w:numPr>
        <w:spacing w:after="0" w:line="240" w:lineRule="auto"/>
        <w:jc w:val="both"/>
      </w:pPr>
      <w:r>
        <w:rPr>
          <w:color w:val="000000"/>
        </w:rPr>
        <w:t xml:space="preserve">Experience of developing regulatory frameworks, standards, policy </w:t>
      </w:r>
      <w:proofErr w:type="gramStart"/>
      <w:r>
        <w:rPr>
          <w:color w:val="000000"/>
        </w:rPr>
        <w:t>papers;</w:t>
      </w:r>
      <w:proofErr w:type="gramEnd"/>
    </w:p>
    <w:p w14:paraId="08A964E5" w14:textId="77777777" w:rsidR="00040FE5" w:rsidRDefault="00000000">
      <w:pPr>
        <w:numPr>
          <w:ilvl w:val="0"/>
          <w:numId w:val="1"/>
        </w:numPr>
        <w:spacing w:after="0" w:line="240" w:lineRule="auto"/>
        <w:jc w:val="both"/>
      </w:pPr>
      <w:r>
        <w:rPr>
          <w:color w:val="000000"/>
        </w:rPr>
        <w:t xml:space="preserve">Experience of working </w:t>
      </w:r>
      <w:r>
        <w:t>in</w:t>
      </w:r>
      <w:r>
        <w:rPr>
          <w:color w:val="000000"/>
        </w:rPr>
        <w:t xml:space="preserve"> environment related projects and programmes, SDG, </w:t>
      </w:r>
      <w:r>
        <w:t xml:space="preserve">and/or </w:t>
      </w:r>
      <w:r>
        <w:rPr>
          <w:color w:val="000000"/>
        </w:rPr>
        <w:t xml:space="preserve">sustainable management </w:t>
      </w:r>
      <w:proofErr w:type="gramStart"/>
      <w:r>
        <w:rPr>
          <w:color w:val="000000"/>
        </w:rPr>
        <w:t>projects;</w:t>
      </w:r>
      <w:proofErr w:type="gramEnd"/>
    </w:p>
    <w:p w14:paraId="65905D16" w14:textId="77777777" w:rsidR="00040FE5" w:rsidRDefault="00000000">
      <w:pPr>
        <w:numPr>
          <w:ilvl w:val="0"/>
          <w:numId w:val="1"/>
        </w:numPr>
        <w:shd w:val="clear" w:color="auto" w:fill="FFFFFF"/>
        <w:spacing w:after="0" w:line="240" w:lineRule="auto"/>
        <w:jc w:val="both"/>
      </w:pPr>
      <w:r>
        <w:rPr>
          <w:color w:val="000000"/>
        </w:rPr>
        <w:t>PC literacy (advanced PowerPoint, Project, Excel, Word skills</w:t>
      </w:r>
      <w:proofErr w:type="gramStart"/>
      <w:r>
        <w:rPr>
          <w:color w:val="000000"/>
        </w:rPr>
        <w:t>);</w:t>
      </w:r>
      <w:proofErr w:type="gramEnd"/>
    </w:p>
    <w:p w14:paraId="6E500229" w14:textId="77777777" w:rsidR="00040FE5" w:rsidRDefault="00000000">
      <w:pPr>
        <w:numPr>
          <w:ilvl w:val="0"/>
          <w:numId w:val="1"/>
        </w:numPr>
        <w:shd w:val="clear" w:color="auto" w:fill="FFFFFF"/>
        <w:spacing w:after="0" w:line="240" w:lineRule="auto"/>
        <w:jc w:val="both"/>
      </w:pPr>
      <w:r>
        <w:t xml:space="preserve">Excellent communication, interpersonal and intercultural skills, capacity for assuming leadership and influencing others in a team environment, time management skills, ability to work under pressure and within short </w:t>
      </w:r>
      <w:proofErr w:type="gramStart"/>
      <w:r>
        <w:t>deadlines;</w:t>
      </w:r>
      <w:proofErr w:type="gramEnd"/>
    </w:p>
    <w:p w14:paraId="0E6FD1B0" w14:textId="77777777" w:rsidR="00040FE5" w:rsidRDefault="00000000">
      <w:pPr>
        <w:numPr>
          <w:ilvl w:val="0"/>
          <w:numId w:val="1"/>
        </w:numPr>
        <w:shd w:val="clear" w:color="auto" w:fill="FFFFFF"/>
        <w:spacing w:after="0" w:line="240" w:lineRule="auto"/>
        <w:jc w:val="both"/>
      </w:pPr>
      <w:r>
        <w:rPr>
          <w:color w:val="000000"/>
        </w:rPr>
        <w:t>Fluency in Ukrainian and English.</w:t>
      </w:r>
    </w:p>
    <w:p w14:paraId="72CC0AE7" w14:textId="77777777" w:rsidR="00040FE5" w:rsidRDefault="00040FE5">
      <w:pPr>
        <w:shd w:val="clear" w:color="auto" w:fill="FFFFFF"/>
        <w:spacing w:after="0" w:line="240" w:lineRule="auto"/>
        <w:ind w:left="1080"/>
        <w:jc w:val="both"/>
      </w:pPr>
    </w:p>
    <w:p w14:paraId="18CB2214" w14:textId="77777777" w:rsidR="00040FE5" w:rsidRDefault="00000000">
      <w:pPr>
        <w:pBdr>
          <w:top w:val="nil"/>
          <w:left w:val="nil"/>
          <w:bottom w:val="nil"/>
          <w:right w:val="nil"/>
          <w:between w:val="nil"/>
        </w:pBdr>
        <w:spacing w:after="0" w:line="240" w:lineRule="auto"/>
        <w:ind w:left="360" w:hanging="218"/>
        <w:jc w:val="both"/>
        <w:rPr>
          <w:color w:val="000000"/>
        </w:rPr>
      </w:pPr>
      <w:r>
        <w:rPr>
          <w:b/>
          <w:color w:val="000000"/>
        </w:rPr>
        <w:t xml:space="preserve"> 5.2</w:t>
      </w:r>
      <w:r>
        <w:rPr>
          <w:color w:val="000000"/>
        </w:rPr>
        <w:t xml:space="preserve"> </w:t>
      </w:r>
      <w:r>
        <w:rPr>
          <w:b/>
          <w:i/>
          <w:color w:val="000000"/>
        </w:rPr>
        <w:t>Professional experience:</w:t>
      </w:r>
    </w:p>
    <w:p w14:paraId="43E70ACB" w14:textId="77777777" w:rsidR="00040FE5" w:rsidRDefault="00000000">
      <w:pPr>
        <w:numPr>
          <w:ilvl w:val="0"/>
          <w:numId w:val="2"/>
        </w:numPr>
        <w:spacing w:after="0" w:line="240" w:lineRule="auto"/>
        <w:ind w:left="1133" w:hanging="425"/>
        <w:jc w:val="both"/>
      </w:pPr>
      <w:bookmarkStart w:id="2" w:name="_heading=h.1fob9te" w:colFirst="0" w:colLast="0"/>
      <w:bookmarkEnd w:id="2"/>
      <w:r>
        <w:rPr>
          <w:color w:val="000000"/>
        </w:rPr>
        <w:t xml:space="preserve">Minimum 5 years of general professional </w:t>
      </w:r>
      <w:proofErr w:type="gramStart"/>
      <w:r>
        <w:rPr>
          <w:color w:val="000000"/>
        </w:rPr>
        <w:t>experience;</w:t>
      </w:r>
      <w:proofErr w:type="gramEnd"/>
      <w:r>
        <w:rPr>
          <w:color w:val="000000"/>
        </w:rPr>
        <w:t xml:space="preserve"> </w:t>
      </w:r>
    </w:p>
    <w:p w14:paraId="1195EA10" w14:textId="77777777" w:rsidR="00040FE5" w:rsidRDefault="00000000">
      <w:pPr>
        <w:numPr>
          <w:ilvl w:val="0"/>
          <w:numId w:val="2"/>
        </w:numPr>
        <w:spacing w:after="0" w:line="240" w:lineRule="auto"/>
        <w:ind w:left="1133" w:hanging="425"/>
        <w:jc w:val="both"/>
      </w:pPr>
      <w:bookmarkStart w:id="3" w:name="_heading=h.3znysh7" w:colFirst="0" w:colLast="0"/>
      <w:bookmarkEnd w:id="3"/>
      <w:r>
        <w:t xml:space="preserve">Minimum 3 years of experience in environmental protection and management, and/or sustainable </w:t>
      </w:r>
      <w:proofErr w:type="gramStart"/>
      <w:r>
        <w:t>management;</w:t>
      </w:r>
      <w:proofErr w:type="gramEnd"/>
    </w:p>
    <w:p w14:paraId="3F4112E6" w14:textId="77777777" w:rsidR="00040FE5" w:rsidRDefault="00000000">
      <w:pPr>
        <w:numPr>
          <w:ilvl w:val="0"/>
          <w:numId w:val="2"/>
        </w:numPr>
        <w:spacing w:after="0" w:line="240" w:lineRule="auto"/>
        <w:ind w:left="1133" w:hanging="425"/>
        <w:jc w:val="both"/>
      </w:pPr>
      <w:bookmarkStart w:id="4" w:name="_heading=h.2et92p0" w:colFirst="0" w:colLast="0"/>
      <w:bookmarkEnd w:id="4"/>
      <w:r>
        <w:rPr>
          <w:color w:val="000000"/>
        </w:rPr>
        <w:t>Prior experience working in the public service is a plus (however, last experience in the public service must have been completed at least 6 months prior to application).</w:t>
      </w:r>
    </w:p>
    <w:p w14:paraId="3E7EC60A" w14:textId="77777777" w:rsidR="00040FE5" w:rsidRDefault="00040FE5">
      <w:pPr>
        <w:spacing w:after="0" w:line="240" w:lineRule="auto"/>
        <w:ind w:left="1133"/>
        <w:jc w:val="both"/>
      </w:pPr>
    </w:p>
    <w:p w14:paraId="20804839" w14:textId="77777777" w:rsidR="00040FE5" w:rsidRDefault="00000000">
      <w:pPr>
        <w:numPr>
          <w:ilvl w:val="1"/>
          <w:numId w:val="4"/>
        </w:numPr>
        <w:pBdr>
          <w:top w:val="nil"/>
          <w:left w:val="nil"/>
          <w:bottom w:val="nil"/>
          <w:right w:val="nil"/>
          <w:between w:val="nil"/>
        </w:pBdr>
        <w:tabs>
          <w:tab w:val="left" w:pos="1985"/>
        </w:tabs>
        <w:spacing w:after="0" w:line="240" w:lineRule="auto"/>
        <w:ind w:left="567" w:hanging="425"/>
        <w:jc w:val="both"/>
        <w:rPr>
          <w:color w:val="000000"/>
        </w:rPr>
      </w:pPr>
      <w:r>
        <w:rPr>
          <w:b/>
          <w:i/>
          <w:color w:val="000000"/>
        </w:rPr>
        <w:t>Other competencies:</w:t>
      </w:r>
    </w:p>
    <w:p w14:paraId="745F7D55" w14:textId="77777777" w:rsidR="00040FE5" w:rsidRDefault="00000000">
      <w:pPr>
        <w:numPr>
          <w:ilvl w:val="0"/>
          <w:numId w:val="1"/>
        </w:numPr>
        <w:pBdr>
          <w:top w:val="nil"/>
          <w:left w:val="nil"/>
          <w:bottom w:val="nil"/>
          <w:right w:val="nil"/>
          <w:between w:val="nil"/>
        </w:pBdr>
        <w:spacing w:after="0" w:line="240" w:lineRule="auto"/>
        <w:jc w:val="both"/>
      </w:pPr>
      <w:r>
        <w:rPr>
          <w:color w:val="000000"/>
        </w:rPr>
        <w:t xml:space="preserve">Impeccable standards of </w:t>
      </w:r>
      <w:proofErr w:type="gramStart"/>
      <w:r>
        <w:rPr>
          <w:color w:val="000000"/>
        </w:rPr>
        <w:t>integrity;</w:t>
      </w:r>
      <w:proofErr w:type="gramEnd"/>
    </w:p>
    <w:p w14:paraId="0E5822CA" w14:textId="77777777" w:rsidR="00040FE5" w:rsidRDefault="00000000">
      <w:pPr>
        <w:numPr>
          <w:ilvl w:val="0"/>
          <w:numId w:val="1"/>
        </w:numPr>
        <w:pBdr>
          <w:top w:val="nil"/>
          <w:left w:val="nil"/>
          <w:bottom w:val="nil"/>
          <w:right w:val="nil"/>
          <w:between w:val="nil"/>
        </w:pBdr>
        <w:spacing w:after="0" w:line="240" w:lineRule="auto"/>
        <w:jc w:val="both"/>
        <w:rPr>
          <w:rFonts w:ascii="Arial" w:eastAsia="Arial" w:hAnsi="Arial" w:cs="Arial"/>
          <w:color w:val="000000"/>
        </w:rPr>
      </w:pPr>
      <w:r>
        <w:t xml:space="preserve">Experience working with government entities, understanding of their mandate and public governance processes is an </w:t>
      </w:r>
      <w:proofErr w:type="gramStart"/>
      <w:r>
        <w:t>asset</w:t>
      </w:r>
      <w:r>
        <w:rPr>
          <w:color w:val="000000"/>
        </w:rPr>
        <w:t>;</w:t>
      </w:r>
      <w:proofErr w:type="gramEnd"/>
    </w:p>
    <w:p w14:paraId="663B4B10" w14:textId="77777777" w:rsidR="00040FE5" w:rsidRDefault="00000000">
      <w:pPr>
        <w:numPr>
          <w:ilvl w:val="0"/>
          <w:numId w:val="1"/>
        </w:numPr>
        <w:spacing w:after="0" w:line="240" w:lineRule="auto"/>
        <w:jc w:val="both"/>
      </w:pPr>
      <w:r>
        <w:t xml:space="preserve">Experience in high-level negotiations is a plus. </w:t>
      </w:r>
    </w:p>
    <w:p w14:paraId="0BBBA10C" w14:textId="77777777" w:rsidR="00040FE5" w:rsidRDefault="00040FE5">
      <w:pPr>
        <w:pBdr>
          <w:top w:val="nil"/>
          <w:left w:val="nil"/>
          <w:bottom w:val="nil"/>
          <w:right w:val="nil"/>
          <w:between w:val="nil"/>
        </w:pBdr>
        <w:spacing w:after="0" w:line="240" w:lineRule="auto"/>
        <w:ind w:left="360"/>
        <w:jc w:val="both"/>
        <w:rPr>
          <w:color w:val="000000"/>
        </w:rPr>
      </w:pPr>
    </w:p>
    <w:p w14:paraId="381E02FB" w14:textId="77777777" w:rsidR="00040FE5" w:rsidRDefault="00000000">
      <w:pPr>
        <w:spacing w:after="0" w:line="240" w:lineRule="auto"/>
        <w:jc w:val="both"/>
        <w:rPr>
          <w:b/>
          <w:color w:val="000000"/>
        </w:rPr>
      </w:pPr>
      <w:r>
        <w:rPr>
          <w:b/>
          <w:color w:val="000000"/>
        </w:rPr>
        <w:t>6. Funding Source</w:t>
      </w:r>
    </w:p>
    <w:p w14:paraId="726524CE" w14:textId="77777777" w:rsidR="00040FE5" w:rsidRDefault="00000000">
      <w:pPr>
        <w:spacing w:after="0" w:line="240" w:lineRule="auto"/>
        <w:jc w:val="both"/>
        <w:rPr>
          <w:color w:val="000000"/>
        </w:rPr>
      </w:pPr>
      <w:r>
        <w:rPr>
          <w:color w:val="000000"/>
        </w:rPr>
        <w:t>The funding source of this assignment is the EBRD Ukraine Stabilisation and Sustainable Growth Multi-Donor Account (MDA). Contributors to the MDA are Austria, Denmark, Finland, France, Germany, Italy, Japan, the Netherlands, Norway, Poland, Sweden, Switzerland, the United Kingdom, the United States and the European Union, the largest donor.</w:t>
      </w:r>
    </w:p>
    <w:p w14:paraId="2D41F9EF" w14:textId="77777777" w:rsidR="00040FE5" w:rsidRDefault="00000000">
      <w:pPr>
        <w:spacing w:after="0" w:line="240" w:lineRule="auto"/>
        <w:jc w:val="both"/>
        <w:rPr>
          <w:color w:val="000000"/>
        </w:rPr>
      </w:pPr>
      <w:r>
        <w:rPr>
          <w:color w:val="000000"/>
        </w:rPr>
        <w:t>Please note that selection and contracting will be subject to the availability of funding.</w:t>
      </w:r>
    </w:p>
    <w:p w14:paraId="571E0C7B" w14:textId="77777777" w:rsidR="00040FE5" w:rsidRDefault="00040FE5">
      <w:pPr>
        <w:spacing w:after="0" w:line="240" w:lineRule="auto"/>
        <w:jc w:val="both"/>
        <w:rPr>
          <w:color w:val="000000"/>
        </w:rPr>
      </w:pPr>
    </w:p>
    <w:p w14:paraId="36D1AF8A" w14:textId="77777777" w:rsidR="00040FE5" w:rsidRDefault="00000000">
      <w:pPr>
        <w:spacing w:after="0" w:line="240" w:lineRule="auto"/>
        <w:jc w:val="both"/>
        <w:rPr>
          <w:b/>
          <w:color w:val="000000"/>
        </w:rPr>
      </w:pPr>
      <w:r>
        <w:rPr>
          <w:b/>
          <w:color w:val="000000"/>
        </w:rPr>
        <w:t>7. Submissions</w:t>
      </w:r>
    </w:p>
    <w:p w14:paraId="25480758" w14:textId="77777777" w:rsidR="00040FE5" w:rsidRDefault="00000000">
      <w:pPr>
        <w:spacing w:after="0" w:line="240" w:lineRule="auto"/>
        <w:jc w:val="both"/>
        <w:rPr>
          <w:color w:val="000000"/>
        </w:rPr>
      </w:pPr>
      <w:r>
        <w:rPr>
          <w:color w:val="000000"/>
        </w:rPr>
        <w:t xml:space="preserve">Submissions must be prepared in English only and be delivered electronically by 23.59 (Kyiv time), </w:t>
      </w:r>
      <w:r>
        <w:t xml:space="preserve">20 March </w:t>
      </w:r>
      <w:r>
        <w:rPr>
          <w:color w:val="000000"/>
        </w:rPr>
        <w:t>202</w:t>
      </w:r>
      <w:r>
        <w:t>4</w:t>
      </w:r>
      <w:r>
        <w:rPr>
          <w:color w:val="000000"/>
        </w:rPr>
        <w:t xml:space="preserve"> to </w:t>
      </w:r>
      <w:hyperlink r:id="rId8">
        <w:r>
          <w:rPr>
            <w:color w:val="0563C1"/>
            <w:u w:val="single"/>
          </w:rPr>
          <w:t>rst.mepr@gmail.com</w:t>
        </w:r>
      </w:hyperlink>
      <w:r>
        <w:rPr>
          <w:color w:val="000000"/>
        </w:rPr>
        <w:t xml:space="preserve">. All submissions must include a completed </w:t>
      </w:r>
      <w:r>
        <w:rPr>
          <w:b/>
          <w:color w:val="000000"/>
        </w:rPr>
        <w:t>Application Form</w:t>
      </w:r>
      <w:r>
        <w:rPr>
          <w:color w:val="000000"/>
        </w:rPr>
        <w:t xml:space="preserve">, </w:t>
      </w:r>
      <w:r>
        <w:rPr>
          <w:b/>
          <w:color w:val="000000"/>
        </w:rPr>
        <w:t>NDA Form</w:t>
      </w:r>
      <w:r>
        <w:rPr>
          <w:color w:val="000000"/>
        </w:rPr>
        <w:t xml:space="preserve">, the candidate’s </w:t>
      </w:r>
      <w:proofErr w:type="gramStart"/>
      <w:r>
        <w:rPr>
          <w:b/>
          <w:color w:val="000000"/>
        </w:rPr>
        <w:t>Curriculum Vitae</w:t>
      </w:r>
      <w:proofErr w:type="gramEnd"/>
      <w:r>
        <w:rPr>
          <w:color w:val="000000"/>
        </w:rPr>
        <w:t xml:space="preserve"> and </w:t>
      </w:r>
      <w:r>
        <w:rPr>
          <w:b/>
          <w:color w:val="000000"/>
        </w:rPr>
        <w:t>Reference Letter</w:t>
      </w:r>
      <w:r>
        <w:rPr>
          <w:color w:val="000000"/>
        </w:rPr>
        <w:t xml:space="preserve"> from a recent supervisor (original in English, or Ukrainian with English translation) together with the </w:t>
      </w:r>
      <w:r>
        <w:rPr>
          <w:b/>
          <w:color w:val="000000"/>
        </w:rPr>
        <w:t xml:space="preserve">contact details for two further referees </w:t>
      </w:r>
      <w:r>
        <w:rPr>
          <w:color w:val="000000"/>
        </w:rPr>
        <w:t xml:space="preserve">who, if contacted, can attest to the professional and/or educational background of the candidate. </w:t>
      </w:r>
    </w:p>
    <w:p w14:paraId="574E7603" w14:textId="77777777" w:rsidR="00040FE5" w:rsidRDefault="00040FE5">
      <w:pPr>
        <w:spacing w:after="0" w:line="240" w:lineRule="auto"/>
        <w:jc w:val="both"/>
        <w:rPr>
          <w:color w:val="000000"/>
          <w:highlight w:val="yellow"/>
        </w:rPr>
      </w:pPr>
    </w:p>
    <w:p w14:paraId="78123005" w14:textId="77777777" w:rsidR="00040FE5" w:rsidRDefault="00000000">
      <w:pPr>
        <w:tabs>
          <w:tab w:val="left" w:pos="1985"/>
        </w:tabs>
        <w:spacing w:after="0" w:line="240" w:lineRule="auto"/>
        <w:jc w:val="both"/>
        <w:rPr>
          <w:color w:val="000000"/>
        </w:rPr>
      </w:pPr>
      <w:bookmarkStart w:id="5" w:name="_heading=h.tyjcwt" w:colFirst="0" w:colLast="0"/>
      <w:bookmarkEnd w:id="5"/>
      <w:r>
        <w:rPr>
          <w:color w:val="000000"/>
        </w:rPr>
        <w:t xml:space="preserve">Only applications which have been submitted using the correct template and are fully completed will be considered. </w:t>
      </w:r>
    </w:p>
    <w:p w14:paraId="6CC93556" w14:textId="77777777" w:rsidR="00040FE5" w:rsidRDefault="00040FE5">
      <w:pPr>
        <w:tabs>
          <w:tab w:val="left" w:pos="1985"/>
        </w:tabs>
        <w:spacing w:after="0" w:line="240" w:lineRule="auto"/>
        <w:jc w:val="both"/>
        <w:rPr>
          <w:color w:val="000000"/>
        </w:rPr>
      </w:pPr>
    </w:p>
    <w:p w14:paraId="7E10184D" w14:textId="77777777" w:rsidR="00040FE5" w:rsidRDefault="00000000">
      <w:pPr>
        <w:spacing w:after="0" w:line="240" w:lineRule="auto"/>
        <w:jc w:val="both"/>
        <w:rPr>
          <w:b/>
          <w:color w:val="000000"/>
        </w:rPr>
      </w:pPr>
      <w:r>
        <w:rPr>
          <w:b/>
          <w:color w:val="000000"/>
        </w:rPr>
        <w:t>8. Selection Procedure</w:t>
      </w:r>
    </w:p>
    <w:p w14:paraId="4A81501C" w14:textId="77777777" w:rsidR="00040FE5" w:rsidRDefault="00000000">
      <w:pPr>
        <w:spacing w:after="0" w:line="240" w:lineRule="auto"/>
        <w:jc w:val="both"/>
        <w:rPr>
          <w:color w:val="000000"/>
        </w:rPr>
      </w:pPr>
      <w:r>
        <w:rPr>
          <w:color w:val="000000"/>
        </w:rPr>
        <w:t>Following the evaluation of all applications received, selected candidates may be invited to the tests. Only shortlisted candidates will be invited to the interview.</w:t>
      </w:r>
    </w:p>
    <w:sectPr w:rsidR="00040FE5">
      <w:headerReference w:type="even" r:id="rId9"/>
      <w:headerReference w:type="default" r:id="rId10"/>
      <w:footerReference w:type="even" r:id="rId11"/>
      <w:footerReference w:type="default" r:id="rId12"/>
      <w:headerReference w:type="first" r:id="rId13"/>
      <w:footerReference w:type="first" r:id="rId14"/>
      <w:pgSz w:w="11906" w:h="16838"/>
      <w:pgMar w:top="1134" w:right="850" w:bottom="993"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0C487" w14:textId="77777777" w:rsidR="007855B3" w:rsidRDefault="007855B3">
      <w:pPr>
        <w:spacing w:after="0" w:line="240" w:lineRule="auto"/>
      </w:pPr>
      <w:r>
        <w:separator/>
      </w:r>
    </w:p>
  </w:endnote>
  <w:endnote w:type="continuationSeparator" w:id="0">
    <w:p w14:paraId="02E9CC49" w14:textId="77777777" w:rsidR="007855B3" w:rsidRDefault="00785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FED2" w14:textId="77777777" w:rsidR="00040FE5"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76D387CA" w14:textId="77777777" w:rsidR="00040FE5"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2C0D57DB" w14:textId="77777777" w:rsidR="00040FE5"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16F02F9F" w14:textId="77777777" w:rsidR="00040FE5"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fldChar w:fldCharType="begin"/>
    </w:r>
    <w:r>
      <w:instrText xml:space="preserve"> DOCPROPERTY "bjFooterEvenPageDocProperty"</w:instrText>
    </w:r>
    <w:r>
      <w:fldChar w:fldCharType="separate"/>
    </w:r>
    <w:r>
      <w:rPr>
        <w:rFonts w:ascii="Arial" w:eastAsia="Arial" w:hAnsi="Arial" w:cs="Arial"/>
        <w:color w:val="0000FF"/>
        <w:sz w:val="18"/>
        <w:szCs w:val="18"/>
      </w:rPr>
      <w:t>OFFICIAL USE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6233" w14:textId="77777777" w:rsidR="00040FE5" w:rsidRDefault="00000000">
    <w:pPr>
      <w:pBdr>
        <w:top w:val="nil"/>
        <w:left w:val="nil"/>
        <w:bottom w:val="nil"/>
        <w:right w:val="nil"/>
        <w:between w:val="nil"/>
      </w:pBdr>
      <w:tabs>
        <w:tab w:val="center" w:pos="4677"/>
        <w:tab w:val="right" w:pos="9355"/>
      </w:tabs>
      <w:spacing w:after="0" w:line="240" w:lineRule="auto"/>
      <w:jc w:val="center"/>
      <w:rPr>
        <w:color w:val="000000"/>
      </w:rPr>
    </w:pPr>
    <w:r>
      <w:fldChar w:fldCharType="begin"/>
    </w:r>
    <w:r>
      <w:instrText xml:space="preserve"> DOCPROPERTY "bjFooterBothDocProperty"</w:instrText>
    </w:r>
    <w:r>
      <w:fldChar w:fldCharType="separate"/>
    </w:r>
    <w:r>
      <w:rPr>
        <w:rFonts w:ascii="Arial" w:eastAsia="Arial" w:hAnsi="Arial" w:cs="Arial"/>
        <w:color w:val="0000FF"/>
        <w:sz w:val="18"/>
        <w:szCs w:val="18"/>
      </w:rPr>
      <w:t>OFFICIAL USE</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73F4" w14:textId="77777777" w:rsidR="00040FE5"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01994ACF" w14:textId="77777777" w:rsidR="00040FE5"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70D7A1B7" w14:textId="77777777" w:rsidR="00040FE5"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1B63E45E" w14:textId="77777777" w:rsidR="00040FE5"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fldChar w:fldCharType="begin"/>
    </w:r>
    <w:r>
      <w:instrText xml:space="preserve"> DOCPROPERTY "bjFooterFirstPageDocProperty"</w:instrText>
    </w:r>
    <w:r>
      <w:fldChar w:fldCharType="separate"/>
    </w:r>
    <w:r>
      <w:rPr>
        <w:rFonts w:ascii="Arial" w:eastAsia="Arial" w:hAnsi="Arial" w:cs="Arial"/>
        <w:color w:val="0000FF"/>
        <w:sz w:val="18"/>
        <w:szCs w:val="18"/>
      </w:rPr>
      <w:t>OFFICIAL USE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884D4" w14:textId="77777777" w:rsidR="007855B3" w:rsidRDefault="007855B3">
      <w:pPr>
        <w:spacing w:after="0" w:line="240" w:lineRule="auto"/>
      </w:pPr>
      <w:r>
        <w:separator/>
      </w:r>
    </w:p>
  </w:footnote>
  <w:footnote w:type="continuationSeparator" w:id="0">
    <w:p w14:paraId="7001109C" w14:textId="77777777" w:rsidR="007855B3" w:rsidRDefault="00785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07CE" w14:textId="77777777" w:rsidR="00040FE5"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fldChar w:fldCharType="begin"/>
    </w:r>
    <w:r>
      <w:instrText xml:space="preserve"> DOCPROPERTY "bjHeaderEvenPageDocProperty"</w:instrText>
    </w:r>
    <w:r>
      <w:fldChar w:fldCharType="separate"/>
    </w:r>
    <w:r>
      <w:rPr>
        <w:rFonts w:ascii="Arial" w:eastAsia="Arial" w:hAnsi="Arial" w:cs="Arial"/>
        <w:color w:val="0000FF"/>
        <w:sz w:val="18"/>
        <w:szCs w:val="18"/>
      </w:rPr>
      <w:t>OFFICIAL USE</w:t>
    </w:r>
    <w:r>
      <w:fldChar w:fldCharType="end"/>
    </w:r>
  </w:p>
  <w:p w14:paraId="5CB52926" w14:textId="77777777" w:rsidR="00040FE5"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2CF8834D" w14:textId="77777777" w:rsidR="00040FE5"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54D1FB69" w14:textId="77777777" w:rsidR="00040FE5" w:rsidRDefault="00000000">
    <w:pPr>
      <w:pBdr>
        <w:top w:val="nil"/>
        <w:left w:val="nil"/>
        <w:bottom w:val="nil"/>
        <w:right w:val="nil"/>
        <w:between w:val="nil"/>
      </w:pBdr>
      <w:tabs>
        <w:tab w:val="center" w:pos="4677"/>
        <w:tab w:val="right" w:pos="9355"/>
      </w:tabs>
      <w:spacing w:after="0" w:line="240" w:lineRule="auto"/>
      <w:jc w:val="center"/>
      <w:rPr>
        <w:color w:val="000000"/>
      </w:rPr>
    </w:pPr>
    <w:r>
      <w:rPr>
        <w:rFonts w:ascii="Arial" w:eastAsia="Arial" w:hAnsi="Arial" w:cs="Arial"/>
        <w:color w:val="0000FF"/>
        <w:sz w:val="18"/>
        <w:szCs w:val="18"/>
      </w:rPr>
      <w:t>OFFICIAL USE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5950" w14:textId="77777777" w:rsidR="00040FE5" w:rsidRDefault="00000000">
    <w:pPr>
      <w:pBdr>
        <w:top w:val="nil"/>
        <w:left w:val="nil"/>
        <w:bottom w:val="nil"/>
        <w:right w:val="nil"/>
        <w:between w:val="nil"/>
      </w:pBdr>
      <w:tabs>
        <w:tab w:val="center" w:pos="4677"/>
        <w:tab w:val="right" w:pos="9355"/>
      </w:tabs>
      <w:spacing w:after="0" w:line="240" w:lineRule="auto"/>
      <w:jc w:val="center"/>
      <w:rPr>
        <w:color w:val="000000"/>
      </w:rPr>
    </w:pPr>
    <w:r>
      <w:fldChar w:fldCharType="begin"/>
    </w:r>
    <w:r>
      <w:instrText xml:space="preserve"> DOCPROPERTY "bjHeaderBothDocProperty"</w:instrText>
    </w:r>
    <w:r>
      <w:fldChar w:fldCharType="separate"/>
    </w:r>
    <w:r>
      <w:rPr>
        <w:rFonts w:ascii="Arial" w:eastAsia="Arial" w:hAnsi="Arial" w:cs="Arial"/>
        <w:color w:val="0000FF"/>
        <w:sz w:val="18"/>
        <w:szCs w:val="18"/>
      </w:rPr>
      <w:t>OFFICIAL USE</w:t>
    </w:r>
    <w:r>
      <w:fldChar w:fldCharType="end"/>
    </w:r>
  </w:p>
  <w:p w14:paraId="1E0C234A" w14:textId="77777777" w:rsidR="00040FE5" w:rsidRDefault="00000000">
    <w:pPr>
      <w:pBdr>
        <w:top w:val="nil"/>
        <w:left w:val="nil"/>
        <w:bottom w:val="nil"/>
        <w:right w:val="nil"/>
        <w:between w:val="nil"/>
      </w:pBdr>
      <w:tabs>
        <w:tab w:val="center" w:pos="4677"/>
        <w:tab w:val="right" w:pos="9355"/>
      </w:tabs>
      <w:spacing w:after="0" w:line="240" w:lineRule="auto"/>
      <w:rPr>
        <w:color w:val="000000"/>
      </w:rPr>
    </w:pPr>
    <w:r>
      <w:rPr>
        <w:color w:val="000000"/>
      </w:rPr>
      <w:t xml:space="preserve">        </w:t>
    </w:r>
    <w:r>
      <w:rPr>
        <w:noProof/>
      </w:rPr>
      <w:drawing>
        <wp:inline distT="114300" distB="114300" distL="114300" distR="114300" wp14:anchorId="291FF8C9" wp14:editId="4A980399">
          <wp:extent cx="2048828" cy="631039"/>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48828" cy="63103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11CC" w14:textId="77777777" w:rsidR="00040FE5"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fldChar w:fldCharType="begin"/>
    </w:r>
    <w:r>
      <w:instrText xml:space="preserve"> DOCPROPERTY "bjHeaderFirstPageDocProperty"</w:instrText>
    </w:r>
    <w:r>
      <w:fldChar w:fldCharType="separate"/>
    </w:r>
    <w:r>
      <w:rPr>
        <w:rFonts w:ascii="Arial" w:eastAsia="Arial" w:hAnsi="Arial" w:cs="Arial"/>
        <w:color w:val="0000FF"/>
        <w:sz w:val="18"/>
        <w:szCs w:val="18"/>
      </w:rPr>
      <w:t>OFFICIAL USE</w:t>
    </w:r>
    <w:r>
      <w:fldChar w:fldCharType="end"/>
    </w:r>
  </w:p>
  <w:p w14:paraId="536495E0" w14:textId="77777777" w:rsidR="00040FE5"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54D69940" w14:textId="77777777" w:rsidR="00040FE5" w:rsidRDefault="00000000">
    <w:pPr>
      <w:pBdr>
        <w:top w:val="nil"/>
        <w:left w:val="nil"/>
        <w:bottom w:val="nil"/>
        <w:right w:val="nil"/>
        <w:between w:val="nil"/>
      </w:pBdr>
      <w:tabs>
        <w:tab w:val="center" w:pos="4677"/>
        <w:tab w:val="right" w:pos="9355"/>
      </w:tabs>
      <w:spacing w:after="0" w:line="240" w:lineRule="auto"/>
      <w:jc w:val="center"/>
      <w:rPr>
        <w:rFonts w:ascii="Arial" w:eastAsia="Arial" w:hAnsi="Arial" w:cs="Arial"/>
        <w:color w:val="0000FF"/>
        <w:sz w:val="18"/>
        <w:szCs w:val="18"/>
      </w:rPr>
    </w:pPr>
    <w:r>
      <w:rPr>
        <w:rFonts w:ascii="Arial" w:eastAsia="Arial" w:hAnsi="Arial" w:cs="Arial"/>
        <w:color w:val="0000FF"/>
        <w:sz w:val="18"/>
        <w:szCs w:val="18"/>
      </w:rPr>
      <w:t>OFFICIAL USE</w:t>
    </w:r>
  </w:p>
  <w:p w14:paraId="47C21526" w14:textId="77777777" w:rsidR="00040FE5" w:rsidRDefault="00000000">
    <w:pPr>
      <w:pBdr>
        <w:top w:val="nil"/>
        <w:left w:val="nil"/>
        <w:bottom w:val="nil"/>
        <w:right w:val="nil"/>
        <w:between w:val="nil"/>
      </w:pBdr>
      <w:tabs>
        <w:tab w:val="center" w:pos="4677"/>
        <w:tab w:val="right" w:pos="9355"/>
      </w:tabs>
      <w:spacing w:after="0" w:line="240" w:lineRule="auto"/>
      <w:jc w:val="center"/>
      <w:rPr>
        <w:color w:val="000000"/>
      </w:rPr>
    </w:pPr>
    <w:r>
      <w:rPr>
        <w:rFonts w:ascii="Arial" w:eastAsia="Arial" w:hAnsi="Arial" w:cs="Arial"/>
        <w:color w:val="0000FF"/>
        <w:sz w:val="18"/>
        <w:szCs w:val="18"/>
      </w:rPr>
      <w:t>OFFICIAL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B1D"/>
    <w:multiLevelType w:val="multilevel"/>
    <w:tmpl w:val="AFB2D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8F3C48"/>
    <w:multiLevelType w:val="multilevel"/>
    <w:tmpl w:val="9FE0C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907D9C"/>
    <w:multiLevelType w:val="multilevel"/>
    <w:tmpl w:val="28C2EBAE"/>
    <w:lvl w:ilvl="0">
      <w:start w:val="1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3" w15:restartNumberingAfterBreak="0">
    <w:nsid w:val="3F893123"/>
    <w:multiLevelType w:val="multilevel"/>
    <w:tmpl w:val="98CEBEA8"/>
    <w:lvl w:ilvl="0">
      <w:start w:val="5"/>
      <w:numFmt w:val="decimal"/>
      <w:lvlText w:val="%1"/>
      <w:lvlJc w:val="left"/>
      <w:pPr>
        <w:ind w:left="360" w:hanging="360"/>
      </w:pPr>
      <w:rPr>
        <w:b/>
        <w:i/>
      </w:rPr>
    </w:lvl>
    <w:lvl w:ilvl="1">
      <w:start w:val="3"/>
      <w:numFmt w:val="decimal"/>
      <w:lvlText w:val="%1.%2"/>
      <w:lvlJc w:val="left"/>
      <w:pPr>
        <w:ind w:left="720" w:hanging="360"/>
      </w:pPr>
      <w:rPr>
        <w:b/>
        <w:i/>
      </w:rPr>
    </w:lvl>
    <w:lvl w:ilvl="2">
      <w:start w:val="1"/>
      <w:numFmt w:val="decimal"/>
      <w:lvlText w:val="%1.%2.%3"/>
      <w:lvlJc w:val="left"/>
      <w:pPr>
        <w:ind w:left="1440" w:hanging="720"/>
      </w:pPr>
      <w:rPr>
        <w:b/>
        <w:i/>
      </w:rPr>
    </w:lvl>
    <w:lvl w:ilvl="3">
      <w:start w:val="1"/>
      <w:numFmt w:val="decimal"/>
      <w:lvlText w:val="%1.%2.%3.%4"/>
      <w:lvlJc w:val="left"/>
      <w:pPr>
        <w:ind w:left="1800" w:hanging="720"/>
      </w:pPr>
      <w:rPr>
        <w:b/>
        <w:i/>
      </w:rPr>
    </w:lvl>
    <w:lvl w:ilvl="4">
      <w:start w:val="1"/>
      <w:numFmt w:val="decimal"/>
      <w:lvlText w:val="%1.%2.%3.%4.%5"/>
      <w:lvlJc w:val="left"/>
      <w:pPr>
        <w:ind w:left="2520" w:hanging="1080"/>
      </w:pPr>
      <w:rPr>
        <w:b/>
        <w:i/>
      </w:rPr>
    </w:lvl>
    <w:lvl w:ilvl="5">
      <w:start w:val="1"/>
      <w:numFmt w:val="decimal"/>
      <w:lvlText w:val="%1.%2.%3.%4.%5.%6"/>
      <w:lvlJc w:val="left"/>
      <w:pPr>
        <w:ind w:left="2880" w:hanging="1080"/>
      </w:pPr>
      <w:rPr>
        <w:b/>
        <w:i/>
      </w:rPr>
    </w:lvl>
    <w:lvl w:ilvl="6">
      <w:start w:val="1"/>
      <w:numFmt w:val="decimal"/>
      <w:lvlText w:val="%1.%2.%3.%4.%5.%6.%7"/>
      <w:lvlJc w:val="left"/>
      <w:pPr>
        <w:ind w:left="3600" w:hanging="1440"/>
      </w:pPr>
      <w:rPr>
        <w:b/>
        <w:i/>
      </w:rPr>
    </w:lvl>
    <w:lvl w:ilvl="7">
      <w:start w:val="1"/>
      <w:numFmt w:val="decimal"/>
      <w:lvlText w:val="%1.%2.%3.%4.%5.%6.%7.%8"/>
      <w:lvlJc w:val="left"/>
      <w:pPr>
        <w:ind w:left="3960" w:hanging="1440"/>
      </w:pPr>
      <w:rPr>
        <w:b/>
        <w:i/>
      </w:rPr>
    </w:lvl>
    <w:lvl w:ilvl="8">
      <w:start w:val="1"/>
      <w:numFmt w:val="decimal"/>
      <w:lvlText w:val="%1.%2.%3.%4.%5.%6.%7.%8.%9"/>
      <w:lvlJc w:val="left"/>
      <w:pPr>
        <w:ind w:left="4320" w:hanging="1440"/>
      </w:pPr>
      <w:rPr>
        <w:b/>
        <w:i/>
      </w:rPr>
    </w:lvl>
  </w:abstractNum>
  <w:num w:numId="1" w16cid:durableId="198857582">
    <w:abstractNumId w:val="2"/>
  </w:num>
  <w:num w:numId="2" w16cid:durableId="338117090">
    <w:abstractNumId w:val="1"/>
  </w:num>
  <w:num w:numId="3" w16cid:durableId="1698004674">
    <w:abstractNumId w:val="0"/>
  </w:num>
  <w:num w:numId="4" w16cid:durableId="1740252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FE5"/>
    <w:rsid w:val="00040FE5"/>
    <w:rsid w:val="007855B3"/>
    <w:rsid w:val="009C3C29"/>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4D20FEF6"/>
  <w15:docId w15:val="{62D1613A-BF49-7245-8627-8B4EA8FB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st.mepr@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95HEfhCOWIhJfJwy4Xuzm6vdng==">CgMxLjAyCGguZ2pkZ3hzMgloLjMwajB6bGwyCWguMWZvYjl0ZTIJaC4zem55c2g3MgloLjJldDkycDAyCGgudHlqY3d0OAByITFGdlhXSTZHM0NYOTduYmoxSEc4Y2VWYkppVVotWlZwRw==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Garaiova, Andrea</dc:creator>
  <cp:lastModifiedBy>Serhii Dykyi (2207505)</cp:lastModifiedBy>
  <cp:revision>1</cp:revision>
  <dcterms:created xsi:type="dcterms:W3CDTF">2024-02-19T16:00:00Z</dcterms:created>
  <dcterms:modified xsi:type="dcterms:W3CDTF">2024-03-11T12:15:00Z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FooterBothDocProperty">
    <vt:lpwstr>OFFICIAL USE</vt:lpwstr>
  </property>
  <property fmtid="{D5CDD505-2E9C-101B-9397-08002B2CF9AE}" pid="3" name="bjDocumentSecurityLabel">
    <vt:lpwstr>OFFICIAL USE</vt:lpwstr>
  </property>
  <property fmtid="{D5CDD505-2E9C-101B-9397-08002B2CF9AE}" pid="4" name="bjFooterEvenPageDocProperty">
    <vt:lpwstr>OFFICIAL USE</vt:lpwstr>
  </property>
  <property fmtid="{D5CDD505-2E9C-101B-9397-08002B2CF9AE}" pid="5" name="bjHeaderFirstPageDocProperty">
    <vt:lpwstr>OFFICIAL USE</vt:lpwstr>
  </property>
  <property fmtid="{D5CDD505-2E9C-101B-9397-08002B2CF9AE}" pid="6" name="bjClsUserRVM">
    <vt:lpwstr>[]</vt:lpwstr>
  </property>
  <property fmtid="{D5CDD505-2E9C-101B-9397-08002B2CF9AE}" pid="7" name="bjHeaderEvenPageDocProperty">
    <vt:lpwstr>OFFICIAL USE</vt:lpwstr>
  </property>
  <property fmtid="{D5CDD505-2E9C-101B-9397-08002B2CF9AE}" pid="8" name="docIndexRef">
    <vt:lpwstr>88f14349-59cb-4614-a607-5f5660d16a0a</vt:lpwstr>
  </property>
  <property fmtid="{D5CDD505-2E9C-101B-9397-08002B2CF9AE}" pid="9" name="bjFooterFirstPageDocProperty">
    <vt:lpwstr>OFFICIAL USE</vt:lpwstr>
  </property>
  <property fmtid="{D5CDD505-2E9C-101B-9397-08002B2CF9AE}" pid="10" name="bjHeaderBothDocProperty">
    <vt:lpwstr>OFFICIAL USE</vt:lpwstr>
  </property>
  <property fmtid="{D5CDD505-2E9C-101B-9397-08002B2CF9AE}" pid="11" name="bjSaver">
    <vt:lpwstr>jNVazOmbWstbFCE5y2QVOLvhavx6YHsz</vt:lpwstr>
  </property>
  <property fmtid="{D5CDD505-2E9C-101B-9397-08002B2CF9AE}" pid="12"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13" name="bjDocumentLabelXML-0">
    <vt:lpwstr>ames.com/2008/01/sie/internal/label"&gt;&lt;element uid="id_classification_generalbusiness" value="" /&gt;&lt;element uid="3f2bf68e-965f-4645-8d3a-c9eb7a3821bd" value="" /&gt;&lt;/sisl&gt;</vt:lpwstr>
  </property>
</Properties>
</file>