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2DAD" w:rsidRDefault="00000000">
      <w:pPr>
        <w:shd w:val="clear" w:color="auto" w:fill="FFFFFF"/>
        <w:rPr>
          <w:rFonts w:eastAsia="Calibri"/>
          <w:highlight w:val="white"/>
        </w:rPr>
      </w:pPr>
      <w:r>
        <w:rPr>
          <w:b/>
          <w:highlight w:val="white"/>
        </w:rPr>
        <w:t>Команда підтримки відновлення та реформ при Міністерстві захисту довкілля та природних  ресурсів України шукає Експерта/ку з оцінки шкоди довкіллю від наслідків війни.</w:t>
      </w:r>
    </w:p>
    <w:p w14:paraId="00000002" w14:textId="77777777" w:rsidR="00422DAD" w:rsidRDefault="00000000">
      <w:pPr>
        <w:jc w:val="both"/>
      </w:pPr>
      <w:r>
        <w:t>Команда підтримки відновлення та реформ (КПР) при Міністерстві захисту довкілля та природних ресурсів України (</w:t>
      </w:r>
      <w:proofErr w:type="spellStart"/>
      <w:r>
        <w:t>Міндовкілля</w:t>
      </w:r>
      <w:proofErr w:type="spellEnd"/>
      <w:r>
        <w:t xml:space="preserve">) надає цільову технічну підтримку та допомагає </w:t>
      </w:r>
      <w:proofErr w:type="spellStart"/>
      <w:r>
        <w:t>Міндовкілля</w:t>
      </w:r>
      <w:proofErr w:type="spellEnd"/>
      <w:r>
        <w:t xml:space="preserve"> у розробці та впровадженні пріоритетів відновлення та реформ, заповнюючи прогалини у спроможності розробляти та впроваджувати пріоритетні стратегії та програми реформ, зміцнюючи зв'язки та партнерство між </w:t>
      </w:r>
      <w:proofErr w:type="spellStart"/>
      <w:r>
        <w:t>Міндовкілля</w:t>
      </w:r>
      <w:proofErr w:type="spellEnd"/>
      <w:r>
        <w:t xml:space="preserve"> та відповідною донорською підтримкою. Експерти КПР допомагають </w:t>
      </w:r>
      <w:proofErr w:type="spellStart"/>
      <w:r>
        <w:t>Міндовкілля</w:t>
      </w:r>
      <w:proofErr w:type="spellEnd"/>
      <w:r>
        <w:t xml:space="preserve"> у забезпеченні координації та взаємодоповнюваності між КПР та іншими відповідними </w:t>
      </w:r>
      <w:proofErr w:type="spellStart"/>
      <w:r>
        <w:t>проєктами</w:t>
      </w:r>
      <w:proofErr w:type="spellEnd"/>
      <w:r>
        <w:t xml:space="preserve"> технічної допомоги.</w:t>
      </w:r>
    </w:p>
    <w:p w14:paraId="00000003" w14:textId="77777777" w:rsidR="00422DAD" w:rsidRDefault="00000000">
      <w:pPr>
        <w:jc w:val="both"/>
        <w:rPr>
          <w:rFonts w:eastAsia="Calibri"/>
          <w:i/>
        </w:rPr>
      </w:pPr>
      <w:r>
        <w:t>Українське довкілля зазнало значної шкоди в результаті війни, що триває. Реформа сектору захисту довкілля відіграватиме вирішальну роль у відновленні природних екосистем України. Міжнародно визнані методології оцінки впливу війни на довкілля та результати оцінки сприятимуть комплексним реформам і допоможуть забезпечити прискорене, ефективне та екологічно відповідальне відновлення.</w:t>
      </w:r>
    </w:p>
    <w:p w14:paraId="00000004" w14:textId="77777777" w:rsidR="00422DAD" w:rsidRDefault="00000000">
      <w:pPr>
        <w:shd w:val="clear" w:color="auto" w:fill="FFFFFF"/>
        <w:tabs>
          <w:tab w:val="left" w:pos="1985"/>
        </w:tabs>
        <w:spacing w:after="0" w:line="240" w:lineRule="auto"/>
        <w:jc w:val="both"/>
      </w:pPr>
      <w:r>
        <w:t xml:space="preserve">Основними обов'язками та відповідальністю </w:t>
      </w:r>
      <w:r>
        <w:rPr>
          <w:highlight w:val="white"/>
        </w:rPr>
        <w:t>Експерта з оцінки шкоди довкіллю від наслідків війни будуть</w:t>
      </w:r>
      <w:r>
        <w:t>:</w:t>
      </w:r>
    </w:p>
    <w:p w14:paraId="00000005" w14:textId="77777777" w:rsidR="00422DAD" w:rsidRDefault="00422DAD">
      <w:pPr>
        <w:shd w:val="clear" w:color="auto" w:fill="FFFFFF"/>
        <w:tabs>
          <w:tab w:val="left" w:pos="1985"/>
        </w:tabs>
        <w:spacing w:after="0" w:line="240" w:lineRule="auto"/>
        <w:jc w:val="both"/>
      </w:pPr>
    </w:p>
    <w:p w14:paraId="00000006" w14:textId="77777777" w:rsidR="00422DAD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 xml:space="preserve">Підготовка аналітичних матеріалів, рекомендацій та змін до нормативно-правових актів з питань оцінки шкоди довкіллю, а також </w:t>
      </w:r>
      <w:proofErr w:type="spellStart"/>
      <w:r>
        <w:t>фасилітація</w:t>
      </w:r>
      <w:proofErr w:type="spellEnd"/>
      <w:r>
        <w:t xml:space="preserve"> процесу підготовки таких матеріалів.</w:t>
      </w:r>
    </w:p>
    <w:p w14:paraId="00000007" w14:textId="77777777" w:rsidR="00422DAD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Розробка узагальненої методики збору та збереження доказів у контексті екологічної шкоди, завданої збройною агресією Російської Федерації, яка визначає покрокову взаємодію між Державною екологічною інспекцією України, Офісом Генерального прокурора, Міністерством оборони України та Міністерством юстиції України.</w:t>
      </w:r>
    </w:p>
    <w:p w14:paraId="00000008" w14:textId="77777777" w:rsidR="00422DAD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Підтримка та допомога Міністерству в опрацюванні рекомендацій, наданих Міжнародною робочою групою щодо екологічних наслідків війни, як це визначено Екологічним договором для України.</w:t>
      </w:r>
    </w:p>
    <w:p w14:paraId="00000009" w14:textId="77777777" w:rsidR="00422DAD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Забезпечення координації та технічної підтримки національним та міжнародним зацікавленим сторонам і партнерам, які будуть визначені Міністерством, щодо оцінки шкоди, завданої довкіллю війною, та визначення потреб у відновленні довкілля (проведення та підтримка консультацій, семінарів, публічних та навчальних заходів).</w:t>
      </w:r>
    </w:p>
    <w:p w14:paraId="0000000A" w14:textId="77777777" w:rsidR="00422DAD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 xml:space="preserve">Підтримка та сприяння запуску глобальної платформи з оцінки шкоди, завданої довкіллю війною, ініційованої Міністерством, робота над реалізацією ініціативи, оголошеної </w:t>
      </w:r>
      <w:proofErr w:type="spellStart"/>
      <w:r>
        <w:t>Міндовкілля</w:t>
      </w:r>
      <w:proofErr w:type="spellEnd"/>
      <w:r>
        <w:t xml:space="preserve"> у 2022 році на COP27, та підготовка нової ініціативи до COP29.</w:t>
      </w:r>
    </w:p>
    <w:p w14:paraId="0000000B" w14:textId="77777777" w:rsidR="00422DAD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Збір, систематизація та актуалізація даних про шкоду, завдану довкіллю війною, підготовка аналітичних матеріалів, інфографіки тощо.</w:t>
      </w:r>
    </w:p>
    <w:p w14:paraId="0000000C" w14:textId="77777777" w:rsidR="00422DAD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Підготовка своєчасних та якісних звітів та оновлень про хід оцінки та компенсації шкоди довкіллю, а також сприяння міжнародному співробітництву у цій сфері.</w:t>
      </w:r>
    </w:p>
    <w:p w14:paraId="0000000D" w14:textId="77777777" w:rsidR="00422DAD" w:rsidRDefault="00000000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jc w:val="both"/>
        <w:rPr>
          <w:rFonts w:eastAsia="Calibri"/>
        </w:rPr>
      </w:pPr>
      <w:r>
        <w:t>Допомагати Міністерству з перекладом документів, пов'язаних з екологічною шкодою від наслідків війни.</w:t>
      </w:r>
    </w:p>
    <w:p w14:paraId="0000000E" w14:textId="77777777" w:rsidR="00422DAD" w:rsidRDefault="00000000">
      <w:pPr>
        <w:spacing w:after="0" w:line="259" w:lineRule="auto"/>
        <w:ind w:left="720"/>
        <w:rPr>
          <w:rFonts w:eastAsia="Calibri"/>
        </w:rPr>
      </w:pPr>
      <w:r>
        <w:rPr>
          <w:rFonts w:eastAsia="Calibri"/>
        </w:rPr>
        <w:t xml:space="preserve"> </w:t>
      </w:r>
    </w:p>
    <w:p w14:paraId="0000000F" w14:textId="77777777" w:rsidR="00422DAD" w:rsidRDefault="00000000">
      <w:pPr>
        <w:shd w:val="clear" w:color="auto" w:fill="FFFFFF"/>
        <w:tabs>
          <w:tab w:val="left" w:pos="1985"/>
        </w:tabs>
        <w:spacing w:after="0" w:line="240" w:lineRule="auto"/>
        <w:jc w:val="both"/>
      </w:pPr>
      <w:r>
        <w:t>Зацікавлені фахівці запрошуються до подачі заявок.</w:t>
      </w:r>
    </w:p>
    <w:p w14:paraId="00000010" w14:textId="77777777" w:rsidR="00422DAD" w:rsidRDefault="00422DAD">
      <w:pPr>
        <w:shd w:val="clear" w:color="auto" w:fill="FFFFFF"/>
        <w:tabs>
          <w:tab w:val="left" w:pos="1985"/>
        </w:tabs>
        <w:spacing w:after="0" w:line="240" w:lineRule="auto"/>
        <w:jc w:val="both"/>
      </w:pPr>
    </w:p>
    <w:p w14:paraId="00000011" w14:textId="77777777" w:rsidR="00422DA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Очікується, що консультаційні контракти </w:t>
      </w:r>
      <w:proofErr w:type="spellStart"/>
      <w:r>
        <w:t>розпочнуться</w:t>
      </w:r>
      <w:proofErr w:type="spellEnd"/>
      <w:r>
        <w:t xml:space="preserve"> у квітні 2024 року та триватимуть 17 місяців. Продовження тривалості контракту </w:t>
      </w:r>
      <w:proofErr w:type="spellStart"/>
      <w:r>
        <w:t>залежатиме</w:t>
      </w:r>
      <w:proofErr w:type="spellEnd"/>
      <w:r>
        <w:t xml:space="preserve"> від наявності фінансування, потреб програми URA та результатів роботи обраного консультанта. Випробувальний термін становить два місяці.</w:t>
      </w:r>
    </w:p>
    <w:p w14:paraId="00000012" w14:textId="77777777" w:rsidR="00422DAD" w:rsidRDefault="00000000">
      <w:pPr>
        <w:spacing w:line="240" w:lineRule="auto"/>
        <w:jc w:val="both"/>
      </w:pPr>
      <w:r>
        <w:lastRenderedPageBreak/>
        <w:t xml:space="preserve">Потенційні кандидати повинні надіслати повний пакет документів, підготовлений англійською мовою (аплікаційна форма, форма NDA, резюме кандидата та рекомендаційний лист від нещодавнього керівника (оригінал англійською мовою або українською мовою з перекладом на англійську) разом з контактними даними двох інших референтів, які, у разі необхідності, можуть підтвердити професійний та/або освітній рівень кандидата) до 20 березня 2024 року, 23:59 (за київським часом) на електронну адресу: rst.mepr@gmail.com. Кандидати, які </w:t>
      </w:r>
      <w:proofErr w:type="spellStart"/>
      <w:r>
        <w:t>подадуть</w:t>
      </w:r>
      <w:proofErr w:type="spellEnd"/>
      <w:r>
        <w:t xml:space="preserve"> неповний пакет документів, не будуть розглянуті. </w:t>
      </w:r>
    </w:p>
    <w:p w14:paraId="00000013" w14:textId="77777777" w:rsidR="00422DAD" w:rsidRDefault="00000000">
      <w:pPr>
        <w:spacing w:line="240" w:lineRule="auto"/>
        <w:jc w:val="both"/>
      </w:pPr>
      <w:r>
        <w:t xml:space="preserve">Кандидати, які пройдуть відбір, будуть запрошені на письмовий тест та співбесіду. </w:t>
      </w:r>
    </w:p>
    <w:p w14:paraId="00000014" w14:textId="77777777" w:rsidR="00422DAD" w:rsidRDefault="00000000">
      <w:pPr>
        <w:spacing w:line="240" w:lineRule="auto"/>
        <w:jc w:val="both"/>
      </w:pPr>
      <w:r>
        <w:t>З детальним технічним завданням можна ознайомитися нижче.</w:t>
      </w:r>
    </w:p>
    <w:p w14:paraId="00000015" w14:textId="77777777" w:rsidR="00422DAD" w:rsidRDefault="00422DAD"/>
    <w:p w14:paraId="00000016" w14:textId="77777777" w:rsidR="00422DAD" w:rsidRDefault="00422DAD"/>
    <w:p w14:paraId="00000017" w14:textId="77777777" w:rsidR="00422DAD" w:rsidRDefault="00422DAD">
      <w:pPr>
        <w:spacing w:after="0" w:line="240" w:lineRule="auto"/>
        <w:ind w:right="-90"/>
      </w:pPr>
    </w:p>
    <w:p w14:paraId="00000018" w14:textId="77777777" w:rsidR="00422DAD" w:rsidRDefault="00422DAD">
      <w:pPr>
        <w:tabs>
          <w:tab w:val="left" w:pos="709"/>
        </w:tabs>
        <w:spacing w:after="0" w:line="240" w:lineRule="auto"/>
        <w:rPr>
          <w:b/>
          <w:color w:val="000000"/>
        </w:rPr>
      </w:pPr>
    </w:p>
    <w:p w14:paraId="00000019" w14:textId="77777777" w:rsidR="00422DAD" w:rsidRDefault="00422DAD"/>
    <w:sectPr w:rsidR="00422DAD">
      <w:pgSz w:w="11906" w:h="16838"/>
      <w:pgMar w:top="1411" w:right="1411" w:bottom="1411" w:left="1411" w:header="706" w:footer="706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548A"/>
    <w:multiLevelType w:val="multilevel"/>
    <w:tmpl w:val="ED4E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D358A"/>
    <w:multiLevelType w:val="multilevel"/>
    <w:tmpl w:val="62A81AF2"/>
    <w:lvl w:ilvl="0">
      <w:start w:val="1"/>
      <w:numFmt w:val="decimal"/>
      <w:pStyle w:val="PuceGris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4968857">
    <w:abstractNumId w:val="0"/>
  </w:num>
  <w:num w:numId="2" w16cid:durableId="205581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AD"/>
    <w:rsid w:val="002B0971"/>
    <w:rsid w:val="004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62D1613A-BF49-7245-8627-8B4EA8FB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7C"/>
    <w:rPr>
      <w:rFonts w:eastAsiaTheme="minorEastAsia"/>
      <w:lang w:eastAsia="uk-U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7C"/>
  </w:style>
  <w:style w:type="paragraph" w:styleId="Footer">
    <w:name w:val="footer"/>
    <w:basedOn w:val="Normal"/>
    <w:link w:val="FooterChar"/>
    <w:uiPriority w:val="99"/>
    <w:unhideWhenUsed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7C"/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/>
    <w:rsid w:val="005F637C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Points Char,Liste Paragraf Char,Llista Nivell1 Char,Lista de nivel 1 Char,Paragraphe de liste PBLH Char,Normal bullet 2 Char,Graph &amp; Table tite Char,Table of contents numbered Char,Bullet list Char,Bullet List Paragraph Char"/>
    <w:link w:val="ListParagraph"/>
    <w:uiPriority w:val="34"/>
    <w:locked/>
    <w:rsid w:val="005F637C"/>
    <w:rPr>
      <w:rFonts w:eastAsiaTheme="minorEastAsia"/>
      <w:lang w:eastAsia="uk-UA"/>
    </w:rPr>
  </w:style>
  <w:style w:type="paragraph" w:customStyle="1" w:styleId="Normale-n-ind">
    <w:name w:val="Normale-n-ind"/>
    <w:rsid w:val="005F637C"/>
    <w:pPr>
      <w:pBdr>
        <w:top w:val="nil"/>
        <w:left w:val="nil"/>
        <w:bottom w:val="nil"/>
        <w:right w:val="nil"/>
        <w:between w:val="nil"/>
        <w:bar w:val="nil"/>
      </w:pBdr>
      <w:spacing w:after="120" w:line="1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paragraph" w:customStyle="1" w:styleId="normaltableau">
    <w:name w:val="normal_tableau"/>
    <w:basedOn w:val="Normal"/>
    <w:rsid w:val="002F0B0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VNormal">
    <w:name w:val="CV Normal"/>
    <w:basedOn w:val="Normal"/>
    <w:uiPriority w:val="99"/>
    <w:rsid w:val="002F0B0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PuceGrise">
    <w:name w:val="Puce Grise"/>
    <w:basedOn w:val="Normal"/>
    <w:next w:val="Normal"/>
    <w:rsid w:val="002F0B01"/>
    <w:pPr>
      <w:numPr>
        <w:numId w:val="2"/>
      </w:numPr>
      <w:tabs>
        <w:tab w:val="left" w:pos="216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  <w:lang w:val="en-US" w:eastAsia="fr-FR"/>
    </w:rPr>
  </w:style>
  <w:style w:type="table" w:styleId="TableGrid">
    <w:name w:val="Table Grid"/>
    <w:basedOn w:val="TableNormal"/>
    <w:uiPriority w:val="39"/>
    <w:rsid w:val="00C92833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9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CBB"/>
    <w:rPr>
      <w:rFonts w:eastAsiaTheme="minorEastAsia"/>
      <w:sz w:val="20"/>
      <w:szCs w:val="20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F1662D"/>
    <w:rPr>
      <w:vertAlign w:val="superscript"/>
    </w:rPr>
  </w:style>
  <w:style w:type="paragraph" w:customStyle="1" w:styleId="Default">
    <w:name w:val="Default"/>
    <w:rsid w:val="00F16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E3oyfYtDLW1UeHUjsWwJCtmdg==">CgMxLjA4AHIhMS1UMmF4b3VGVDlqbTdOVzZfbGVIQ1d6cU1JNUJWZ0xz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Anikeeva, Yuliya</dc:creator>
  <cp:lastModifiedBy>Serhii Dykyi (2207505)</cp:lastModifiedBy>
  <cp:revision>1</cp:revision>
  <dcterms:created xsi:type="dcterms:W3CDTF">2023-05-04T05:51:00Z</dcterms:created>
  <dcterms:modified xsi:type="dcterms:W3CDTF">2024-03-11T12:02:00Z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37bbd4c1-49fe-4e95-8bf3-6e3b27f4fd14</vt:lpwstr>
  </property>
  <property fmtid="{D5CDD505-2E9C-101B-9397-08002B2CF9AE}" pid="3" name="bjSaver">
    <vt:lpwstr>jNVazOmbWstbFCE5y2QVOLvhavx6YHsz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6" name="bjDocumentSecurityLabel">
    <vt:lpwstr>NON-BANK USE</vt:lpwstr>
  </property>
</Properties>
</file>