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21173" w:rsidRDefault="00000000">
      <w:pPr>
        <w:shd w:val="clear" w:color="auto" w:fill="FFFFFF"/>
        <w:rPr>
          <w:rFonts w:eastAsia="Calibri"/>
          <w:highlight w:val="white"/>
        </w:rPr>
      </w:pPr>
      <w:r>
        <w:rPr>
          <w:b/>
          <w:highlight w:val="white"/>
        </w:rPr>
        <w:t>Команда підтримки відновлення та реформ при Міністерстві захисту довкілля та природних  ресурсів України шукає Експерта/ку з зеленого відновлення.</w:t>
      </w:r>
    </w:p>
    <w:p w14:paraId="00000002" w14:textId="77777777" w:rsidR="00D21173" w:rsidRDefault="00000000">
      <w:pPr>
        <w:jc w:val="both"/>
      </w:pPr>
      <w:r>
        <w:t>Команда підтримки відновлення та реформ (КПР) при Міністерстві захисту довкілля та природних ресурсів України (</w:t>
      </w:r>
      <w:proofErr w:type="spellStart"/>
      <w:r>
        <w:t>Міндовкілля</w:t>
      </w:r>
      <w:proofErr w:type="spellEnd"/>
      <w:r>
        <w:t xml:space="preserve">) надає цільову технічну підтримку та допомагає </w:t>
      </w:r>
      <w:proofErr w:type="spellStart"/>
      <w:r>
        <w:t>Міндовкілля</w:t>
      </w:r>
      <w:proofErr w:type="spellEnd"/>
      <w:r>
        <w:t xml:space="preserve"> у розробці та впровадженні пріоритетів відновлення та реформ, заповнюючи прогалини у спроможності розробляти та впроваджувати пріоритетні стратегії та програми реформ, зміцнюючи зв'язки та партнерство між </w:t>
      </w:r>
      <w:proofErr w:type="spellStart"/>
      <w:r>
        <w:t>Міндовкілля</w:t>
      </w:r>
      <w:proofErr w:type="spellEnd"/>
      <w:r>
        <w:t xml:space="preserve"> та відповідною донорською підтримкою. Експерти КПР допомагають </w:t>
      </w:r>
      <w:proofErr w:type="spellStart"/>
      <w:r>
        <w:t>Міндовкілля</w:t>
      </w:r>
      <w:proofErr w:type="spellEnd"/>
      <w:r>
        <w:t xml:space="preserve"> у забезпеченні координації та взаємодоповнюваності між КПР та іншими відповідними </w:t>
      </w:r>
      <w:proofErr w:type="spellStart"/>
      <w:r>
        <w:t>проєктами</w:t>
      </w:r>
      <w:proofErr w:type="spellEnd"/>
      <w:r>
        <w:t xml:space="preserve"> технічної допомоги.</w:t>
      </w:r>
    </w:p>
    <w:p w14:paraId="00000003" w14:textId="77777777" w:rsidR="00D21173" w:rsidRDefault="00000000">
      <w:pPr>
        <w:spacing w:after="0"/>
        <w:jc w:val="both"/>
      </w:pPr>
      <w:r>
        <w:t>Природне середовище України зазнало значної шкоди внаслідок війни, що триває. Експерт з зеленого відновлення підтримуватиме процеси відновлення довкілля, забезпечуватиме включення зелених принципів у плани відновлення України та їхню реалізацію, а також сприятиме прискоренню узгодження з Європейським зеленим курсом.</w:t>
      </w:r>
    </w:p>
    <w:p w14:paraId="00000004" w14:textId="77777777" w:rsidR="00D21173" w:rsidRDefault="00D21173">
      <w:pPr>
        <w:spacing w:after="0"/>
        <w:jc w:val="both"/>
        <w:rPr>
          <w:rFonts w:eastAsia="Calibri"/>
          <w:i/>
        </w:rPr>
      </w:pPr>
    </w:p>
    <w:p w14:paraId="00000005" w14:textId="77777777" w:rsidR="00D21173" w:rsidRDefault="00000000">
      <w:pPr>
        <w:shd w:val="clear" w:color="auto" w:fill="FFFFFF"/>
        <w:tabs>
          <w:tab w:val="left" w:pos="1985"/>
        </w:tabs>
        <w:spacing w:after="0" w:line="240" w:lineRule="auto"/>
        <w:jc w:val="both"/>
      </w:pPr>
      <w:r>
        <w:t xml:space="preserve">Основними обов'язками та відповідальністю </w:t>
      </w:r>
      <w:r>
        <w:rPr>
          <w:highlight w:val="white"/>
        </w:rPr>
        <w:t>Експерта з зеленого відновлення будуть</w:t>
      </w:r>
      <w:r>
        <w:t>:</w:t>
      </w:r>
    </w:p>
    <w:p w14:paraId="00000006" w14:textId="77777777" w:rsidR="00D21173" w:rsidRDefault="00D21173">
      <w:pPr>
        <w:shd w:val="clear" w:color="auto" w:fill="FFFFFF"/>
        <w:tabs>
          <w:tab w:val="left" w:pos="1985"/>
        </w:tabs>
        <w:spacing w:after="0" w:line="240" w:lineRule="auto"/>
        <w:jc w:val="both"/>
      </w:pPr>
    </w:p>
    <w:p w14:paraId="00000007" w14:textId="77777777" w:rsidR="00D21173" w:rsidRDefault="00000000">
      <w:pPr>
        <w:numPr>
          <w:ilvl w:val="0"/>
          <w:numId w:val="1"/>
        </w:numPr>
        <w:shd w:val="clear" w:color="auto" w:fill="FFFFFF"/>
        <w:tabs>
          <w:tab w:val="left" w:pos="1985"/>
        </w:tabs>
        <w:spacing w:after="0" w:line="240" w:lineRule="auto"/>
        <w:jc w:val="both"/>
        <w:rPr>
          <w:rFonts w:eastAsia="Calibri"/>
        </w:rPr>
      </w:pPr>
      <w:r>
        <w:t xml:space="preserve">Розробка та підтримка у впровадженні компонентів реформ, необхідних для "зеленого" відновлення та "зеленого" переходу, тобто підтримка у розробці/реалізації </w:t>
      </w:r>
      <w:proofErr w:type="spellStart"/>
      <w:r>
        <w:t>Ukraine</w:t>
      </w:r>
      <w:proofErr w:type="spellEnd"/>
      <w:r>
        <w:t xml:space="preserve"> </w:t>
      </w:r>
      <w:proofErr w:type="spellStart"/>
      <w:r>
        <w:t>Facility</w:t>
      </w:r>
      <w:proofErr w:type="spellEnd"/>
      <w:r>
        <w:t xml:space="preserve"> в межах повноважень </w:t>
      </w:r>
      <w:proofErr w:type="spellStart"/>
      <w:r>
        <w:t>Міндовкілля</w:t>
      </w:r>
      <w:proofErr w:type="spellEnd"/>
      <w:r>
        <w:t>, сприяння включенню "зелених" критеріїв до планів відновлення, рекомендацій щодо відновлення територій та екосистем, тощо;</w:t>
      </w:r>
    </w:p>
    <w:p w14:paraId="00000008" w14:textId="77777777" w:rsidR="00D21173" w:rsidRDefault="00000000">
      <w:pPr>
        <w:numPr>
          <w:ilvl w:val="0"/>
          <w:numId w:val="1"/>
        </w:numPr>
        <w:shd w:val="clear" w:color="auto" w:fill="FFFFFF"/>
        <w:tabs>
          <w:tab w:val="left" w:pos="1985"/>
        </w:tabs>
        <w:spacing w:after="0" w:line="240" w:lineRule="auto"/>
        <w:jc w:val="both"/>
        <w:rPr>
          <w:rFonts w:eastAsia="Calibri"/>
        </w:rPr>
      </w:pPr>
      <w:r>
        <w:t>Розробка методичних рекомендацій щодо включення кліматичної складової до програм комплексного відновлення та інших документів державного та/або місцевого планування;</w:t>
      </w:r>
    </w:p>
    <w:p w14:paraId="00000009" w14:textId="77777777" w:rsidR="00D21173" w:rsidRDefault="00000000">
      <w:pPr>
        <w:numPr>
          <w:ilvl w:val="0"/>
          <w:numId w:val="1"/>
        </w:numPr>
        <w:shd w:val="clear" w:color="auto" w:fill="FFFFFF"/>
        <w:tabs>
          <w:tab w:val="left" w:pos="1985"/>
        </w:tabs>
        <w:spacing w:after="0" w:line="240" w:lineRule="auto"/>
        <w:jc w:val="both"/>
        <w:rPr>
          <w:rFonts w:eastAsia="Calibri"/>
        </w:rPr>
      </w:pPr>
      <w:r>
        <w:t xml:space="preserve">Консультаційна, аналітична та експертна підтримка Міністерства з метою забезпечення відповідності документів (стратегій, планів, компонентів, нормативно-правових актів тощо) та заходів з відновлення довкілля процесу вступу до ЄС та принципам Європейського зеленого курсу; </w:t>
      </w:r>
    </w:p>
    <w:p w14:paraId="0000000A" w14:textId="77777777" w:rsidR="00D21173" w:rsidRDefault="00000000">
      <w:pPr>
        <w:numPr>
          <w:ilvl w:val="0"/>
          <w:numId w:val="1"/>
        </w:numPr>
        <w:shd w:val="clear" w:color="auto" w:fill="FFFFFF"/>
        <w:tabs>
          <w:tab w:val="left" w:pos="1985"/>
        </w:tabs>
        <w:spacing w:after="0" w:line="240" w:lineRule="auto"/>
        <w:jc w:val="both"/>
        <w:rPr>
          <w:rFonts w:eastAsia="Calibri"/>
        </w:rPr>
      </w:pPr>
      <w:r>
        <w:t>Підтримка заходів із залучення зацікавлених сторін (наприклад, публічних заходів, семінарів, тренінгів тощо) з метою сприяння та просування дискусій з ключових тем та пропозицій політик, а також підвищення обізнаності щодо важливості, цілей, викликів, політик, пов'язаних із зеленим відновленням/зеленим переходом;</w:t>
      </w:r>
    </w:p>
    <w:p w14:paraId="0000000B" w14:textId="77777777" w:rsidR="00D21173" w:rsidRDefault="00000000">
      <w:pPr>
        <w:numPr>
          <w:ilvl w:val="0"/>
          <w:numId w:val="1"/>
        </w:numPr>
        <w:shd w:val="clear" w:color="auto" w:fill="FFFFFF"/>
        <w:tabs>
          <w:tab w:val="left" w:pos="1985"/>
        </w:tabs>
        <w:spacing w:after="0" w:line="240" w:lineRule="auto"/>
        <w:jc w:val="both"/>
        <w:rPr>
          <w:rFonts w:eastAsia="Calibri"/>
        </w:rPr>
      </w:pPr>
      <w:r>
        <w:t>Надання підтримки Міністерству в координації робочих груп, пов'язаних із зеленим відновленням та зеленим переходом;</w:t>
      </w:r>
    </w:p>
    <w:p w14:paraId="0000000C" w14:textId="77777777" w:rsidR="00D21173" w:rsidRDefault="00000000">
      <w:pPr>
        <w:numPr>
          <w:ilvl w:val="0"/>
          <w:numId w:val="1"/>
        </w:numPr>
        <w:shd w:val="clear" w:color="auto" w:fill="FFFFFF"/>
        <w:tabs>
          <w:tab w:val="left" w:pos="1985"/>
        </w:tabs>
        <w:spacing w:after="0" w:line="240" w:lineRule="auto"/>
        <w:jc w:val="both"/>
        <w:rPr>
          <w:rFonts w:eastAsia="Calibri"/>
        </w:rPr>
      </w:pPr>
      <w:r>
        <w:t>Підготовка, систематизація та оновлення інформації щодо проектів зеленого відновлення;</w:t>
      </w:r>
    </w:p>
    <w:p w14:paraId="0000000D" w14:textId="77777777" w:rsidR="00D21173" w:rsidRDefault="00000000">
      <w:pPr>
        <w:numPr>
          <w:ilvl w:val="0"/>
          <w:numId w:val="1"/>
        </w:numPr>
        <w:shd w:val="clear" w:color="auto" w:fill="FFFFFF"/>
        <w:tabs>
          <w:tab w:val="left" w:pos="1985"/>
        </w:tabs>
        <w:spacing w:after="0" w:line="240" w:lineRule="auto"/>
        <w:jc w:val="both"/>
        <w:rPr>
          <w:rFonts w:eastAsia="Calibri"/>
        </w:rPr>
      </w:pPr>
      <w:r>
        <w:t>Підготовка своєчасних та якісних звітів та оновлень щодо прогресу в питаннях зеленого відновлення/зеленого переходу;</w:t>
      </w:r>
    </w:p>
    <w:p w14:paraId="0000000E" w14:textId="77777777" w:rsidR="00D21173" w:rsidRDefault="00000000">
      <w:pPr>
        <w:numPr>
          <w:ilvl w:val="0"/>
          <w:numId w:val="1"/>
        </w:numPr>
        <w:shd w:val="clear" w:color="auto" w:fill="FFFFFF"/>
        <w:tabs>
          <w:tab w:val="left" w:pos="1985"/>
        </w:tabs>
        <w:spacing w:after="0" w:line="240" w:lineRule="auto"/>
        <w:jc w:val="both"/>
        <w:rPr>
          <w:rFonts w:eastAsia="Calibri"/>
        </w:rPr>
      </w:pPr>
      <w:r>
        <w:t>Підтримка Міністерства у перекладі документів, пов'язаних з відновленням.</w:t>
      </w:r>
    </w:p>
    <w:p w14:paraId="0000000F" w14:textId="77777777" w:rsidR="00D21173" w:rsidRDefault="00000000">
      <w:pPr>
        <w:spacing w:after="0" w:line="259" w:lineRule="auto"/>
        <w:ind w:left="720"/>
        <w:rPr>
          <w:rFonts w:eastAsia="Calibri"/>
        </w:rPr>
      </w:pPr>
      <w:r>
        <w:rPr>
          <w:rFonts w:eastAsia="Calibri"/>
        </w:rPr>
        <w:t xml:space="preserve"> </w:t>
      </w:r>
    </w:p>
    <w:p w14:paraId="00000010" w14:textId="77777777" w:rsidR="00D21173" w:rsidRDefault="00000000">
      <w:pPr>
        <w:shd w:val="clear" w:color="auto" w:fill="FFFFFF"/>
        <w:tabs>
          <w:tab w:val="left" w:pos="1985"/>
        </w:tabs>
        <w:spacing w:after="0" w:line="240" w:lineRule="auto"/>
        <w:jc w:val="both"/>
      </w:pPr>
      <w:r>
        <w:t>Зацікавлені фахівці запрошуються до подачі заявок.</w:t>
      </w:r>
    </w:p>
    <w:p w14:paraId="00000011" w14:textId="77777777" w:rsidR="00D21173" w:rsidRDefault="00D21173">
      <w:pPr>
        <w:shd w:val="clear" w:color="auto" w:fill="FFFFFF"/>
        <w:tabs>
          <w:tab w:val="left" w:pos="1985"/>
        </w:tabs>
        <w:spacing w:after="0" w:line="240" w:lineRule="auto"/>
        <w:jc w:val="both"/>
      </w:pPr>
    </w:p>
    <w:p w14:paraId="00000012" w14:textId="77777777" w:rsidR="00D2117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t xml:space="preserve">Очікується, що консультаційні контракти </w:t>
      </w:r>
      <w:proofErr w:type="spellStart"/>
      <w:r>
        <w:t>розпочнуться</w:t>
      </w:r>
      <w:proofErr w:type="spellEnd"/>
      <w:r>
        <w:t xml:space="preserve"> у квітні 2024 року та триватимуть 17 місяців. Продовження тривалості контракту </w:t>
      </w:r>
      <w:proofErr w:type="spellStart"/>
      <w:r>
        <w:t>залежатиме</w:t>
      </w:r>
      <w:proofErr w:type="spellEnd"/>
      <w:r>
        <w:t xml:space="preserve"> від наявності фінансування, потреб програми URA та результатів роботи обраного консультанта. Випробувальний термін становить два місяці.</w:t>
      </w:r>
    </w:p>
    <w:p w14:paraId="00000013" w14:textId="77777777" w:rsidR="00D21173" w:rsidRDefault="00000000">
      <w:pPr>
        <w:spacing w:line="240" w:lineRule="auto"/>
        <w:jc w:val="both"/>
      </w:pPr>
      <w:r>
        <w:t xml:space="preserve">Потенційні кандидати повинні надіслати повний пакет документів, підготовлений англійською мовою (аплікаційна форма, форма NDA, резюме кандидата та рекомендаційний лист від </w:t>
      </w:r>
      <w:r>
        <w:lastRenderedPageBreak/>
        <w:t xml:space="preserve">нещодавнього керівника (оригінал англійською мовою або українською мовою з перекладом на англійську) разом з контактними даними двох інших референтів, які, у разі необхідності, можуть підтвердити професійний та/або освітній рівень кандидата) до 20 березня 2024 року, 23:59 (за київським часом) на електронну адресу: rst.mepr@gmail.com. Кандидати, які </w:t>
      </w:r>
      <w:proofErr w:type="spellStart"/>
      <w:r>
        <w:t>подадуть</w:t>
      </w:r>
      <w:proofErr w:type="spellEnd"/>
      <w:r>
        <w:t xml:space="preserve"> неповний пакет документів, не будуть розглянуті. </w:t>
      </w:r>
    </w:p>
    <w:p w14:paraId="00000014" w14:textId="77777777" w:rsidR="00D21173" w:rsidRDefault="00000000">
      <w:pPr>
        <w:spacing w:line="240" w:lineRule="auto"/>
        <w:jc w:val="both"/>
      </w:pPr>
      <w:r>
        <w:t xml:space="preserve">Кандидати, які пройдуть відбір, будуть запрошені на письмовий тест та співбесіду. </w:t>
      </w:r>
    </w:p>
    <w:p w14:paraId="00000015" w14:textId="77777777" w:rsidR="00D21173" w:rsidRDefault="00000000">
      <w:pPr>
        <w:spacing w:line="240" w:lineRule="auto"/>
        <w:jc w:val="both"/>
      </w:pPr>
      <w:r>
        <w:t>З детальним технічним завданням можна ознайомитися нижче.</w:t>
      </w:r>
    </w:p>
    <w:p w14:paraId="00000016" w14:textId="77777777" w:rsidR="00D21173" w:rsidRDefault="00D21173"/>
    <w:p w14:paraId="00000017" w14:textId="77777777" w:rsidR="00D21173" w:rsidRDefault="00D21173"/>
    <w:p w14:paraId="00000018" w14:textId="77777777" w:rsidR="00D21173" w:rsidRDefault="00D21173">
      <w:pPr>
        <w:spacing w:after="0" w:line="240" w:lineRule="auto"/>
        <w:ind w:right="-90"/>
      </w:pPr>
    </w:p>
    <w:p w14:paraId="00000019" w14:textId="77777777" w:rsidR="00D21173" w:rsidRDefault="00D21173">
      <w:pPr>
        <w:tabs>
          <w:tab w:val="left" w:pos="709"/>
        </w:tabs>
        <w:spacing w:after="0" w:line="240" w:lineRule="auto"/>
        <w:rPr>
          <w:b/>
          <w:color w:val="000000"/>
        </w:rPr>
      </w:pPr>
    </w:p>
    <w:p w14:paraId="0000001A" w14:textId="77777777" w:rsidR="00D21173" w:rsidRDefault="00D21173"/>
    <w:sectPr w:rsidR="00D21173">
      <w:pgSz w:w="11906" w:h="16838"/>
      <w:pgMar w:top="1411" w:right="1411" w:bottom="1411" w:left="1411" w:header="706" w:footer="706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E6910"/>
    <w:multiLevelType w:val="multilevel"/>
    <w:tmpl w:val="929604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E81086C"/>
    <w:multiLevelType w:val="multilevel"/>
    <w:tmpl w:val="B3425C8A"/>
    <w:lvl w:ilvl="0">
      <w:start w:val="1"/>
      <w:numFmt w:val="decimal"/>
      <w:pStyle w:val="PuceGris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19871655">
    <w:abstractNumId w:val="0"/>
  </w:num>
  <w:num w:numId="2" w16cid:durableId="1027220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73"/>
    <w:rsid w:val="00B26420"/>
    <w:rsid w:val="00D2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docId w15:val="{62D1613A-BF49-7245-8627-8B4EA8FB1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37C"/>
    <w:rPr>
      <w:rFonts w:eastAsiaTheme="minorEastAsia"/>
      <w:lang w:eastAsia="uk-U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F6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37C"/>
  </w:style>
  <w:style w:type="paragraph" w:styleId="Footer">
    <w:name w:val="footer"/>
    <w:basedOn w:val="Normal"/>
    <w:link w:val="FooterChar"/>
    <w:uiPriority w:val="99"/>
    <w:unhideWhenUsed/>
    <w:rsid w:val="005F6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37C"/>
  </w:style>
  <w:style w:type="paragraph" w:styleId="ListParagraph">
    <w:name w:val="List Paragraph"/>
    <w:aliases w:val="Bullet Points,Liste Paragraf,Llista Nivell1,Lista de nivel 1,Paragraphe de liste PBLH,Normal bullet 2,Graph &amp; Table tite,Table of contents numbered,Bullet list,Bullet List Paragraph,Level 1 Bullet,numbered,Bullet List,FooterText,列出段落"/>
    <w:basedOn w:val="Normal"/>
    <w:link w:val="ListParagraphChar"/>
    <w:uiPriority w:val="34"/>
    <w:qFormat/>
    <w:rsid w:val="005F637C"/>
    <w:pPr>
      <w:spacing w:after="160" w:line="259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Bullet Points Char,Liste Paragraf Char,Llista Nivell1 Char,Lista de nivel 1 Char,Paragraphe de liste PBLH Char,Normal bullet 2 Char,Graph &amp; Table tite Char,Table of contents numbered Char,Bullet list Char,Bullet List Paragraph Char"/>
    <w:link w:val="ListParagraph"/>
    <w:uiPriority w:val="34"/>
    <w:locked/>
    <w:rsid w:val="005F637C"/>
    <w:rPr>
      <w:rFonts w:eastAsiaTheme="minorEastAsia"/>
      <w:lang w:eastAsia="uk-UA"/>
    </w:rPr>
  </w:style>
  <w:style w:type="paragraph" w:customStyle="1" w:styleId="Normale-n-ind">
    <w:name w:val="Normale-n-ind"/>
    <w:rsid w:val="005F637C"/>
    <w:pPr>
      <w:pBdr>
        <w:top w:val="nil"/>
        <w:left w:val="nil"/>
        <w:bottom w:val="nil"/>
        <w:right w:val="nil"/>
        <w:between w:val="nil"/>
        <w:bar w:val="nil"/>
      </w:pBdr>
      <w:spacing w:after="120" w:line="180" w:lineRule="atLeast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it-IT"/>
    </w:rPr>
  </w:style>
  <w:style w:type="paragraph" w:customStyle="1" w:styleId="normaltableau">
    <w:name w:val="normal_tableau"/>
    <w:basedOn w:val="Normal"/>
    <w:rsid w:val="002F0B01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CVNormal">
    <w:name w:val="CV Normal"/>
    <w:basedOn w:val="Normal"/>
    <w:uiPriority w:val="99"/>
    <w:rsid w:val="002F0B01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en-US" w:eastAsia="ar-SA"/>
    </w:rPr>
  </w:style>
  <w:style w:type="paragraph" w:customStyle="1" w:styleId="PuceGrise">
    <w:name w:val="Puce Grise"/>
    <w:basedOn w:val="Normal"/>
    <w:next w:val="Normal"/>
    <w:rsid w:val="002F0B01"/>
    <w:pPr>
      <w:numPr>
        <w:numId w:val="2"/>
      </w:numPr>
      <w:tabs>
        <w:tab w:val="left" w:pos="216"/>
      </w:tabs>
      <w:spacing w:before="20" w:after="20" w:line="240" w:lineRule="auto"/>
    </w:pPr>
    <w:rPr>
      <w:rFonts w:ascii="Arial" w:eastAsia="Times New Roman" w:hAnsi="Arial" w:cs="Times New Roman"/>
      <w:sz w:val="18"/>
      <w:szCs w:val="20"/>
      <w:lang w:val="en-US" w:eastAsia="fr-FR"/>
    </w:rPr>
  </w:style>
  <w:style w:type="table" w:styleId="TableGrid">
    <w:name w:val="Table Grid"/>
    <w:basedOn w:val="TableNormal"/>
    <w:uiPriority w:val="39"/>
    <w:rsid w:val="00C92833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D96C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6CBB"/>
    <w:rPr>
      <w:rFonts w:eastAsiaTheme="minorEastAsia"/>
      <w:sz w:val="20"/>
      <w:szCs w:val="20"/>
      <w:lang w:val="uk-UA" w:eastAsia="uk-UA"/>
    </w:rPr>
  </w:style>
  <w:style w:type="character" w:styleId="FootnoteReference">
    <w:name w:val="footnote reference"/>
    <w:basedOn w:val="DefaultParagraphFont"/>
    <w:uiPriority w:val="99"/>
    <w:semiHidden/>
    <w:unhideWhenUsed/>
    <w:rsid w:val="00F1662D"/>
    <w:rPr>
      <w:vertAlign w:val="superscript"/>
    </w:rPr>
  </w:style>
  <w:style w:type="paragraph" w:customStyle="1" w:styleId="Default">
    <w:name w:val="Default"/>
    <w:rsid w:val="00F1662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uk-U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M1+dPfB2ZpNRZ9vD3y6mKo03iQ==">CgMxLjA4AHIhMWM5R3doZzFURFdJWFVWOEtvNmdBUG11Mk82SjBLUFRO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Anikeeva, Yuliya</dc:creator>
  <cp:lastModifiedBy>Serhii Dykyi (2207505)</cp:lastModifiedBy>
  <cp:revision>1</cp:revision>
  <dcterms:created xsi:type="dcterms:W3CDTF">2023-05-04T05:51:00Z</dcterms:created>
  <dcterms:modified xsi:type="dcterms:W3CDTF">2024-03-11T12:21:00Z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37bbd4c1-49fe-4e95-8bf3-6e3b27f4fd14</vt:lpwstr>
  </property>
  <property fmtid="{D5CDD505-2E9C-101B-9397-08002B2CF9AE}" pid="3" name="bjSaver">
    <vt:lpwstr>jNVazOmbWstbFCE5y2QVOLvhavx6YHsz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policy="1d45786f-a737-4735-8af6-df12fb6939a2" origin="userSelected" xmlns="http://www.boldonj</vt:lpwstr>
  </property>
  <property fmtid="{D5CDD505-2E9C-101B-9397-08002B2CF9AE}" pid="5" name="bjDocumentLabelXML-0">
    <vt:lpwstr>ames.com/2008/01/sie/internal/label"&gt;&lt;element uid="9c87da95-7b2f-439f-bfd9-321fc51f6870" value="" /&gt;&lt;element uid="214105f6-acd4-485a-afa0-a0b988f7534c" value="" /&gt;&lt;/sisl&gt;</vt:lpwstr>
  </property>
  <property fmtid="{D5CDD505-2E9C-101B-9397-08002B2CF9AE}" pid="6" name="bjDocumentSecurityLabel">
    <vt:lpwstr>NON-BANK USE</vt:lpwstr>
  </property>
</Properties>
</file>